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r>
        <w:rPr>
          <w:rStyle w:val="27"/>
          <w:rFonts w:hint="eastAsia" w:ascii="黑体" w:hAnsi="黑体" w:eastAsia="黑体"/>
          <w:sz w:val="44"/>
          <w:szCs w:val="44"/>
        </w:rPr>
        <w:t>稳利丰收封闭式固收类</w:t>
      </w:r>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812"/>
        <w:gridCol w:w="198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812"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1984"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812" w:type="dxa"/>
          </w:tcPr>
          <w:p>
            <w:pPr>
              <w:widowControl/>
              <w:spacing w:line="360" w:lineRule="auto"/>
              <w:rPr>
                <w:rFonts w:ascii="宋体" w:hAnsi="宋体"/>
                <w:szCs w:val="21"/>
              </w:rPr>
            </w:pPr>
            <w:r>
              <w:rPr>
                <w:rFonts w:hint="eastAsia" w:ascii="宋体" w:hAnsi="宋体"/>
                <w:kern w:val="0"/>
                <w:sz w:val="20"/>
                <w:szCs w:val="21"/>
              </w:rPr>
              <w:t>兴银理财有限责任公司理财产品投资协议书</w:t>
            </w:r>
            <w:r>
              <w:rPr>
                <w:rFonts w:ascii="宋体" w:hAnsi="宋体"/>
                <w:kern w:val="0"/>
                <w:sz w:val="20"/>
                <w:szCs w:val="21"/>
              </w:rPr>
              <w:t xml:space="preserve"> </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兴银理财【稳利丰收封闭式固收类】理财产品产品说明书</w:t>
            </w:r>
          </w:p>
        </w:tc>
        <w:tc>
          <w:tcPr>
            <w:tcW w:w="1984"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兴银理财有限责任公司理财产品（代理）销售协议书</w:t>
            </w:r>
          </w:p>
        </w:tc>
        <w:tc>
          <w:tcPr>
            <w:tcW w:w="1984"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兴银理财【稳利丰收封闭式固收类】理财产品风险揭示书</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兴银理财有限责任公司理财产品投资者权益须知</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pStyle w:val="58"/>
        <w:widowControl/>
        <w:snapToGrid w:val="0"/>
        <w:spacing w:line="360" w:lineRule="auto"/>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r>
        <w:br w:type="page"/>
      </w: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兴银理财有限责任公司理财产品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r>
        <w:rPr>
          <w:rFonts w:ascii="黑体" w:hAnsi="黑体" w:eastAsia="黑体"/>
          <w:b/>
          <w:sz w:val="28"/>
          <w:szCs w:val="28"/>
        </w:rPr>
        <w:t xml:space="preserve">                 </w:t>
      </w:r>
      <w:r>
        <w:rPr>
          <w:rFonts w:hint="eastAsia" w:ascii="黑体" w:hAnsi="黑体" w:eastAsia="黑体"/>
          <w:b/>
          <w:sz w:val="28"/>
          <w:szCs w:val="28"/>
        </w:rPr>
        <w:t>】</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39991726"/>
      <w:bookmarkStart w:id="1" w:name="_Toc123112263"/>
      <w:bookmarkStart w:id="2" w:name="_Toc123701383"/>
      <w:bookmarkStart w:id="3" w:name="_Toc139992301"/>
      <w:bookmarkStart w:id="4" w:name="_Toc123112224"/>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39991727"/>
      <w:bookmarkStart w:id="6" w:name="_Toc123701384"/>
      <w:bookmarkStart w:id="7" w:name="_Toc123112225"/>
      <w:bookmarkStart w:id="8" w:name="_Toc123112264"/>
      <w:bookmarkStart w:id="9" w:name="_Toc139992302"/>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r>
        <w:rPr>
          <w:rStyle w:val="27"/>
          <w:rFonts w:hint="eastAsia" w:ascii="宋体" w:hAnsi="宋体"/>
          <w:sz w:val="28"/>
          <w:szCs w:val="28"/>
        </w:rPr>
        <w:t>【</w:t>
      </w:r>
      <w:r>
        <w:rPr>
          <w:rStyle w:val="27"/>
          <w:rFonts w:ascii="宋体" w:hAnsi="宋体"/>
          <w:sz w:val="28"/>
          <w:szCs w:val="28"/>
        </w:rPr>
        <w:t>2023</w:t>
      </w:r>
      <w:r>
        <w:rPr>
          <w:rStyle w:val="27"/>
          <w:rFonts w:hint="eastAsia" w:ascii="宋体" w:hAnsi="宋体"/>
          <w:sz w:val="28"/>
          <w:szCs w:val="28"/>
        </w:rPr>
        <w:t>】年【</w:t>
      </w:r>
      <w:r>
        <w:rPr>
          <w:rStyle w:val="27"/>
          <w:rFonts w:hint="eastAsia" w:ascii="宋体" w:hAnsi="宋体"/>
          <w:sz w:val="28"/>
          <w:szCs w:val="28"/>
          <w:lang w:val="en-US" w:eastAsia="zh-CN"/>
        </w:rPr>
        <w:t>8</w:t>
      </w:r>
      <w:bookmarkStart w:id="66" w:name="_GoBack"/>
      <w:bookmarkEnd w:id="66"/>
      <w:r>
        <w:rPr>
          <w:rStyle w:val="27"/>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报酬计提基准</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投资者在此同意并授权，产品管理人可根据监管要求和合同约定，为理财产品登记、反洗钱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等需要，向登记部门或监管机构及相关方提供投资者相关信息。</w:t>
            </w:r>
          </w:p>
          <w:p>
            <w:pPr>
              <w:spacing w:line="360" w:lineRule="auto"/>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spacing w:line="360" w:lineRule="auto"/>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关于理财产品咨询的提示</w:t>
            </w:r>
          </w:p>
          <w:p>
            <w:pPr>
              <w:tabs>
                <w:tab w:val="left" w:pos="8070"/>
                <w:tab w:val="right" w:pos="8306"/>
              </w:tabs>
              <w:autoSpaceDE w:val="0"/>
              <w:autoSpaceDN w:val="0"/>
              <w:adjustRightInd w:val="0"/>
              <w:snapToGrid w:val="0"/>
              <w:spacing w:before="156" w:beforeLines="50" w:line="360" w:lineRule="auto"/>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66"/>
      <w:bookmarkStart w:id="11" w:name="_Toc123112227"/>
      <w:bookmarkStart w:id="12" w:name="_Toc123701386"/>
      <w:bookmarkStart w:id="13" w:name="_Toc139991729"/>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jc w:val="left"/>
              <w:rPr>
                <w:rFonts w:ascii="宋体" w:hAnsi="宋体"/>
                <w:b/>
                <w:bCs/>
                <w:sz w:val="18"/>
                <w:szCs w:val="18"/>
              </w:rPr>
            </w:pPr>
          </w:p>
        </w:tc>
        <w:tc>
          <w:tcPr>
            <w:tcW w:w="982" w:type="dxa"/>
            <w:shd w:val="solid" w:color="FFFFFF" w:fill="FFFFFF"/>
            <w:vAlign w:val="center"/>
          </w:tcPr>
          <w:p>
            <w:pPr>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jc w:val="left"/>
              <w:rPr>
                <w:rFonts w:ascii="宋体" w:hAnsi="宋体"/>
                <w:b/>
                <w:bCs/>
                <w:sz w:val="18"/>
                <w:szCs w:val="18"/>
              </w:rPr>
            </w:pPr>
          </w:p>
        </w:tc>
        <w:tc>
          <w:tcPr>
            <w:tcW w:w="982" w:type="dxa"/>
            <w:shd w:val="solid" w:color="FFFFFF" w:fill="FFFFFF"/>
            <w:vAlign w:val="center"/>
          </w:tcPr>
          <w:p>
            <w:pPr>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jc w:val="left"/>
              <w:rPr>
                <w:rFonts w:ascii="宋体" w:hAnsi="宋体"/>
                <w:b/>
                <w:bCs/>
                <w:sz w:val="18"/>
                <w:szCs w:val="18"/>
              </w:rPr>
            </w:pPr>
          </w:p>
        </w:tc>
        <w:tc>
          <w:tcPr>
            <w:tcW w:w="982" w:type="dxa"/>
            <w:shd w:val="solid" w:color="FFFFFF" w:fill="FFFFFF"/>
            <w:vAlign w:val="center"/>
          </w:tcPr>
          <w:p>
            <w:pPr>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jc w:val="left"/>
              <w:rPr>
                <w:rFonts w:ascii="宋体" w:hAnsi="宋体"/>
                <w:b/>
                <w:bCs/>
                <w:sz w:val="18"/>
                <w:szCs w:val="18"/>
              </w:rPr>
            </w:pPr>
          </w:p>
        </w:tc>
        <w:tc>
          <w:tcPr>
            <w:tcW w:w="982" w:type="dxa"/>
            <w:tcBorders>
              <w:bottom w:val="single" w:color="auto" w:sz="12" w:space="0"/>
            </w:tcBorders>
            <w:shd w:val="solid" w:color="FFFFFF" w:fill="FFFFFF"/>
            <w:vAlign w:val="center"/>
          </w:tcPr>
          <w:p>
            <w:pPr>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spacing w:line="360" w:lineRule="auto"/>
        <w:jc w:val="left"/>
        <w:rPr>
          <w:bCs/>
          <w:sz w:val="32"/>
        </w:rPr>
      </w:pPr>
      <w:r>
        <w:rPr>
          <w:rFonts w:hint="eastAsia"/>
          <w:bCs/>
          <w:sz w:val="32"/>
        </w:rPr>
        <w:t xml:space="preserve"> </w:t>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headerReference r:id="rId3" w:type="default"/>
          <w:footerReference r:id="rId4" w:type="default"/>
          <w:pgSz w:w="11906" w:h="16838"/>
          <w:pgMar w:top="1440" w:right="1800" w:bottom="1440" w:left="1800" w:header="567" w:footer="992" w:gutter="0"/>
          <w:pgNumType w:start="0"/>
          <w:cols w:space="720" w:num="1"/>
          <w:titlePg/>
          <w:docGrid w:type="lines" w:linePitch="312" w:charSpace="0"/>
        </w:sectPr>
      </w:pP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rPr>
              <w:rFonts w:asciiTheme="minorHAnsi" w:hAnsiTheme="minorHAnsi" w:eastAsiaTheme="minorEastAsia" w:cstheme="minorBidi"/>
              <w:szCs w:val="22"/>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"_Toc79653758" </w:instrText>
          </w:r>
          <w:r>
            <w:fldChar w:fldCharType="separate"/>
          </w:r>
          <w:r>
            <w:rPr>
              <w:rStyle w:val="29"/>
              <w:rFonts w:hint="eastAsia"/>
            </w:rPr>
            <w:t>第一条</w:t>
          </w:r>
          <w:r>
            <w:rPr>
              <w:rStyle w:val="29"/>
            </w:rPr>
            <w:t xml:space="preserve">  </w:t>
          </w:r>
          <w:r>
            <w:rPr>
              <w:rStyle w:val="29"/>
              <w:rFonts w:hint="eastAsia"/>
            </w:rPr>
            <w:t>前言</w:t>
          </w:r>
          <w:r>
            <w:tab/>
          </w:r>
          <w:r>
            <w:fldChar w:fldCharType="begin"/>
          </w:r>
          <w:r>
            <w:instrText xml:space="preserve"> PAGEREF _Toc79653758 \h </w:instrText>
          </w:r>
          <w:r>
            <w:fldChar w:fldCharType="separate"/>
          </w:r>
          <w:r>
            <w:t>1</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"_Toc79653759" </w:instrText>
          </w:r>
          <w:r>
            <w:fldChar w:fldCharType="separate"/>
          </w:r>
          <w:r>
            <w:rPr>
              <w:rStyle w:val="29"/>
              <w:rFonts w:hint="eastAsia"/>
            </w:rPr>
            <w:t>第二条</w:t>
          </w:r>
          <w:r>
            <w:rPr>
              <w:rStyle w:val="29"/>
            </w:rPr>
            <w:t xml:space="preserve">  </w:t>
          </w:r>
          <w:r>
            <w:rPr>
              <w:rStyle w:val="29"/>
              <w:rFonts w:hint="eastAsia"/>
            </w:rPr>
            <w:t>双方权利义务</w:t>
          </w:r>
          <w:r>
            <w:tab/>
          </w:r>
          <w:r>
            <w:fldChar w:fldCharType="begin"/>
          </w:r>
          <w:r>
            <w:instrText xml:space="preserve"> PAGEREF _Toc79653759 \h </w:instrText>
          </w:r>
          <w:r>
            <w:fldChar w:fldCharType="separate"/>
          </w:r>
          <w:r>
            <w:t>2</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"_Toc79653760" </w:instrText>
          </w:r>
          <w:r>
            <w:fldChar w:fldCharType="separate"/>
          </w:r>
          <w:r>
            <w:rPr>
              <w:rStyle w:val="29"/>
              <w:rFonts w:hint="eastAsia"/>
            </w:rPr>
            <w:t>第三条</w:t>
          </w:r>
          <w:r>
            <w:rPr>
              <w:rStyle w:val="29"/>
            </w:rPr>
            <w:t xml:space="preserve">  </w:t>
          </w:r>
          <w:r>
            <w:rPr>
              <w:rStyle w:val="29"/>
              <w:rFonts w:hint="eastAsia"/>
            </w:rPr>
            <w:t>不可抗力</w:t>
          </w:r>
          <w:r>
            <w:tab/>
          </w:r>
          <w:r>
            <w:fldChar w:fldCharType="begin"/>
          </w:r>
          <w:r>
            <w:instrText xml:space="preserve"> PAGEREF _Toc79653760 \h </w:instrText>
          </w:r>
          <w:r>
            <w:fldChar w:fldCharType="separate"/>
          </w:r>
          <w:r>
            <w:t>4</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"_Toc79653761" </w:instrText>
          </w:r>
          <w:r>
            <w:fldChar w:fldCharType="separate"/>
          </w:r>
          <w:r>
            <w:rPr>
              <w:rStyle w:val="29"/>
              <w:rFonts w:hint="eastAsia"/>
            </w:rPr>
            <w:t>第四条</w:t>
          </w:r>
          <w:r>
            <w:rPr>
              <w:rStyle w:val="29"/>
            </w:rPr>
            <w:t xml:space="preserve">  </w:t>
          </w:r>
          <w:r>
            <w:rPr>
              <w:rStyle w:val="29"/>
              <w:rFonts w:hint="eastAsia"/>
            </w:rPr>
            <w:t>违约责任</w:t>
          </w:r>
          <w:r>
            <w:tab/>
          </w:r>
          <w:r>
            <w:fldChar w:fldCharType="begin"/>
          </w:r>
          <w:r>
            <w:instrText xml:space="preserve"> PAGEREF _Toc79653761 \h </w:instrText>
          </w:r>
          <w:r>
            <w:fldChar w:fldCharType="separate"/>
          </w:r>
          <w:r>
            <w:t>5</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"_Toc79653762" </w:instrText>
          </w:r>
          <w:r>
            <w:fldChar w:fldCharType="separate"/>
          </w:r>
          <w:r>
            <w:rPr>
              <w:rStyle w:val="29"/>
              <w:rFonts w:hint="eastAsia"/>
            </w:rPr>
            <w:t>第五条</w:t>
          </w:r>
          <w:r>
            <w:rPr>
              <w:rStyle w:val="29"/>
            </w:rPr>
            <w:t xml:space="preserve">  </w:t>
          </w:r>
          <w:r>
            <w:rPr>
              <w:rStyle w:val="29"/>
              <w:rFonts w:hint="eastAsia"/>
            </w:rPr>
            <w:t>法律适用和争议解决</w:t>
          </w:r>
          <w:r>
            <w:tab/>
          </w:r>
          <w:r>
            <w:fldChar w:fldCharType="begin"/>
          </w:r>
          <w:r>
            <w:instrText xml:space="preserve"> PAGEREF _Toc79653762 \h </w:instrText>
          </w:r>
          <w:r>
            <w:fldChar w:fldCharType="separate"/>
          </w:r>
          <w:r>
            <w:t>6</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"_Toc79653763" </w:instrText>
          </w:r>
          <w:r>
            <w:fldChar w:fldCharType="separate"/>
          </w:r>
          <w:r>
            <w:rPr>
              <w:rStyle w:val="29"/>
              <w:rFonts w:hint="eastAsia"/>
            </w:rPr>
            <w:t>第六条</w:t>
          </w:r>
          <w:r>
            <w:rPr>
              <w:rStyle w:val="29"/>
            </w:rPr>
            <w:t xml:space="preserve">  </w:t>
          </w:r>
          <w:r>
            <w:rPr>
              <w:rStyle w:val="29"/>
              <w:rFonts w:hint="eastAsia"/>
            </w:rPr>
            <w:t>协议的签署和效力</w:t>
          </w:r>
          <w:r>
            <w:tab/>
          </w:r>
          <w:r>
            <w:fldChar w:fldCharType="begin"/>
          </w:r>
          <w:r>
            <w:instrText xml:space="preserve"> PAGEREF _Toc79653763 \h </w:instrText>
          </w:r>
          <w:r>
            <w:fldChar w:fldCharType="separate"/>
          </w:r>
          <w:r>
            <w:t>7</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"_Toc79653764" </w:instrText>
          </w:r>
          <w:r>
            <w:fldChar w:fldCharType="separate"/>
          </w:r>
          <w:r>
            <w:rPr>
              <w:rStyle w:val="29"/>
              <w:rFonts w:hint="eastAsia"/>
            </w:rPr>
            <w:t>第七条</w:t>
          </w:r>
          <w:r>
            <w:rPr>
              <w:rStyle w:val="29"/>
            </w:rPr>
            <w:t xml:space="preserve">  </w:t>
          </w:r>
          <w:r>
            <w:rPr>
              <w:rStyle w:val="29"/>
              <w:rFonts w:hint="eastAsia"/>
            </w:rPr>
            <w:t>消费者权益保护</w:t>
          </w:r>
          <w:r>
            <w:tab/>
          </w:r>
          <w:r>
            <w:fldChar w:fldCharType="begin"/>
          </w:r>
          <w:r>
            <w:instrText xml:space="preserve"> PAGEREF _Toc79653764 \h </w:instrText>
          </w:r>
          <w:r>
            <w:fldChar w:fldCharType="separate"/>
          </w:r>
          <w:r>
            <w:t>8</w:t>
          </w:r>
          <w:r>
            <w:fldChar w:fldCharType="end"/>
          </w:r>
          <w:r>
            <w:fldChar w:fldCharType="end"/>
          </w:r>
        </w:p>
        <w:p>
          <w:pPr>
            <w:spacing w:line="360" w:lineRule="auto"/>
          </w:pPr>
          <w:r>
            <w:rPr>
              <w:b/>
              <w:bCs/>
              <w:lang w:val="zh-CN"/>
            </w:rPr>
            <w:fldChar w:fldCharType="end"/>
          </w:r>
        </w:p>
      </w:sdtContent>
    </w:sdt>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sectPr>
          <w:pgSz w:w="11906" w:h="16838"/>
          <w:pgMar w:top="1440" w:right="1800" w:bottom="1440" w:left="1800" w:header="851" w:footer="992" w:gutter="0"/>
          <w:pgNumType w:start="0"/>
          <w:cols w:space="720" w:num="1"/>
          <w:docGrid w:type="lines" w:linePitch="312" w:charSpace="0"/>
        </w:sect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23386"/>
      <w:bookmarkStart w:id="15" w:name="_Toc6306"/>
      <w:bookmarkStart w:id="16" w:name="_Toc4867"/>
      <w:bookmarkStart w:id="17" w:name="_Toc29629"/>
      <w:bookmarkStart w:id="18" w:name="_Toc8727"/>
      <w:bookmarkStart w:id="19" w:name="_Toc30935"/>
      <w:bookmarkStart w:id="20" w:name="_Toc123112268"/>
      <w:bookmarkStart w:id="21" w:name="_Toc4966"/>
      <w:bookmarkStart w:id="22" w:name="_Toc26897"/>
      <w:bookmarkStart w:id="23" w:name="_Toc123701389"/>
      <w:bookmarkStart w:id="24" w:name="_Toc139991730"/>
      <w:bookmarkStart w:id="25" w:name="_Toc15517"/>
      <w:bookmarkStart w:id="26" w:name="_Toc123112229"/>
      <w:bookmarkStart w:id="27" w:name="_Toc32639"/>
      <w:bookmarkStart w:id="28" w:name="_Toc141703880"/>
      <w:bookmarkStart w:id="29" w:name="_Toc79653758"/>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58829399"/>
      <w:bookmarkStart w:id="33" w:name="_Toc22864"/>
      <w:bookmarkStart w:id="34" w:name="_Toc24860"/>
      <w:bookmarkStart w:id="35" w:name="_Toc21301"/>
      <w:bookmarkStart w:id="36" w:name="_Toc819"/>
      <w:bookmarkStart w:id="37" w:name="_Toc2465"/>
      <w:bookmarkStart w:id="38" w:name="_Toc3224"/>
      <w:bookmarkStart w:id="39" w:name="_Toc15067"/>
      <w:bookmarkStart w:id="40" w:name="_Toc13020"/>
      <w:bookmarkStart w:id="41" w:name="_Toc19592"/>
      <w:bookmarkStart w:id="42" w:name="_Toc6617"/>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、订立本投资协议书的目的是保护投资人合法权益，明确投资协议书当事人的权利义务，规范理财产品运作。</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、订立本投资协议书的依据是《中华人民共和国民法典》等法律法规、《关于规范金融机构资产管理业务的指导意见》（银发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2018年第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w:t>
      </w:r>
      <w:bookmarkStart w:id="43" w:name="_Toc59965743"/>
      <w:r>
        <w:rPr>
          <w:rFonts w:hint="eastAsia" w:asciiTheme="majorEastAsia" w:hAnsiTheme="majorEastAsia" w:eastAsiaTheme="majorEastAsia"/>
          <w:bCs/>
          <w:color w:val="auto"/>
          <w:sz w:val="18"/>
          <w:szCs w:val="18"/>
        </w:rPr>
        <w:t>《商业银行理财子公司管理办法》</w:t>
      </w:r>
      <w:bookmarkEnd w:id="43"/>
      <w:r>
        <w:rPr>
          <w:rFonts w:hint="eastAsia" w:asciiTheme="majorEastAsia" w:hAnsiTheme="majorEastAsia" w:eastAsiaTheme="majorEastAsia"/>
          <w:bCs/>
          <w:color w:val="auto"/>
          <w:sz w:val="18"/>
          <w:szCs w:val="18"/>
        </w:rPr>
        <w:t>（银保监会令2018年第7号）、《理财公司理财产品销售管理暂行办法》（银保监会令2021年第4号）等监管规定及其他有关规定。</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、订立本投资协议书的原则是平等自愿、诚实信用、充分保护投资人合法权益。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 xml:space="preserve"> </w:t>
      </w:r>
    </w:p>
    <w:p>
      <w:pPr>
        <w:pStyle w:val="43"/>
        <w:spacing w:line="360" w:lineRule="auto"/>
        <w:rPr>
          <w:rFonts w:asciiTheme="majorEastAsia" w:hAnsiTheme="majorEastAsia" w:eastAsiaTheme="majorEastAsia"/>
          <w:bCs/>
          <w:color w:val="auto"/>
          <w:sz w:val="18"/>
          <w:szCs w:val="18"/>
        </w:rPr>
      </w:pP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7965375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购买本理财产品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13.其他在本产品所对应理财产品销售文件中约定的产品管理人的权利与义务。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9653760"/>
      <w:bookmarkStart w:id="47" w:name="_Toc13288"/>
      <w:bookmarkStart w:id="48" w:name="_Toc6149"/>
      <w:bookmarkStart w:id="49" w:name="_Toc74065740"/>
      <w:bookmarkStart w:id="50" w:name="_Toc6683"/>
      <w:bookmarkStart w:id="51" w:name="_Toc545"/>
      <w:bookmarkStart w:id="52" w:name="_Toc733"/>
      <w:bookmarkStart w:id="53" w:name="_Toc18631"/>
      <w:bookmarkStart w:id="54" w:name="_Toc20627"/>
      <w:bookmarkStart w:id="55" w:name="_Toc24571"/>
      <w:bookmarkStart w:id="56" w:name="_Toc22708"/>
      <w:bookmarkStart w:id="57" w:name="_Toc20318"/>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79653761"/>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79653762"/>
      <w:r>
        <w:rPr>
          <w:rFonts w:hint="eastAsia" w:ascii="Times New Roman"/>
          <w:color w:val="auto"/>
          <w:sz w:val="30"/>
        </w:rPr>
        <w:t>第五条</w:t>
      </w:r>
      <w:r>
        <w:rPr>
          <w:rFonts w:ascii="Times New Roman"/>
          <w:color w:val="auto"/>
          <w:sz w:val="30"/>
        </w:rPr>
        <w:t xml:space="preserve">  法律适用和争议解决</w:t>
      </w:r>
      <w:bookmarkEnd w:id="61"/>
    </w:p>
    <w:p>
      <w:pPr>
        <w:adjustRightInd w:val="0"/>
        <w:spacing w:line="360" w:lineRule="auto"/>
        <w:ind w:firstLine="360" w:firstLineChars="20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pPr>
        <w:adjustRightInd w:val="0"/>
        <w:spacing w:line="360" w:lineRule="auto"/>
        <w:ind w:firstLine="360" w:firstLineChars="20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pPr>
        <w:adjustRightInd w:val="0"/>
        <w:spacing w:line="360" w:lineRule="auto"/>
        <w:ind w:firstLine="360" w:firstLineChars="200"/>
        <w:rPr>
          <w:rFonts w:ascii="黑体" w:hAnsi="黑体" w:eastAsia="黑体"/>
          <w:sz w:val="18"/>
          <w:szCs w:val="18"/>
        </w:rPr>
      </w:pPr>
      <w:r>
        <w:rPr>
          <w:rFonts w:hint="eastAsia" w:ascii="黑体" w:hAnsi="黑体" w:eastAsia="黑体"/>
          <w:sz w:val="18"/>
          <w:szCs w:val="18"/>
        </w:rPr>
        <w:t>（二）★争议解决</w:t>
      </w:r>
    </w:p>
    <w:p>
      <w:pPr>
        <w:adjustRightInd w:val="0"/>
        <w:spacing w:line="360" w:lineRule="auto"/>
        <w:ind w:firstLine="360" w:firstLineChars="200"/>
        <w:rPr>
          <w:rFonts w:ascii="黑体" w:hAnsi="黑体" w:eastAsia="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hint="eastAsia" w:ascii="黑体" w:hAnsi="黑体" w:eastAsia="黑体"/>
          <w:color w:val="000000" w:themeColor="text1"/>
          <w:sz w:val="18"/>
          <w:szCs w:val="18"/>
        </w:rPr>
        <w:t>如友好协商不成的，双方均同意以如下第【壹】种方式解决：</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（壹）向产品管理人住所地之人民法院提起诉讼。</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rPr>
      </w:pPr>
      <w:r>
        <w:rPr>
          <w:rFonts w:ascii="黑体" w:hAnsi="黑体" w:eastAsia="黑体"/>
          <w:color w:val="000000" w:themeColor="text1"/>
          <w:sz w:val="18"/>
          <w:szCs w:val="18"/>
        </w:rPr>
        <w:br w:type="page"/>
      </w:r>
    </w:p>
    <w:p>
      <w:pPr>
        <w:pStyle w:val="2"/>
        <w:spacing w:before="0" w:after="0"/>
        <w:jc w:val="center"/>
        <w:rPr>
          <w:rFonts w:ascii="Times New Roman"/>
          <w:b w:val="0"/>
          <w:sz w:val="30"/>
        </w:rPr>
      </w:pPr>
      <w:bookmarkStart w:id="62" w:name="_Toc7965376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9653764"/>
      <w:bookmarkStart w:id="64" w:name="_Toc77953869"/>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9073"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426"/>
        <w:gridCol w:w="425"/>
        <w:gridCol w:w="709"/>
        <w:gridCol w:w="4819"/>
        <w:gridCol w:w="18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073" w:type="dxa"/>
            <w:gridSpan w:val="6"/>
          </w:tcPr>
          <w:p>
            <w:pPr>
              <w:autoSpaceDE w:val="0"/>
              <w:autoSpaceDN w:val="0"/>
              <w:adjustRightInd w:val="0"/>
              <w:snapToGrid w:val="0"/>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63" w:hRule="atLeast"/>
        </w:trPr>
        <w:tc>
          <w:tcPr>
            <w:tcW w:w="1277" w:type="dxa"/>
            <w:gridSpan w:val="2"/>
            <w:vAlign w:val="center"/>
          </w:tcPr>
          <w:p>
            <w:pPr>
              <w:autoSpaceDE w:val="0"/>
              <w:autoSpaceDN w:val="0"/>
              <w:adjustRightInd w:val="0"/>
              <w:snapToGrid w:val="0"/>
              <w:jc w:val="center"/>
              <w:rPr>
                <w:rFonts w:ascii="宋体" w:hAnsi="宋体"/>
                <w:b/>
                <w:sz w:val="18"/>
                <w:szCs w:val="18"/>
              </w:rPr>
            </w:pPr>
            <w:r>
              <w:rPr>
                <w:rFonts w:ascii="宋体" w:hAnsi="宋体"/>
                <w:b/>
                <w:sz w:val="18"/>
                <w:szCs w:val="18"/>
              </w:rPr>
              <w:t>理财产品名称</w:t>
            </w:r>
          </w:p>
        </w:tc>
        <w:tc>
          <w:tcPr>
            <w:tcW w:w="7796" w:type="dxa"/>
            <w:gridSpan w:val="4"/>
            <w:vAlign w:val="center"/>
          </w:tcPr>
          <w:p>
            <w:pPr>
              <w:autoSpaceDE w:val="0"/>
              <w:autoSpaceDN w:val="0"/>
              <w:adjustRightInd w:val="0"/>
              <w:snapToGrid w:val="0"/>
              <w:jc w:val="left"/>
              <w:rPr>
                <w:rFonts w:ascii="宋体" w:hAnsi="宋体" w:cs="宋体"/>
                <w:b/>
                <w:sz w:val="18"/>
                <w:szCs w:val="18"/>
              </w:rPr>
            </w:pPr>
            <w:r>
              <w:rPr>
                <w:rFonts w:hint="eastAsia" w:ascii="宋体" w:hAnsi="宋体" w:cs="宋体"/>
                <w:b/>
                <w:sz w:val="18"/>
                <w:szCs w:val="18"/>
              </w:rPr>
              <w:t>【</w:t>
            </w:r>
            <w:r>
              <w:rPr>
                <w:rFonts w:ascii="宋体" w:hAnsi="宋体" w:cs="宋体"/>
                <w:b/>
                <w:sz w:val="18"/>
                <w:szCs w:val="18"/>
              </w:rPr>
              <w:t xml:space="preserve">                </w:t>
            </w: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12" w:hRule="atLeast"/>
        </w:trPr>
        <w:tc>
          <w:tcPr>
            <w:tcW w:w="1277" w:type="dxa"/>
            <w:gridSpan w:val="2"/>
            <w:vAlign w:val="center"/>
          </w:tcPr>
          <w:p>
            <w:pPr>
              <w:autoSpaceDE w:val="0"/>
              <w:autoSpaceDN w:val="0"/>
              <w:adjustRightInd w:val="0"/>
              <w:snapToGrid w:val="0"/>
              <w:jc w:val="center"/>
              <w:rPr>
                <w:rFonts w:ascii="宋体" w:hAnsi="宋体"/>
                <w:b/>
                <w:sz w:val="18"/>
                <w:szCs w:val="18"/>
              </w:rPr>
            </w:pPr>
            <w:r>
              <w:rPr>
                <w:rFonts w:hint="eastAsia" w:ascii="宋体" w:hAnsi="宋体"/>
                <w:b/>
                <w:sz w:val="18"/>
                <w:szCs w:val="18"/>
              </w:rPr>
              <w:t>产品份额类别</w:t>
            </w:r>
          </w:p>
        </w:tc>
        <w:tc>
          <w:tcPr>
            <w:tcW w:w="7796" w:type="dxa"/>
            <w:gridSpan w:val="4"/>
            <w:vAlign w:val="center"/>
          </w:tcPr>
          <w:p>
            <w:pPr>
              <w:autoSpaceDE w:val="0"/>
              <w:autoSpaceDN w:val="0"/>
              <w:adjustRightInd w:val="0"/>
              <w:snapToGrid w:val="0"/>
              <w:jc w:val="left"/>
              <w:rPr>
                <w:rFonts w:ascii="宋体" w:hAnsi="宋体" w:cs="宋体"/>
                <w:b/>
                <w:sz w:val="18"/>
                <w:szCs w:val="18"/>
              </w:rPr>
            </w:pPr>
            <w:r>
              <w:rPr>
                <w:rFonts w:hint="eastAsia" w:ascii="宋体" w:hAnsi="宋体" w:cs="宋体"/>
                <w:b/>
                <w:sz w:val="18"/>
                <w:szCs w:val="18"/>
              </w:rPr>
              <w:t>【</w:t>
            </w:r>
            <w:r>
              <w:rPr>
                <w:rFonts w:ascii="宋体" w:hAnsi="宋体" w:cs="宋体"/>
                <w:b/>
                <w:sz w:val="18"/>
                <w:szCs w:val="18"/>
              </w:rPr>
              <w:t xml:space="preserve">    </w:t>
            </w:r>
            <w:r>
              <w:rPr>
                <w:rFonts w:hint="eastAsia" w:ascii="宋体" w:hAnsi="宋体" w:cs="宋体"/>
                <w:b/>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277" w:type="dxa"/>
            <w:gridSpan w:val="2"/>
            <w:vMerge w:val="restart"/>
            <w:vAlign w:val="center"/>
          </w:tcPr>
          <w:p>
            <w:pPr>
              <w:autoSpaceDE w:val="0"/>
              <w:autoSpaceDN w:val="0"/>
              <w:adjustRightInd w:val="0"/>
              <w:snapToGrid w:val="0"/>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jc w:val="center"/>
              <w:rPr>
                <w:rFonts w:ascii="宋体" w:hAnsi="宋体"/>
                <w:b/>
                <w:sz w:val="18"/>
                <w:szCs w:val="18"/>
              </w:rPr>
            </w:pPr>
            <w:r>
              <w:rPr>
                <w:rFonts w:hint="eastAsia" w:ascii="宋体" w:hAnsi="宋体"/>
                <w:b/>
                <w:bCs/>
                <w:sz w:val="18"/>
                <w:szCs w:val="18"/>
              </w:rPr>
              <w:t>认购</w:t>
            </w:r>
          </w:p>
        </w:tc>
        <w:tc>
          <w:tcPr>
            <w:tcW w:w="4819" w:type="dxa"/>
            <w:tcBorders>
              <w:right w:val="single" w:color="auto" w:sz="4" w:space="0"/>
            </w:tcBorders>
            <w:vAlign w:val="center"/>
          </w:tcPr>
          <w:p>
            <w:pPr>
              <w:autoSpaceDE w:val="0"/>
              <w:autoSpaceDN w:val="0"/>
              <w:adjustRightInd w:val="0"/>
              <w:snapToGrid w:val="0"/>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rPr>
              <w:t>元整。</w:t>
            </w:r>
          </w:p>
        </w:tc>
        <w:tc>
          <w:tcPr>
            <w:tcW w:w="1843" w:type="dxa"/>
            <w:tcBorders>
              <w:left w:val="single" w:color="auto" w:sz="4" w:space="0"/>
            </w:tcBorders>
            <w:vAlign w:val="center"/>
          </w:tcPr>
          <w:p>
            <w:pPr>
              <w:autoSpaceDE w:val="0"/>
              <w:autoSpaceDN w:val="0"/>
              <w:adjustRightInd w:val="0"/>
              <w:snapToGrid w:val="0"/>
              <w:jc w:val="left"/>
              <w:rPr>
                <w:rFonts w:ascii="宋体" w:hAnsi="宋体" w:cs="宋体"/>
                <w:b/>
                <w:sz w:val="18"/>
                <w:szCs w:val="18"/>
              </w:rPr>
            </w:pPr>
            <w:r>
              <w:rPr>
                <w:rFonts w:ascii="宋体" w:hAnsi="宋体" w:cs="宋体"/>
                <w:b/>
                <w:sz w:val="18"/>
                <w:szCs w:val="18"/>
              </w:rPr>
              <w:t>注</w:t>
            </w:r>
            <w:r>
              <w:rPr>
                <w:rFonts w:hint="eastAsia" w:ascii="宋体" w:hAnsi="宋体" w:cs="宋体"/>
                <w:b/>
                <w:sz w:val="18"/>
                <w:szCs w:val="18"/>
              </w:rPr>
              <w:t>：</w:t>
            </w:r>
            <w:r>
              <w:rPr>
                <w:rFonts w:ascii="宋体" w:hAnsi="宋体" w:cs="宋体"/>
                <w:b/>
                <w:sz w:val="18"/>
                <w:szCs w:val="18"/>
              </w:rPr>
              <w:t>封闭式产品</w:t>
            </w:r>
            <w:r>
              <w:rPr>
                <w:rFonts w:hint="eastAsia" w:ascii="宋体" w:hAnsi="宋体" w:cs="宋体"/>
                <w:b/>
                <w:sz w:val="18"/>
                <w:szCs w:val="18"/>
              </w:rPr>
              <w:t>，“申购”与“赎回”栏不适用。</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5" w:hRule="atLeast"/>
        </w:trPr>
        <w:tc>
          <w:tcPr>
            <w:tcW w:w="1277" w:type="dxa"/>
            <w:gridSpan w:val="2"/>
            <w:vMerge w:val="continue"/>
            <w:vAlign w:val="center"/>
          </w:tcPr>
          <w:p>
            <w:pPr>
              <w:autoSpaceDE w:val="0"/>
              <w:autoSpaceDN w:val="0"/>
              <w:adjustRightInd w:val="0"/>
              <w:snapToGrid w:val="0"/>
              <w:jc w:val="center"/>
              <w:rPr>
                <w:rFonts w:ascii="宋体" w:hAnsi="宋体"/>
                <w:b/>
                <w:sz w:val="18"/>
                <w:szCs w:val="18"/>
              </w:rPr>
            </w:pPr>
          </w:p>
        </w:tc>
        <w:tc>
          <w:tcPr>
            <w:tcW w:w="1134" w:type="dxa"/>
            <w:gridSpan w:val="2"/>
            <w:vAlign w:val="center"/>
          </w:tcPr>
          <w:p>
            <w:pPr>
              <w:autoSpaceDE w:val="0"/>
              <w:autoSpaceDN w:val="0"/>
              <w:adjustRightInd w:val="0"/>
              <w:snapToGrid w:val="0"/>
              <w:jc w:val="center"/>
              <w:rPr>
                <w:rFonts w:ascii="宋体" w:hAnsi="宋体"/>
                <w:b/>
                <w:bCs/>
                <w:sz w:val="18"/>
                <w:szCs w:val="18"/>
              </w:rPr>
            </w:pPr>
            <w:r>
              <w:rPr>
                <w:rFonts w:hint="eastAsia" w:ascii="宋体" w:hAnsi="宋体"/>
                <w:b/>
                <w:bCs/>
                <w:sz w:val="18"/>
                <w:szCs w:val="18"/>
              </w:rPr>
              <w:t>申购</w:t>
            </w:r>
          </w:p>
        </w:tc>
        <w:tc>
          <w:tcPr>
            <w:tcW w:w="4819" w:type="dxa"/>
            <w:tcBorders>
              <w:right w:val="single" w:color="auto" w:sz="4" w:space="0"/>
            </w:tcBorders>
            <w:vAlign w:val="center"/>
          </w:tcPr>
          <w:p>
            <w:pPr>
              <w:autoSpaceDE w:val="0"/>
              <w:autoSpaceDN w:val="0"/>
              <w:adjustRightInd w:val="0"/>
              <w:snapToGrid w:val="0"/>
              <w:jc w:val="left"/>
              <w:rPr>
                <w:rFonts w:ascii="宋体" w:hAnsi="宋体"/>
                <w:b/>
                <w:bCs/>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rPr>
              <w:t>元整。</w:t>
            </w:r>
          </w:p>
        </w:tc>
        <w:tc>
          <w:tcPr>
            <w:tcW w:w="1843" w:type="dxa"/>
            <w:vMerge w:val="restart"/>
            <w:tcBorders>
              <w:left w:val="single" w:color="auto" w:sz="4" w:space="0"/>
            </w:tcBorders>
            <w:vAlign w:val="center"/>
          </w:tcPr>
          <w:p>
            <w:pPr>
              <w:autoSpaceDE w:val="0"/>
              <w:autoSpaceDN w:val="0"/>
              <w:adjustRightInd w:val="0"/>
              <w:snapToGrid w:val="0"/>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5" w:hRule="atLeast"/>
        </w:trPr>
        <w:tc>
          <w:tcPr>
            <w:tcW w:w="1277" w:type="dxa"/>
            <w:gridSpan w:val="2"/>
            <w:vMerge w:val="continue"/>
            <w:vAlign w:val="center"/>
          </w:tcPr>
          <w:p>
            <w:pPr>
              <w:autoSpaceDE w:val="0"/>
              <w:autoSpaceDN w:val="0"/>
              <w:adjustRightInd w:val="0"/>
              <w:snapToGrid w:val="0"/>
              <w:jc w:val="center"/>
              <w:rPr>
                <w:rFonts w:ascii="宋体" w:hAnsi="宋体"/>
                <w:b/>
                <w:sz w:val="18"/>
                <w:szCs w:val="18"/>
              </w:rPr>
            </w:pPr>
          </w:p>
        </w:tc>
        <w:tc>
          <w:tcPr>
            <w:tcW w:w="1134" w:type="dxa"/>
            <w:gridSpan w:val="2"/>
            <w:vAlign w:val="center"/>
          </w:tcPr>
          <w:p>
            <w:pPr>
              <w:autoSpaceDE w:val="0"/>
              <w:autoSpaceDN w:val="0"/>
              <w:adjustRightInd w:val="0"/>
              <w:snapToGrid w:val="0"/>
              <w:jc w:val="center"/>
              <w:rPr>
                <w:rFonts w:ascii="宋体" w:hAnsi="宋体"/>
                <w:b/>
                <w:bCs/>
                <w:sz w:val="18"/>
                <w:szCs w:val="18"/>
              </w:rPr>
            </w:pPr>
            <w:r>
              <w:rPr>
                <w:rFonts w:hint="eastAsia" w:ascii="宋体" w:hAnsi="宋体"/>
                <w:b/>
                <w:bCs/>
                <w:sz w:val="18"/>
                <w:szCs w:val="18"/>
              </w:rPr>
              <w:t>赎回</w:t>
            </w:r>
          </w:p>
        </w:tc>
        <w:tc>
          <w:tcPr>
            <w:tcW w:w="4819" w:type="dxa"/>
            <w:tcBorders>
              <w:right w:val="single" w:color="auto" w:sz="4" w:space="0"/>
            </w:tcBorders>
            <w:vAlign w:val="center"/>
          </w:tcPr>
          <w:p>
            <w:pPr>
              <w:autoSpaceDE w:val="0"/>
              <w:autoSpaceDN w:val="0"/>
              <w:adjustRightInd w:val="0"/>
              <w:snapToGrid w:val="0"/>
              <w:jc w:val="left"/>
              <w:rPr>
                <w:rFonts w:ascii="宋体" w:hAnsi="宋体"/>
                <w:b/>
                <w:bCs/>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rPr>
              <w:t>份。</w:t>
            </w:r>
          </w:p>
        </w:tc>
        <w:tc>
          <w:tcPr>
            <w:tcW w:w="1843" w:type="dxa"/>
            <w:vMerge w:val="continue"/>
            <w:tcBorders>
              <w:left w:val="single" w:color="auto" w:sz="4" w:space="0"/>
            </w:tcBorders>
            <w:vAlign w:val="center"/>
          </w:tcPr>
          <w:p>
            <w:pPr>
              <w:autoSpaceDE w:val="0"/>
              <w:autoSpaceDN w:val="0"/>
              <w:adjustRightInd w:val="0"/>
              <w:snapToGrid w:val="0"/>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57" w:hRule="atLeast"/>
        </w:trPr>
        <w:tc>
          <w:tcPr>
            <w:tcW w:w="1277" w:type="dxa"/>
            <w:gridSpan w:val="2"/>
            <w:vAlign w:val="center"/>
          </w:tcPr>
          <w:p>
            <w:pPr>
              <w:autoSpaceDE w:val="0"/>
              <w:autoSpaceDN w:val="0"/>
              <w:adjustRightInd w:val="0"/>
              <w:snapToGrid w:val="0"/>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jc w:val="center"/>
              <w:rPr>
                <w:rFonts w:ascii="宋体" w:hAnsi="宋体"/>
                <w:b/>
                <w:sz w:val="18"/>
                <w:szCs w:val="18"/>
              </w:rPr>
            </w:pPr>
            <w:r>
              <w:rPr>
                <w:rFonts w:hint="eastAsia" w:ascii="宋体" w:hAnsi="宋体"/>
                <w:b/>
                <w:sz w:val="18"/>
                <w:szCs w:val="18"/>
              </w:rPr>
              <w:t>交易申请日</w:t>
            </w:r>
          </w:p>
        </w:tc>
        <w:tc>
          <w:tcPr>
            <w:tcW w:w="6662" w:type="dxa"/>
            <w:gridSpan w:val="2"/>
            <w:vAlign w:val="center"/>
          </w:tcPr>
          <w:p>
            <w:pPr>
              <w:autoSpaceDE w:val="0"/>
              <w:autoSpaceDN w:val="0"/>
              <w:adjustRightInd w:val="0"/>
              <w:snapToGrid w:val="0"/>
              <w:jc w:val="center"/>
              <w:rPr>
                <w:rFonts w:ascii="宋体" w:hAnsi="宋体"/>
                <w:b/>
                <w:sz w:val="18"/>
                <w:szCs w:val="18"/>
              </w:rPr>
            </w:pPr>
            <w:r>
              <w:rPr>
                <w:rFonts w:hint="eastAsia" w:asciiTheme="minorEastAsia" w:hAnsiTheme="minorEastAsia"/>
                <w:sz w:val="18"/>
                <w:szCs w:val="18"/>
              </w:rPr>
              <w:t>【</w:t>
            </w:r>
            <w:r>
              <w:rPr>
                <w:rFonts w:asciiTheme="minorEastAsia" w:hAnsiTheme="minorEastAsia"/>
                <w:sz w:val="18"/>
                <w:szCs w:val="18"/>
              </w:rPr>
              <w:t xml:space="preserve"> 】年</w:t>
            </w:r>
            <w:r>
              <w:rPr>
                <w:rFonts w:hint="eastAsia" w:asciiTheme="minorEastAsia" w:hAnsiTheme="minorEastAsia"/>
                <w:sz w:val="18"/>
                <w:szCs w:val="18"/>
              </w:rPr>
              <w:t>【</w:t>
            </w:r>
            <w:r>
              <w:rPr>
                <w:rFonts w:asciiTheme="minorEastAsia" w:hAnsiTheme="minorEastAsia"/>
                <w:sz w:val="18"/>
                <w:szCs w:val="18"/>
              </w:rPr>
              <w:t xml:space="preserve"> </w:t>
            </w:r>
            <w:r>
              <w:rPr>
                <w:rFonts w:hint="eastAsia" w:asciiTheme="minorEastAsia" w:hAnsiTheme="minorEastAsia"/>
                <w:sz w:val="18"/>
                <w:szCs w:val="18"/>
              </w:rPr>
              <w:t>】月【</w:t>
            </w:r>
            <w:r>
              <w:rPr>
                <w:rFonts w:asciiTheme="minorEastAsia" w:hAnsiTheme="minorEastAsia"/>
                <w:sz w:val="18"/>
                <w:szCs w:val="18"/>
              </w:rPr>
              <w:t xml:space="preserve"> </w:t>
            </w:r>
            <w:r>
              <w:rPr>
                <w:rFonts w:hint="eastAsia" w:asciiTheme="minorEastAsia" w:hAnsiTheme="minorEastAsia"/>
                <w:sz w:val="18"/>
                <w:szCs w:val="18"/>
              </w:rPr>
              <w:t>】日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62" w:hRule="atLeast"/>
        </w:trPr>
        <w:tc>
          <w:tcPr>
            <w:tcW w:w="9073" w:type="dxa"/>
            <w:gridSpan w:val="6"/>
            <w:vAlign w:val="center"/>
          </w:tcPr>
          <w:p>
            <w:pPr>
              <w:autoSpaceDE w:val="0"/>
              <w:autoSpaceDN w:val="0"/>
              <w:adjustRightInd w:val="0"/>
              <w:snapToGrid w:val="0"/>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1"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8222" w:type="dxa"/>
            <w:gridSpan w:val="5"/>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22" w:hRule="exact"/>
        </w:trPr>
        <w:tc>
          <w:tcPr>
            <w:tcW w:w="851"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7371" w:type="dxa"/>
            <w:gridSpan w:val="3"/>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7371" w:type="dxa"/>
            <w:gridSpan w:val="3"/>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pgSz w:w="11906" w:h="16838"/>
      <w:pgMar w:top="1440" w:right="1800" w:bottom="1440" w:left="1800" w:header="567"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2</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6A1"/>
    <w:rsid w:val="00001E2E"/>
    <w:rsid w:val="000047F2"/>
    <w:rsid w:val="000052BD"/>
    <w:rsid w:val="00006526"/>
    <w:rsid w:val="000073F3"/>
    <w:rsid w:val="0001314C"/>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6B4B"/>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34B"/>
    <w:rsid w:val="00156B9B"/>
    <w:rsid w:val="001676C5"/>
    <w:rsid w:val="00172A27"/>
    <w:rsid w:val="001739F3"/>
    <w:rsid w:val="00176250"/>
    <w:rsid w:val="001767D5"/>
    <w:rsid w:val="00181F8E"/>
    <w:rsid w:val="00183919"/>
    <w:rsid w:val="00184F16"/>
    <w:rsid w:val="001913D5"/>
    <w:rsid w:val="001A0DEE"/>
    <w:rsid w:val="001A331C"/>
    <w:rsid w:val="001A3B4F"/>
    <w:rsid w:val="001B3D1B"/>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5DFD"/>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D80"/>
    <w:rsid w:val="00260461"/>
    <w:rsid w:val="00261F65"/>
    <w:rsid w:val="00262029"/>
    <w:rsid w:val="002632C7"/>
    <w:rsid w:val="00263D71"/>
    <w:rsid w:val="00267780"/>
    <w:rsid w:val="002719C4"/>
    <w:rsid w:val="00276547"/>
    <w:rsid w:val="002819AA"/>
    <w:rsid w:val="00284C82"/>
    <w:rsid w:val="00287678"/>
    <w:rsid w:val="00287D6F"/>
    <w:rsid w:val="00294417"/>
    <w:rsid w:val="0029567E"/>
    <w:rsid w:val="002A31A8"/>
    <w:rsid w:val="002A571E"/>
    <w:rsid w:val="002A599B"/>
    <w:rsid w:val="002A72B3"/>
    <w:rsid w:val="002B2076"/>
    <w:rsid w:val="002B2E59"/>
    <w:rsid w:val="002B30E7"/>
    <w:rsid w:val="002B3DF5"/>
    <w:rsid w:val="002B659B"/>
    <w:rsid w:val="002B661B"/>
    <w:rsid w:val="002C13C1"/>
    <w:rsid w:val="002C27E7"/>
    <w:rsid w:val="002C3012"/>
    <w:rsid w:val="002C7D8E"/>
    <w:rsid w:val="002D121A"/>
    <w:rsid w:val="002D407E"/>
    <w:rsid w:val="002E2C93"/>
    <w:rsid w:val="002E388A"/>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8B0"/>
    <w:rsid w:val="00395E69"/>
    <w:rsid w:val="0039705F"/>
    <w:rsid w:val="003A2822"/>
    <w:rsid w:val="003B03E1"/>
    <w:rsid w:val="003B0F19"/>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3AE7"/>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75C3"/>
    <w:rsid w:val="00487FEB"/>
    <w:rsid w:val="004918BC"/>
    <w:rsid w:val="00493B96"/>
    <w:rsid w:val="004946EF"/>
    <w:rsid w:val="004973D1"/>
    <w:rsid w:val="004A23D9"/>
    <w:rsid w:val="004A3FA4"/>
    <w:rsid w:val="004A5131"/>
    <w:rsid w:val="004A7454"/>
    <w:rsid w:val="004B03B2"/>
    <w:rsid w:val="004B3210"/>
    <w:rsid w:val="004B3302"/>
    <w:rsid w:val="004B3AF7"/>
    <w:rsid w:val="004B6C04"/>
    <w:rsid w:val="004B7A5A"/>
    <w:rsid w:val="004C1C32"/>
    <w:rsid w:val="004C23FF"/>
    <w:rsid w:val="004C2E33"/>
    <w:rsid w:val="004C39B2"/>
    <w:rsid w:val="004C3F33"/>
    <w:rsid w:val="004C5C67"/>
    <w:rsid w:val="004D6E12"/>
    <w:rsid w:val="004E08AE"/>
    <w:rsid w:val="004E1B86"/>
    <w:rsid w:val="004E3E74"/>
    <w:rsid w:val="004E4588"/>
    <w:rsid w:val="004E5D10"/>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82A"/>
    <w:rsid w:val="005578EB"/>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D7C36"/>
    <w:rsid w:val="005E03C1"/>
    <w:rsid w:val="005E2C29"/>
    <w:rsid w:val="005E3D99"/>
    <w:rsid w:val="005E7D8A"/>
    <w:rsid w:val="006001EC"/>
    <w:rsid w:val="00605764"/>
    <w:rsid w:val="00605F23"/>
    <w:rsid w:val="00607C62"/>
    <w:rsid w:val="00613250"/>
    <w:rsid w:val="00613EED"/>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7443"/>
    <w:rsid w:val="006D1109"/>
    <w:rsid w:val="006D4A61"/>
    <w:rsid w:val="006D6CDD"/>
    <w:rsid w:val="006D7EB4"/>
    <w:rsid w:val="006E07CD"/>
    <w:rsid w:val="006E4978"/>
    <w:rsid w:val="006E56C2"/>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B37"/>
    <w:rsid w:val="00764FE5"/>
    <w:rsid w:val="0076672F"/>
    <w:rsid w:val="00770687"/>
    <w:rsid w:val="00773717"/>
    <w:rsid w:val="00775FFD"/>
    <w:rsid w:val="00784D9C"/>
    <w:rsid w:val="007856E8"/>
    <w:rsid w:val="00785730"/>
    <w:rsid w:val="00786BEA"/>
    <w:rsid w:val="00786E6B"/>
    <w:rsid w:val="007874E0"/>
    <w:rsid w:val="00790A64"/>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E0F86"/>
    <w:rsid w:val="007E1220"/>
    <w:rsid w:val="007E32B6"/>
    <w:rsid w:val="007E40AA"/>
    <w:rsid w:val="007E6098"/>
    <w:rsid w:val="007F214F"/>
    <w:rsid w:val="007F66C2"/>
    <w:rsid w:val="007F71C3"/>
    <w:rsid w:val="00802F46"/>
    <w:rsid w:val="0080338A"/>
    <w:rsid w:val="008051C4"/>
    <w:rsid w:val="00806156"/>
    <w:rsid w:val="00810CE5"/>
    <w:rsid w:val="0081194A"/>
    <w:rsid w:val="00816E31"/>
    <w:rsid w:val="0081755C"/>
    <w:rsid w:val="008209BF"/>
    <w:rsid w:val="008235A9"/>
    <w:rsid w:val="0082410A"/>
    <w:rsid w:val="00830913"/>
    <w:rsid w:val="00833DA0"/>
    <w:rsid w:val="0084117B"/>
    <w:rsid w:val="00842240"/>
    <w:rsid w:val="00842ECC"/>
    <w:rsid w:val="00844C52"/>
    <w:rsid w:val="00844FAC"/>
    <w:rsid w:val="00847D06"/>
    <w:rsid w:val="008526AD"/>
    <w:rsid w:val="00852A74"/>
    <w:rsid w:val="0085467A"/>
    <w:rsid w:val="00855E29"/>
    <w:rsid w:val="00856912"/>
    <w:rsid w:val="00862721"/>
    <w:rsid w:val="00863B57"/>
    <w:rsid w:val="00870710"/>
    <w:rsid w:val="00871266"/>
    <w:rsid w:val="00871450"/>
    <w:rsid w:val="008739A5"/>
    <w:rsid w:val="0087714D"/>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5B69"/>
    <w:rsid w:val="0090798A"/>
    <w:rsid w:val="00907AEC"/>
    <w:rsid w:val="00911B78"/>
    <w:rsid w:val="009122AA"/>
    <w:rsid w:val="00914791"/>
    <w:rsid w:val="00920606"/>
    <w:rsid w:val="00925A17"/>
    <w:rsid w:val="00927AE1"/>
    <w:rsid w:val="0093239E"/>
    <w:rsid w:val="00933BBA"/>
    <w:rsid w:val="00933D38"/>
    <w:rsid w:val="00944C6F"/>
    <w:rsid w:val="00947DAA"/>
    <w:rsid w:val="0095255D"/>
    <w:rsid w:val="00952B18"/>
    <w:rsid w:val="0095500C"/>
    <w:rsid w:val="0095516F"/>
    <w:rsid w:val="009559AB"/>
    <w:rsid w:val="00961CD3"/>
    <w:rsid w:val="009639E7"/>
    <w:rsid w:val="0096677D"/>
    <w:rsid w:val="0097370D"/>
    <w:rsid w:val="009768D0"/>
    <w:rsid w:val="0097776B"/>
    <w:rsid w:val="00977B2B"/>
    <w:rsid w:val="00977C61"/>
    <w:rsid w:val="00983DF9"/>
    <w:rsid w:val="00987518"/>
    <w:rsid w:val="00993714"/>
    <w:rsid w:val="009969BB"/>
    <w:rsid w:val="00996C45"/>
    <w:rsid w:val="009A14A5"/>
    <w:rsid w:val="009A42BC"/>
    <w:rsid w:val="009B0C9E"/>
    <w:rsid w:val="009B1C9C"/>
    <w:rsid w:val="009B2C85"/>
    <w:rsid w:val="009B5BC2"/>
    <w:rsid w:val="009C2069"/>
    <w:rsid w:val="009C521A"/>
    <w:rsid w:val="009C6F8E"/>
    <w:rsid w:val="009D63B0"/>
    <w:rsid w:val="009D7AA0"/>
    <w:rsid w:val="009E371D"/>
    <w:rsid w:val="009E4C02"/>
    <w:rsid w:val="009E5E1C"/>
    <w:rsid w:val="009E6DAE"/>
    <w:rsid w:val="009F1537"/>
    <w:rsid w:val="009F29D8"/>
    <w:rsid w:val="009F4C90"/>
    <w:rsid w:val="009F759C"/>
    <w:rsid w:val="009F7CF8"/>
    <w:rsid w:val="00A11CB0"/>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3BDD"/>
    <w:rsid w:val="00A75B30"/>
    <w:rsid w:val="00A76F1E"/>
    <w:rsid w:val="00A81ECE"/>
    <w:rsid w:val="00A84912"/>
    <w:rsid w:val="00A879D0"/>
    <w:rsid w:val="00A87A12"/>
    <w:rsid w:val="00A90D98"/>
    <w:rsid w:val="00A9723D"/>
    <w:rsid w:val="00A9773F"/>
    <w:rsid w:val="00A97F9F"/>
    <w:rsid w:val="00AA0BFE"/>
    <w:rsid w:val="00AA2082"/>
    <w:rsid w:val="00AB009C"/>
    <w:rsid w:val="00AB633E"/>
    <w:rsid w:val="00AB7FE4"/>
    <w:rsid w:val="00AC18A8"/>
    <w:rsid w:val="00AC3CEC"/>
    <w:rsid w:val="00AC4838"/>
    <w:rsid w:val="00AC4A57"/>
    <w:rsid w:val="00AC6DEA"/>
    <w:rsid w:val="00AD1745"/>
    <w:rsid w:val="00AD4F90"/>
    <w:rsid w:val="00AD57C7"/>
    <w:rsid w:val="00AD74DA"/>
    <w:rsid w:val="00AE3332"/>
    <w:rsid w:val="00AE4AC1"/>
    <w:rsid w:val="00AE6A16"/>
    <w:rsid w:val="00AF2416"/>
    <w:rsid w:val="00AF3E6D"/>
    <w:rsid w:val="00AF40F3"/>
    <w:rsid w:val="00AF49B3"/>
    <w:rsid w:val="00AF5042"/>
    <w:rsid w:val="00AF7D63"/>
    <w:rsid w:val="00B010E6"/>
    <w:rsid w:val="00B01124"/>
    <w:rsid w:val="00B034C7"/>
    <w:rsid w:val="00B123EF"/>
    <w:rsid w:val="00B13299"/>
    <w:rsid w:val="00B13D10"/>
    <w:rsid w:val="00B20BD0"/>
    <w:rsid w:val="00B21F78"/>
    <w:rsid w:val="00B23C21"/>
    <w:rsid w:val="00B241B4"/>
    <w:rsid w:val="00B24D2D"/>
    <w:rsid w:val="00B340F8"/>
    <w:rsid w:val="00B3762A"/>
    <w:rsid w:val="00B4101D"/>
    <w:rsid w:val="00B41509"/>
    <w:rsid w:val="00B43375"/>
    <w:rsid w:val="00B52FAD"/>
    <w:rsid w:val="00B56276"/>
    <w:rsid w:val="00B606E5"/>
    <w:rsid w:val="00B606E6"/>
    <w:rsid w:val="00B61A35"/>
    <w:rsid w:val="00B70428"/>
    <w:rsid w:val="00B70DB8"/>
    <w:rsid w:val="00B72632"/>
    <w:rsid w:val="00B73C10"/>
    <w:rsid w:val="00B74A78"/>
    <w:rsid w:val="00B74F12"/>
    <w:rsid w:val="00B75AC5"/>
    <w:rsid w:val="00B76971"/>
    <w:rsid w:val="00B84E80"/>
    <w:rsid w:val="00B85D3C"/>
    <w:rsid w:val="00B85F6B"/>
    <w:rsid w:val="00B92A1E"/>
    <w:rsid w:val="00B93447"/>
    <w:rsid w:val="00B93769"/>
    <w:rsid w:val="00B9604A"/>
    <w:rsid w:val="00B9646A"/>
    <w:rsid w:val="00BA39BA"/>
    <w:rsid w:val="00BA3B89"/>
    <w:rsid w:val="00BA55D3"/>
    <w:rsid w:val="00BA7689"/>
    <w:rsid w:val="00BB0B42"/>
    <w:rsid w:val="00BB49A2"/>
    <w:rsid w:val="00BB521C"/>
    <w:rsid w:val="00BB5E64"/>
    <w:rsid w:val="00BC32EB"/>
    <w:rsid w:val="00BC4611"/>
    <w:rsid w:val="00BC68AA"/>
    <w:rsid w:val="00BD020C"/>
    <w:rsid w:val="00BD0D17"/>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0BC"/>
    <w:rsid w:val="00C348DE"/>
    <w:rsid w:val="00C349B7"/>
    <w:rsid w:val="00C3641F"/>
    <w:rsid w:val="00C40580"/>
    <w:rsid w:val="00C4092B"/>
    <w:rsid w:val="00C41A12"/>
    <w:rsid w:val="00C41D76"/>
    <w:rsid w:val="00C46269"/>
    <w:rsid w:val="00C5061E"/>
    <w:rsid w:val="00C527BF"/>
    <w:rsid w:val="00C54EDB"/>
    <w:rsid w:val="00C550E2"/>
    <w:rsid w:val="00C561B4"/>
    <w:rsid w:val="00C569F3"/>
    <w:rsid w:val="00C57F3A"/>
    <w:rsid w:val="00C6524D"/>
    <w:rsid w:val="00C6577D"/>
    <w:rsid w:val="00C66942"/>
    <w:rsid w:val="00C80014"/>
    <w:rsid w:val="00C822A5"/>
    <w:rsid w:val="00C8645E"/>
    <w:rsid w:val="00C90BFF"/>
    <w:rsid w:val="00C9379A"/>
    <w:rsid w:val="00C97F28"/>
    <w:rsid w:val="00CA42AB"/>
    <w:rsid w:val="00CA504C"/>
    <w:rsid w:val="00CA767B"/>
    <w:rsid w:val="00CB118D"/>
    <w:rsid w:val="00CB24A2"/>
    <w:rsid w:val="00CC153D"/>
    <w:rsid w:val="00CC5DA1"/>
    <w:rsid w:val="00CD1A38"/>
    <w:rsid w:val="00CD1ED6"/>
    <w:rsid w:val="00CD4530"/>
    <w:rsid w:val="00CE04EA"/>
    <w:rsid w:val="00CE199D"/>
    <w:rsid w:val="00CE21A3"/>
    <w:rsid w:val="00CE3D7D"/>
    <w:rsid w:val="00CF07E7"/>
    <w:rsid w:val="00CF20EC"/>
    <w:rsid w:val="00D044FA"/>
    <w:rsid w:val="00D06A40"/>
    <w:rsid w:val="00D07F3D"/>
    <w:rsid w:val="00D11889"/>
    <w:rsid w:val="00D143FA"/>
    <w:rsid w:val="00D14989"/>
    <w:rsid w:val="00D1696F"/>
    <w:rsid w:val="00D246C7"/>
    <w:rsid w:val="00D251F1"/>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20EB"/>
    <w:rsid w:val="00D8308D"/>
    <w:rsid w:val="00D833EB"/>
    <w:rsid w:val="00D837CC"/>
    <w:rsid w:val="00D92526"/>
    <w:rsid w:val="00D97143"/>
    <w:rsid w:val="00D9748A"/>
    <w:rsid w:val="00DA43E0"/>
    <w:rsid w:val="00DA5A27"/>
    <w:rsid w:val="00DA78A9"/>
    <w:rsid w:val="00DA7A2B"/>
    <w:rsid w:val="00DB201C"/>
    <w:rsid w:val="00DB2DB0"/>
    <w:rsid w:val="00DB3857"/>
    <w:rsid w:val="00DB44A2"/>
    <w:rsid w:val="00DB6E39"/>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2287"/>
    <w:rsid w:val="00E1770C"/>
    <w:rsid w:val="00E22677"/>
    <w:rsid w:val="00E23CB4"/>
    <w:rsid w:val="00E23CE7"/>
    <w:rsid w:val="00E3045C"/>
    <w:rsid w:val="00E30CD1"/>
    <w:rsid w:val="00E323CD"/>
    <w:rsid w:val="00E34CBA"/>
    <w:rsid w:val="00E36F2B"/>
    <w:rsid w:val="00E37E1A"/>
    <w:rsid w:val="00E40765"/>
    <w:rsid w:val="00E4276E"/>
    <w:rsid w:val="00E44D44"/>
    <w:rsid w:val="00E44FFE"/>
    <w:rsid w:val="00E50662"/>
    <w:rsid w:val="00E51C4F"/>
    <w:rsid w:val="00E57E75"/>
    <w:rsid w:val="00E67AFF"/>
    <w:rsid w:val="00E7480F"/>
    <w:rsid w:val="00E753BD"/>
    <w:rsid w:val="00E774B6"/>
    <w:rsid w:val="00E83E00"/>
    <w:rsid w:val="00E8753A"/>
    <w:rsid w:val="00E90A44"/>
    <w:rsid w:val="00E966A2"/>
    <w:rsid w:val="00E97E89"/>
    <w:rsid w:val="00EA6CED"/>
    <w:rsid w:val="00EB0C83"/>
    <w:rsid w:val="00EB5E32"/>
    <w:rsid w:val="00EB772E"/>
    <w:rsid w:val="00EC514B"/>
    <w:rsid w:val="00ED08E0"/>
    <w:rsid w:val="00ED0F4E"/>
    <w:rsid w:val="00ED1DD5"/>
    <w:rsid w:val="00ED2BA5"/>
    <w:rsid w:val="00ED3882"/>
    <w:rsid w:val="00ED3E6B"/>
    <w:rsid w:val="00ED5759"/>
    <w:rsid w:val="00ED5E6F"/>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550C"/>
    <w:rsid w:val="00F4075D"/>
    <w:rsid w:val="00F43CC2"/>
    <w:rsid w:val="00F45279"/>
    <w:rsid w:val="00F45D4D"/>
    <w:rsid w:val="00F477AD"/>
    <w:rsid w:val="00F4787A"/>
    <w:rsid w:val="00F55612"/>
    <w:rsid w:val="00F611C6"/>
    <w:rsid w:val="00F652FF"/>
    <w:rsid w:val="00F6638A"/>
    <w:rsid w:val="00F6673D"/>
    <w:rsid w:val="00F6765C"/>
    <w:rsid w:val="00F7607C"/>
    <w:rsid w:val="00F8155D"/>
    <w:rsid w:val="00F84ACA"/>
    <w:rsid w:val="00F865A9"/>
    <w:rsid w:val="00F8733E"/>
    <w:rsid w:val="00F913B7"/>
    <w:rsid w:val="00F91EA4"/>
    <w:rsid w:val="00F92464"/>
    <w:rsid w:val="00FA10AA"/>
    <w:rsid w:val="00FA2F7C"/>
    <w:rsid w:val="00FA3BF1"/>
    <w:rsid w:val="00FB0D3D"/>
    <w:rsid w:val="00FB166A"/>
    <w:rsid w:val="00FB7721"/>
    <w:rsid w:val="00FC3B11"/>
    <w:rsid w:val="00FC64D6"/>
    <w:rsid w:val="00FC6768"/>
    <w:rsid w:val="00FD08DF"/>
    <w:rsid w:val="00FD4E32"/>
    <w:rsid w:val="00FD771E"/>
    <w:rsid w:val="00FD7F16"/>
    <w:rsid w:val="00FE1886"/>
    <w:rsid w:val="00FE2B6B"/>
    <w:rsid w:val="00FE2CC0"/>
    <w:rsid w:val="00FE441D"/>
    <w:rsid w:val="00FF46EE"/>
    <w:rsid w:val="149E474A"/>
    <w:rsid w:val="2D6D5335"/>
    <w:rsid w:val="35C863A1"/>
    <w:rsid w:val="3DD41285"/>
    <w:rsid w:val="45ED39EA"/>
    <w:rsid w:val="4F9B33E8"/>
    <w:rsid w:val="54931C51"/>
    <w:rsid w:val="687025FC"/>
    <w:rsid w:val="6B5604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5" w:themeColor="accent1" w:themeShade="BF"/>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45E7F2-6933-46D9-8985-29460243801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17</Pages>
  <Words>1478</Words>
  <Characters>8431</Characters>
  <Lines>70</Lines>
  <Paragraphs>19</Paragraphs>
  <TotalTime>59</TotalTime>
  <ScaleCrop>false</ScaleCrop>
  <LinksUpToDate>false</LinksUpToDate>
  <CharactersWithSpaces>9890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2021-03-29T01:33:00Z</dcterms:created>
  <dc:creator>Mandy.Z</dc:creator>
  <cp:lastModifiedBy>cib</cp:lastModifiedBy>
  <cp:lastPrinted>2017-10-31T06:33:00Z</cp:lastPrinted>
  <dcterms:modified xsi:type="dcterms:W3CDTF">2023-08-01T02:45:36Z</dcterms:modified>
  <dc:title>___证券投资基金招募说明书1</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