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00" w:lineRule="exact"/>
        <w:jc w:val="center"/>
        <w:outlineLvl w:val="1"/>
        <w:rPr>
          <w:rFonts w:ascii="Times New Roman" w:hAnsi="Times New Roman" w:eastAsia="黑体" w:cs="Times New Roman"/>
          <w:sz w:val="22"/>
        </w:rPr>
      </w:pPr>
      <w:r>
        <w:rPr>
          <w:rFonts w:ascii="Times New Roman" w:hAnsi="Times New Roman" w:eastAsia="黑体" w:cs="Times New Roman"/>
          <w:sz w:val="22"/>
        </w:rPr>
        <w:t>信银理财理财产品投资协议书</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b/>
          <w:sz w:val="20"/>
          <w:szCs w:val="20"/>
        </w:rPr>
      </w:pPr>
      <w:r>
        <w:rPr>
          <w:rFonts w:ascii="Times New Roman" w:hAnsi="Times New Roman" w:eastAsia="楷体_GB2312" w:cs="Times New Roman"/>
          <w:b/>
          <w:sz w:val="20"/>
          <w:szCs w:val="20"/>
        </w:rPr>
        <w:t>甲方：投资者（投资者信息详见签署页）</w:t>
      </w:r>
    </w:p>
    <w:p>
      <w:pPr>
        <w:spacing w:line="300" w:lineRule="exact"/>
        <w:ind w:firstLine="480"/>
        <w:rPr>
          <w:rFonts w:ascii="Times New Roman" w:hAnsi="Times New Roman" w:eastAsia="楷体_GB2312" w:cs="Times New Roman"/>
          <w:b/>
          <w:sz w:val="20"/>
          <w:szCs w:val="20"/>
        </w:rPr>
      </w:pPr>
      <w:r>
        <w:rPr>
          <w:rFonts w:ascii="Times New Roman" w:hAnsi="Times New Roman" w:eastAsia="楷体_GB2312" w:cs="Times New Roman"/>
          <w:b/>
          <w:sz w:val="20"/>
          <w:szCs w:val="20"/>
        </w:rPr>
        <w:t>乙方：信银理财有限责任公司</w:t>
      </w:r>
    </w:p>
    <w:p>
      <w:pPr>
        <w:spacing w:line="300" w:lineRule="exact"/>
        <w:ind w:firstLine="480"/>
        <w:rPr>
          <w:rFonts w:ascii="Times New Roman" w:hAnsi="Times New Roman" w:eastAsia="楷体_GB2312" w:cs="Times New Roman"/>
          <w:sz w:val="20"/>
          <w:szCs w:val="20"/>
        </w:rPr>
      </w:pP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经甲方和乙方平等协商，就甲方认购/申购乙方发行的理财产品（以下简称"理财产品"），达成本协议如下：</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b/>
          <w:bCs/>
          <w:sz w:val="20"/>
          <w:szCs w:val="20"/>
        </w:rPr>
        <w:t>一、适用范围</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甲方在认购/申购乙方发行的理财产品之前应签署本协议。本协议生效后，甲方认购/申购</w:t>
      </w:r>
      <w:r>
        <w:rPr>
          <w:rFonts w:hint="eastAsia" w:ascii="Times New Roman" w:hAnsi="Times New Roman" w:eastAsia="楷体_GB2312" w:cs="Times New Roman"/>
          <w:sz w:val="20"/>
          <w:szCs w:val="20"/>
        </w:rPr>
        <w:t>乙方</w:t>
      </w:r>
      <w:r>
        <w:rPr>
          <w:rFonts w:ascii="Times New Roman" w:hAnsi="Times New Roman" w:eastAsia="楷体_GB2312" w:cs="Times New Roman"/>
          <w:sz w:val="20"/>
          <w:szCs w:val="20"/>
        </w:rPr>
        <w:t>发行的理财产品的，均适用本协议。</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本协议与甲方认购/申购理财产品的《信银理财理财产品产品说明书》《信银理财理财产品风险揭示书》《信银理财理财产品销售总协议》（含附件</w:t>
      </w:r>
      <w:bookmarkStart w:id="0" w:name="_GoBack"/>
      <w:bookmarkEnd w:id="0"/>
      <w:r>
        <w:rPr>
          <w:rFonts w:ascii="Times New Roman" w:hAnsi="Times New Roman" w:eastAsia="楷体_GB2312" w:cs="Times New Roman"/>
          <w:sz w:val="20"/>
          <w:szCs w:val="20"/>
        </w:rPr>
        <w:t>：客户权益须知专页）</w:t>
      </w:r>
      <w:r>
        <w:rPr>
          <w:rFonts w:hint="eastAsia" w:ascii="Times New Roman" w:hAnsi="Times New Roman" w:eastAsia="楷体_GB2312" w:cs="Times New Roman"/>
          <w:sz w:val="20"/>
          <w:szCs w:val="20"/>
        </w:rPr>
        <w:t>（或合作销售机构向投资者提供的理财产品销售协议文本）</w:t>
      </w:r>
      <w:r>
        <w:rPr>
          <w:rFonts w:ascii="Times New Roman" w:hAnsi="Times New Roman" w:eastAsia="楷体_GB2312" w:cs="Times New Roman"/>
          <w:sz w:val="20"/>
          <w:szCs w:val="20"/>
        </w:rPr>
        <w:t>共同构成一份完整的理财产品销售文件（以下简称"产品销售文件"）。甲方认购/申购</w:t>
      </w:r>
      <w:r>
        <w:rPr>
          <w:rFonts w:hint="eastAsia" w:ascii="Times New Roman" w:hAnsi="Times New Roman" w:eastAsia="楷体_GB2312" w:cs="Times New Roman"/>
          <w:sz w:val="20"/>
          <w:szCs w:val="20"/>
        </w:rPr>
        <w:t>乙方</w:t>
      </w:r>
      <w:r>
        <w:rPr>
          <w:rFonts w:ascii="Times New Roman" w:hAnsi="Times New Roman" w:eastAsia="楷体_GB2312" w:cs="Times New Roman"/>
          <w:sz w:val="20"/>
          <w:szCs w:val="20"/>
        </w:rPr>
        <w:t>多支理财产品时，不同产品的《信银理财理财产品产品说明书》组成的产品销售文件互相独立。</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本协议不作为甲方认购/申购或持有理财产品的凭证。</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b/>
          <w:bCs/>
          <w:sz w:val="20"/>
          <w:szCs w:val="20"/>
        </w:rPr>
        <w:t>二、风险提示</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基于所投资的不同理财产品可能面临包括但不限于信用风险、市场风险、流动性风险、提前终止风险、政策风险、信息传递风险、管理风险、延期清算风险、产品不成立风险、不可抗力及意外事件风险、</w:t>
      </w:r>
      <w:r>
        <w:rPr>
          <w:rFonts w:hint="eastAsia" w:ascii="Times New Roman" w:hAnsi="Times New Roman" w:eastAsia="楷体_GB2312" w:cs="Times New Roman"/>
          <w:b/>
          <w:bCs/>
          <w:sz w:val="20"/>
          <w:szCs w:val="20"/>
        </w:rPr>
        <w:t>关联交易</w:t>
      </w:r>
      <w:r>
        <w:rPr>
          <w:rFonts w:ascii="Times New Roman" w:hAnsi="Times New Roman" w:eastAsia="楷体_GB2312" w:cs="Times New Roman"/>
          <w:b/>
          <w:bCs/>
          <w:sz w:val="20"/>
          <w:szCs w:val="20"/>
        </w:rPr>
        <w:t>风险、合作销售机构风险、操作风险等风险，具体风险请甲方仔细阅读认购/申购的理财产品的《信银理财理财产品产品说明书》和《信银理财理财产品风险揭示书》中的相应条款。</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三、投资条款</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Cs/>
          <w:sz w:val="20"/>
          <w:szCs w:val="20"/>
        </w:rPr>
        <w:t>甲方认购/申购理财产品的具体认购/申购条件、流程、金额、份额、费用以及其他投资条款，由甲方实际认购/申购的理财产品的《信银理财理财产品产品说明书》具体约定。</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b/>
          <w:bCs/>
          <w:sz w:val="20"/>
          <w:szCs w:val="20"/>
        </w:rPr>
        <w:t>四、甲方的权利与义务</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（一）甲方具有完全民事行为能力，有完全适当的资格与能力订立并履行理财产品合同，不存在法律、行政法规有关规定禁止或限制投资理财产品的情形（适用于个人投资者）；</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合同所需的一切有关批准、许可、备案或者登记。（适用于机构投资者）；</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（二）甲方保证以真实身份投资本理财产品，保证提供给产品管理人</w:t>
      </w:r>
      <w:r>
        <w:rPr>
          <w:rFonts w:hint="eastAsia" w:ascii="Times New Roman" w:hAnsi="Times New Roman" w:eastAsia="楷体_GB2312" w:cs="Times New Roman"/>
          <w:sz w:val="20"/>
          <w:szCs w:val="20"/>
        </w:rPr>
        <w:t>/</w:t>
      </w:r>
      <w:r>
        <w:rPr>
          <w:rFonts w:ascii="Times New Roman" w:hAnsi="Times New Roman" w:eastAsia="楷体_GB2312" w:cs="Times New Roman"/>
          <w:sz w:val="20"/>
          <w:szCs w:val="20"/>
        </w:rPr>
        <w:t>代销机构的信息和资料均真实、准确、完整、合法。如甲方的信息和/或资料发生变更，应当及时书面告知产品管理人或代销机构；</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（三）甲方声明熟悉理财产品类型特征及不同销售渠道的法律法规规定；</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（四）甲方承诺：如委托他人购买本产品，代理人须出具具有法律效力的授权委托书；</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（五）甲方保证理财投资资金来源和用途合法，保证可向产品管理人</w:t>
      </w:r>
      <w:r>
        <w:rPr>
          <w:rFonts w:hint="eastAsia" w:ascii="Times New Roman" w:hAnsi="Times New Roman" w:eastAsia="楷体_GB2312" w:cs="Times New Roman"/>
          <w:sz w:val="20"/>
          <w:szCs w:val="20"/>
        </w:rPr>
        <w:t>/</w:t>
      </w:r>
      <w:r>
        <w:rPr>
          <w:rFonts w:ascii="Times New Roman" w:hAnsi="Times New Roman" w:eastAsia="楷体_GB2312" w:cs="Times New Roman"/>
          <w:sz w:val="20"/>
          <w:szCs w:val="20"/>
        </w:rPr>
        <w:t>代销机构提供合法筹集的证明文件；</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（六）甲方不得利用理财业务及理财产品合同项下理财产品从事违法活动；</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b/>
          <w:bCs/>
          <w:sz w:val="20"/>
          <w:szCs w:val="20"/>
        </w:rPr>
        <w:t>五、乙方的权利与义务</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（一）乙方具有开办理财业务的经营资质，保证以诚实守信、勤勉尽职的原则管理和运用理财资金；</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sz w:val="20"/>
          <w:szCs w:val="20"/>
        </w:rPr>
        <w:t>（二）乙方具有完全适当的资格和能力订立与履行理财产品合同。</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b/>
          <w:bCs/>
          <w:sz w:val="20"/>
          <w:szCs w:val="20"/>
        </w:rPr>
        <w:t>六、违约责任</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双方因违反本协议约定而给对方造成损失的，违约方应赔偿因此给对方造成的直接损失。</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七、免责内容</w:t>
      </w:r>
    </w:p>
    <w:p>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b/>
          <w:bCs/>
          <w:sz w:val="20"/>
          <w:szCs w:val="20"/>
        </w:rPr>
        <w:t>八、争议解决</w:t>
      </w:r>
    </w:p>
    <w:p>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sz w:val="20"/>
          <w:szCs w:val="20"/>
        </w:rPr>
        <w:t>本协议及产品销售文件均适用中华人民共和国法律（为履行本协议之目的，不包括中国香港特别行政区、澳门特别行政区及台湾地区法律）。</w:t>
      </w:r>
    </w:p>
    <w:p>
      <w:pPr>
        <w:spacing w:line="300" w:lineRule="exact"/>
        <w:ind w:firstLine="480"/>
        <w:rPr>
          <w:rFonts w:ascii="Times New Roman" w:hAnsi="Times New Roman" w:eastAsia="楷体_GB2312" w:cs="Times New Roman"/>
          <w:sz w:val="20"/>
          <w:szCs w:val="20"/>
        </w:rPr>
      </w:pPr>
      <w:r>
        <w:rPr>
          <w:rFonts w:ascii="Times New Roman" w:hAnsi="Times New Roman" w:eastAsia="楷体_GB2312" w:cs="Times New Roman"/>
          <w:bCs/>
          <w:sz w:val="20"/>
          <w:szCs w:val="20"/>
        </w:rPr>
        <w:t>甲乙双方在本协议项下发生任何争议时，应本着诚实信用的原则通过协商解决。如通过协商仍不能解决争议时，双方均同意向信银理财住所地有管辖权的人民法院提起诉讼</w:t>
      </w:r>
      <w:r>
        <w:rPr>
          <w:rFonts w:ascii="Times New Roman" w:hAnsi="Times New Roman" w:eastAsia="楷体_GB2312" w:cs="Times New Roman"/>
          <w:b/>
          <w:bCs/>
          <w:sz w:val="20"/>
          <w:szCs w:val="20"/>
        </w:rPr>
        <w:t>。</w:t>
      </w:r>
    </w:p>
    <w:p>
      <w:pPr>
        <w:spacing w:line="300" w:lineRule="exact"/>
        <w:ind w:firstLine="480"/>
        <w:rPr>
          <w:rFonts w:ascii="Times New Roman" w:hAnsi="Times New Roman" w:eastAsia="楷体_GB2312" w:cs="Times New Roman"/>
          <w:b/>
          <w:sz w:val="20"/>
          <w:szCs w:val="20"/>
        </w:rPr>
      </w:pPr>
      <w:r>
        <w:rPr>
          <w:rFonts w:ascii="Times New Roman" w:hAnsi="Times New Roman" w:eastAsia="楷体_GB2312" w:cs="Times New Roman"/>
          <w:b/>
          <w:sz w:val="20"/>
          <w:szCs w:val="20"/>
        </w:rPr>
        <w:t>九、附则</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申购份额经乙方确认后生效。甲方知悉并确认，乙方对于甲方认购/申购份额的确认即视为乙方对于本协议的签署和认可，甲方不得以乙方未在本协议上盖章为由主张本协议无效。</w:t>
      </w:r>
    </w:p>
    <w:p>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w:t>
      </w:r>
      <w:r>
        <w:rPr>
          <w:rFonts w:ascii="Times New Roman" w:hAnsi="Times New Roman" w:eastAsia="楷体_GB2312" w:cs="Times New Roman"/>
          <w:b/>
          <w:sz w:val="20"/>
          <w:szCs w:val="20"/>
        </w:rPr>
        <w:t>销</w:t>
      </w:r>
      <w:r>
        <w:rPr>
          <w:rFonts w:hint="eastAsia" w:ascii="Times New Roman" w:hAnsi="Times New Roman" w:eastAsia="楷体_GB2312" w:cs="Times New Roman"/>
          <w:b/>
          <w:sz w:val="20"/>
          <w:szCs w:val="20"/>
        </w:rPr>
        <w:t>，本协议其他条款或内容的合法性，有效性和可执行性不受影响</w:t>
      </w:r>
      <w:r>
        <w:rPr>
          <w:rFonts w:ascii="Times New Roman" w:hAnsi="Times New Roman" w:eastAsia="楷体_GB2312" w:cs="Times New Roman"/>
          <w:b/>
          <w:sz w:val="20"/>
          <w:szCs w:val="20"/>
        </w:rPr>
        <w:t>。</w:t>
      </w: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p>
    <w:p>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 xml:space="preserve">：个人投资者（签字）: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 xml:space="preserve">机构投资者（公章）:               </w:t>
      </w:r>
    </w:p>
    <w:p>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法定代表人/负责人/授权代表（签字/盖章）：</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证件类别</w:t>
      </w:r>
      <w:r>
        <w:rPr>
          <w:rFonts w:hint="eastAsia" w:ascii="Times New Roman" w:hAnsi="Times New Roman" w:eastAsia="楷体_GB2312" w:cs="Times New Roman"/>
          <w:sz w:val="20"/>
          <w:szCs w:val="20"/>
        </w:rPr>
        <w:t>（个人</w:t>
      </w:r>
      <w:r>
        <w:rPr>
          <w:rFonts w:ascii="Times New Roman" w:hAnsi="Times New Roman" w:eastAsia="楷体_GB2312" w:cs="Times New Roman"/>
          <w:sz w:val="20"/>
          <w:szCs w:val="20"/>
        </w:rPr>
        <w:t xml:space="preserve">投资者）：             </w:t>
      </w:r>
    </w:p>
    <w:p>
      <w:pPr>
        <w:spacing w:line="300" w:lineRule="exact"/>
        <w:ind w:firstLine="600" w:firstLineChars="300"/>
        <w:rPr>
          <w:rFonts w:ascii="Times New Roman" w:hAnsi="Times New Roman" w:eastAsia="楷体_GB2312" w:cs="Times New Roman"/>
          <w:sz w:val="20"/>
          <w:szCs w:val="20"/>
        </w:rPr>
      </w:pPr>
    </w:p>
    <w:p>
      <w:pPr>
        <w:spacing w:line="300" w:lineRule="exact"/>
        <w:ind w:firstLine="600" w:firstLineChars="300"/>
        <w:rPr>
          <w:rFonts w:ascii="Times New Roman" w:hAnsi="Times New Roman" w:eastAsia="楷体_GB2312" w:cs="Times New Roman"/>
          <w:sz w:val="20"/>
          <w:szCs w:val="20"/>
        </w:rPr>
      </w:pPr>
      <w:r>
        <w:rPr>
          <w:rFonts w:ascii="Times New Roman" w:hAnsi="Times New Roman" w:eastAsia="楷体_GB2312" w:cs="Times New Roman"/>
          <w:sz w:val="20"/>
          <w:szCs w:val="20"/>
        </w:rPr>
        <w:t>证件号</w:t>
      </w:r>
      <w:r>
        <w:rPr>
          <w:rFonts w:hint="eastAsia" w:ascii="Times New Roman" w:hAnsi="Times New Roman" w:eastAsia="楷体_GB2312" w:cs="Times New Roman"/>
          <w:sz w:val="20"/>
          <w:szCs w:val="20"/>
        </w:rPr>
        <w:t>（个人</w:t>
      </w:r>
      <w:r>
        <w:rPr>
          <w:rFonts w:ascii="Times New Roman" w:hAnsi="Times New Roman" w:eastAsia="楷体_GB2312" w:cs="Times New Roman"/>
          <w:sz w:val="20"/>
          <w:szCs w:val="20"/>
        </w:rPr>
        <w:t>投资者）：</w:t>
      </w:r>
    </w:p>
    <w:p>
      <w:pPr>
        <w:spacing w:line="300" w:lineRule="exact"/>
        <w:ind w:firstLine="600" w:firstLineChars="300"/>
        <w:rPr>
          <w:rFonts w:ascii="Times New Roman" w:hAnsi="Times New Roman" w:eastAsia="楷体_GB2312" w:cs="Times New Roman"/>
          <w:sz w:val="20"/>
          <w:szCs w:val="20"/>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ind w:firstLine="5220" w:firstLineChars="2900"/>
    </w:pPr>
    <w:r>
      <w:rPr>
        <w:color w:val="000000" w:themeColor="text1"/>
        <w14:textFill>
          <w14:solidFill>
            <w14:schemeClr w14:val="tx1"/>
          </w14:solidFill>
        </w14:textFill>
      </w:rPr>
      <w:t>理财非存款、产品有风险、投资须谨慎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04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2023-06-02T05:12:41Z</dcterms:created>
  <dc:creator>lenovo</dc:creator>
  <cp:lastModifiedBy>lenovo</cp:lastModifiedBy>
  <dcterms:modified xsi:type="dcterms:W3CDTF">2023-06-02T05:14:32Z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