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hint="eastAsia"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rPr>
        <w:t>浙江农村商业银行股份有限公司</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hint="eastAsia"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rPr>
        <w:t>2024</w:t>
      </w:r>
      <w:r>
        <w:rPr>
          <w:rFonts w:hint="eastAsia" w:ascii="方正小标宋_GBK" w:hAnsi="方正小标宋_GBK" w:eastAsia="方正小标宋_GBK" w:cs="方正小标宋_GBK"/>
          <w:kern w:val="36"/>
          <w:sz w:val="44"/>
          <w:szCs w:val="44"/>
          <w:lang w:val="en-US" w:eastAsia="zh-CN"/>
        </w:rPr>
        <w:t>年</w:t>
      </w:r>
      <w:r>
        <w:rPr>
          <w:rFonts w:hint="eastAsia" w:ascii="方正小标宋_GBK" w:hAnsi="方正小标宋_GBK" w:eastAsia="方正小标宋_GBK" w:cs="方正小标宋_GBK"/>
          <w:kern w:val="36"/>
          <w:sz w:val="44"/>
          <w:szCs w:val="44"/>
        </w:rPr>
        <w:t>上半年</w:t>
      </w:r>
      <w:r>
        <w:rPr>
          <w:rFonts w:hint="eastAsia" w:ascii="方正小标宋_GBK" w:hAnsi="方正小标宋_GBK" w:eastAsia="方正小标宋_GBK" w:cs="方正小标宋_GBK"/>
          <w:kern w:val="36"/>
          <w:sz w:val="44"/>
          <w:szCs w:val="44"/>
          <w:lang w:val="en-US" w:eastAsia="zh-CN"/>
        </w:rPr>
        <w:t>度</w:t>
      </w:r>
      <w:r>
        <w:rPr>
          <w:rFonts w:hint="eastAsia" w:ascii="方正小标宋_GBK" w:hAnsi="方正小标宋_GBK" w:eastAsia="方正小标宋_GBK" w:cs="方正小标宋_GBK"/>
          <w:kern w:val="36"/>
          <w:sz w:val="44"/>
          <w:szCs w:val="44"/>
        </w:rPr>
        <w:t>第三支柱信息披露报告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本行为非国内系统重要性银行，根据《商业银行资本管理办法》（以下简称“办法”）附件22《商业银行信息披露内容和要求》的规定，经本行高级管理层确认，现对2024年上半年资本充足情况进行披露。</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办法</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，半年度需披露报表如下：</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附表一：KM1监管并表关键审慎监管指标</w:t>
      </w:r>
    </w:p>
    <w:p>
      <w:pPr>
        <w:widowControl/>
        <w:shd w:val="clear" w:color="auto" w:fill="FFFFFF"/>
        <w:spacing w:line="193" w:lineRule="atLeast"/>
        <w:ind w:firstLine="206"/>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单位：人民币万元</w:t>
      </w:r>
    </w:p>
    <w:tbl>
      <w:tblPr>
        <w:tblStyle w:val="12"/>
        <w:tblW w:w="8629"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4110"/>
        <w:gridCol w:w="1842"/>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66" w:type="dxa"/>
            <w:gridSpan w:val="2"/>
            <w:vMerge w:val="restart"/>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　</w:t>
            </w:r>
          </w:p>
        </w:tc>
        <w:tc>
          <w:tcPr>
            <w:tcW w:w="1842"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a</w:t>
            </w:r>
          </w:p>
        </w:tc>
        <w:tc>
          <w:tcPr>
            <w:tcW w:w="1821" w:type="dxa"/>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66" w:type="dxa"/>
            <w:gridSpan w:val="2"/>
            <w:vMerge w:val="continue"/>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p>
        </w:tc>
        <w:tc>
          <w:tcPr>
            <w:tcW w:w="1842" w:type="dxa"/>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T</w:t>
            </w:r>
          </w:p>
        </w:tc>
        <w:tc>
          <w:tcPr>
            <w:tcW w:w="1821" w:type="dxa"/>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000000" w:fill="D9D9D9"/>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可用资本（数额）</w:t>
            </w:r>
          </w:p>
        </w:tc>
        <w:tc>
          <w:tcPr>
            <w:tcW w:w="1821" w:type="dxa"/>
            <w:shd w:val="clear" w:color="000000" w:fill="D9D9D9"/>
          </w:tcPr>
          <w:p>
            <w:pPr>
              <w:snapToGrid w:val="0"/>
              <w:spacing w:line="48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核心一级资本净额</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808836.00</w:t>
            </w:r>
          </w:p>
        </w:tc>
        <w:tc>
          <w:tcPr>
            <w:tcW w:w="1821"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780233.18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一级资本净额</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808836.00</w:t>
            </w:r>
          </w:p>
        </w:tc>
        <w:tc>
          <w:tcPr>
            <w:tcW w:w="1821"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780233.18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资本净额</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880931.02</w:t>
            </w:r>
          </w:p>
        </w:tc>
        <w:tc>
          <w:tcPr>
            <w:tcW w:w="1821"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851225.47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000000" w:fill="D9D9D9"/>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风险加权资产（数额）</w:t>
            </w:r>
          </w:p>
        </w:tc>
        <w:tc>
          <w:tcPr>
            <w:tcW w:w="1821" w:type="dxa"/>
            <w:shd w:val="clear" w:color="000000" w:fill="D9D9D9"/>
          </w:tcPr>
          <w:p>
            <w:pPr>
              <w:snapToGrid w:val="0"/>
              <w:spacing w:line="48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风险加权资产</w:t>
            </w:r>
          </w:p>
        </w:tc>
        <w:tc>
          <w:tcPr>
            <w:tcW w:w="1842" w:type="dxa"/>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6221049.73</w:t>
            </w:r>
          </w:p>
        </w:tc>
        <w:tc>
          <w:tcPr>
            <w:tcW w:w="1821"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6145668.01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000000" w:fill="D9D9D9"/>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资本充足率</w:t>
            </w:r>
          </w:p>
        </w:tc>
        <w:tc>
          <w:tcPr>
            <w:tcW w:w="1821" w:type="dxa"/>
            <w:shd w:val="clear" w:color="000000" w:fill="D9D9D9"/>
          </w:tcPr>
          <w:p>
            <w:pPr>
              <w:snapToGrid w:val="0"/>
              <w:spacing w:line="48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5</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核心一级资本充足率（%）</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13.00</w:t>
            </w:r>
          </w:p>
        </w:tc>
        <w:tc>
          <w:tcPr>
            <w:tcW w:w="1821"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6</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一级资本充足率（%）</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sz w:val="28"/>
                <w:szCs w:val="28"/>
              </w:rPr>
              <w:t>13.00</w:t>
            </w:r>
          </w:p>
        </w:tc>
        <w:tc>
          <w:tcPr>
            <w:tcW w:w="1821"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7</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资本充足率（%）</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14.16</w:t>
            </w:r>
          </w:p>
        </w:tc>
        <w:tc>
          <w:tcPr>
            <w:tcW w:w="1821"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000000" w:fill="D9D9D9"/>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其他各级资本要求</w:t>
            </w:r>
          </w:p>
        </w:tc>
        <w:tc>
          <w:tcPr>
            <w:tcW w:w="1821" w:type="dxa"/>
            <w:shd w:val="clear" w:color="000000" w:fill="D9D9D9"/>
          </w:tcPr>
          <w:p>
            <w:pPr>
              <w:snapToGrid w:val="0"/>
              <w:spacing w:line="48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8</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储备资本要求（%）</w:t>
            </w:r>
          </w:p>
        </w:tc>
        <w:tc>
          <w:tcPr>
            <w:tcW w:w="1842" w:type="dxa"/>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w:t>
            </w:r>
          </w:p>
        </w:tc>
        <w:tc>
          <w:tcPr>
            <w:tcW w:w="1821"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9</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逆周期资本要求（%）</w:t>
            </w:r>
          </w:p>
        </w:tc>
        <w:tc>
          <w:tcPr>
            <w:tcW w:w="1842" w:type="dxa"/>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821"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shd w:val="clear" w:color="auto" w:fill="auto"/>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10</w:t>
            </w:r>
          </w:p>
        </w:tc>
        <w:tc>
          <w:tcPr>
            <w:tcW w:w="4110" w:type="dxa"/>
            <w:shd w:val="clear" w:color="auto" w:fill="auto"/>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全球系统重要性银行或国内系统重要性银行附加资本要求（%）</w:t>
            </w:r>
          </w:p>
        </w:tc>
        <w:tc>
          <w:tcPr>
            <w:tcW w:w="1842" w:type="dxa"/>
            <w:shd w:val="clear" w:color="auto" w:fill="BEBEBE"/>
            <w:vAlign w:val="center"/>
          </w:tcPr>
          <w:p>
            <w:pPr>
              <w:snapToGrid w:val="0"/>
              <w:spacing w:line="480" w:lineRule="exact"/>
              <w:jc w:val="center"/>
              <w:rPr>
                <w:rFonts w:hint="default" w:ascii="Times New Roman" w:hAnsi="Times New Roman" w:eastAsia="仿宋_GB2312" w:cs="Times New Roman"/>
                <w:sz w:val="28"/>
                <w:szCs w:val="28"/>
              </w:rPr>
            </w:pPr>
          </w:p>
        </w:tc>
        <w:tc>
          <w:tcPr>
            <w:tcW w:w="1821" w:type="dxa"/>
            <w:shd w:val="clear" w:color="auto" w:fill="BEBEBE"/>
          </w:tcPr>
          <w:p>
            <w:pPr>
              <w:snapToGrid w:val="0"/>
              <w:spacing w:line="48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11</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其他各级资本要求（%）（8+9+10）</w:t>
            </w:r>
          </w:p>
        </w:tc>
        <w:tc>
          <w:tcPr>
            <w:tcW w:w="1842"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w:t>
            </w:r>
          </w:p>
        </w:tc>
        <w:tc>
          <w:tcPr>
            <w:tcW w:w="1821"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12</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满足最低资本要求后的可用核心一级资本净额占风险加权资产的比例（%）</w:t>
            </w:r>
          </w:p>
        </w:tc>
        <w:tc>
          <w:tcPr>
            <w:tcW w:w="1842"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6.16</w:t>
            </w:r>
          </w:p>
        </w:tc>
        <w:tc>
          <w:tcPr>
            <w:tcW w:w="1821"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000000" w:fill="D9D9D9"/>
          </w:tcPr>
          <w:p>
            <w:pPr>
              <w:snapToGrid w:val="0"/>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杠杆率</w:t>
            </w:r>
          </w:p>
        </w:tc>
        <w:tc>
          <w:tcPr>
            <w:tcW w:w="1821" w:type="dxa"/>
            <w:shd w:val="clear" w:color="000000" w:fill="D9D9D9"/>
          </w:tcPr>
          <w:p>
            <w:pPr>
              <w:snapToGrid w:val="0"/>
              <w:spacing w:line="480" w:lineRule="exact"/>
              <w:rPr>
                <w:rFonts w:hint="default" w:ascii="Times New Roman" w:hAnsi="Times New Roman"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13</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调整后表内外资产余额</w:t>
            </w:r>
          </w:p>
        </w:tc>
        <w:tc>
          <w:tcPr>
            <w:tcW w:w="1842" w:type="dxa"/>
            <w:vAlign w:val="center"/>
          </w:tcPr>
          <w:p>
            <w:pPr>
              <w:snapToGrid w:val="0"/>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9392649.57</w:t>
            </w:r>
          </w:p>
        </w:tc>
        <w:tc>
          <w:tcPr>
            <w:tcW w:w="1821" w:type="dxa"/>
            <w:vAlign w:val="center"/>
          </w:tcPr>
          <w:p>
            <w:pPr>
              <w:snapToGrid w:val="0"/>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9411514.19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14</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杠杆率（%）</w:t>
            </w:r>
          </w:p>
        </w:tc>
        <w:tc>
          <w:tcPr>
            <w:tcW w:w="1842"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8.61</w:t>
            </w:r>
          </w:p>
        </w:tc>
        <w:tc>
          <w:tcPr>
            <w:tcW w:w="1821"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14a</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杠杆率a（%）</w:t>
            </w:r>
          </w:p>
        </w:tc>
        <w:tc>
          <w:tcPr>
            <w:tcW w:w="1842"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8.61</w:t>
            </w:r>
          </w:p>
        </w:tc>
        <w:tc>
          <w:tcPr>
            <w:tcW w:w="1821" w:type="dxa"/>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000000" w:fill="D9D9D9"/>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流动性覆盖率</w:t>
            </w:r>
          </w:p>
        </w:tc>
        <w:tc>
          <w:tcPr>
            <w:tcW w:w="1821" w:type="dxa"/>
            <w:shd w:val="clear" w:color="000000" w:fill="D9D9D9"/>
          </w:tcPr>
          <w:p>
            <w:pPr>
              <w:snapToGrid w:val="0"/>
              <w:spacing w:line="48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15</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合格优质流动性资产</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821" w:type="dxa"/>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16</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现金净流出量</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821" w:type="dxa"/>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17</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流动性覆盖率（%）</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821" w:type="dxa"/>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000000" w:fill="D9D9D9"/>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净稳定资金比例</w:t>
            </w:r>
          </w:p>
        </w:tc>
        <w:tc>
          <w:tcPr>
            <w:tcW w:w="1821" w:type="dxa"/>
            <w:shd w:val="clear" w:color="000000" w:fill="D9D9D9"/>
          </w:tcPr>
          <w:p>
            <w:pPr>
              <w:snapToGrid w:val="0"/>
              <w:spacing w:line="48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18</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可用稳定资金合计</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821" w:type="dxa"/>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19</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所需稳定资金合计</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821" w:type="dxa"/>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20</w:t>
            </w:r>
          </w:p>
        </w:tc>
        <w:tc>
          <w:tcPr>
            <w:tcW w:w="4110" w:type="dxa"/>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净稳定资金比例（%）</w:t>
            </w:r>
          </w:p>
        </w:tc>
        <w:tc>
          <w:tcPr>
            <w:tcW w:w="1842" w:type="dxa"/>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821" w:type="dxa"/>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08" w:type="dxa"/>
            <w:gridSpan w:val="3"/>
            <w:shd w:val="clear" w:color="auto" w:fill="D8D8D8"/>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流动性比例</w:t>
            </w:r>
          </w:p>
        </w:tc>
        <w:tc>
          <w:tcPr>
            <w:tcW w:w="1821" w:type="dxa"/>
            <w:shd w:val="clear" w:color="auto" w:fill="D8D8D8"/>
          </w:tcPr>
          <w:p>
            <w:pPr>
              <w:snapToGrid w:val="0"/>
              <w:spacing w:line="48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6" w:type="dxa"/>
            <w:shd w:val="clear" w:color="auto" w:fill="FFFFFF"/>
            <w:vAlign w:val="center"/>
          </w:tcPr>
          <w:p>
            <w:pPr>
              <w:snapToGrid w:val="0"/>
              <w:spacing w:line="4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21</w:t>
            </w:r>
          </w:p>
        </w:tc>
        <w:tc>
          <w:tcPr>
            <w:tcW w:w="4110" w:type="dxa"/>
            <w:shd w:val="clear" w:color="auto" w:fill="FFFFFF"/>
            <w:vAlign w:val="center"/>
          </w:tcPr>
          <w:p>
            <w:pPr>
              <w:snapToGrid w:val="0"/>
              <w:spacing w:line="48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流动性比例（%）</w:t>
            </w:r>
          </w:p>
        </w:tc>
        <w:tc>
          <w:tcPr>
            <w:tcW w:w="1842" w:type="dxa"/>
            <w:shd w:val="clear" w:color="auto" w:fill="FFFFFF"/>
            <w:vAlign w:val="center"/>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53.93</w:t>
            </w:r>
          </w:p>
        </w:tc>
        <w:tc>
          <w:tcPr>
            <w:tcW w:w="1821" w:type="dxa"/>
            <w:shd w:val="clear" w:color="auto" w:fill="FFFFFF"/>
          </w:tcPr>
          <w:p>
            <w:pPr>
              <w:snapToGrid w:val="0"/>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51.99</w:t>
            </w:r>
          </w:p>
        </w:tc>
      </w:tr>
    </w:tbl>
    <w:p/>
    <w:p/>
    <w:p>
      <w:pPr>
        <w:widowControl/>
        <w:shd w:val="clear" w:color="auto" w:fill="FFFFFF"/>
        <w:spacing w:line="193" w:lineRule="atLeast"/>
        <w:ind w:right="128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附</w:t>
      </w:r>
      <w:r>
        <w:rPr>
          <w:rFonts w:hint="eastAsia" w:ascii="仿宋_GB2312" w:hAnsi="仿宋_GB2312" w:eastAsia="仿宋_GB2312" w:cs="仿宋_GB2312"/>
          <w:b/>
          <w:kern w:val="0"/>
          <w:sz w:val="32"/>
          <w:szCs w:val="32"/>
          <w:lang w:val="en-US" w:eastAsia="zh-CN"/>
        </w:rPr>
        <w:t>表</w:t>
      </w:r>
      <w:r>
        <w:rPr>
          <w:rFonts w:hint="eastAsia" w:ascii="仿宋_GB2312" w:hAnsi="仿宋_GB2312" w:eastAsia="仿宋_GB2312" w:cs="仿宋_GB2312"/>
          <w:b/>
          <w:kern w:val="0"/>
          <w:sz w:val="32"/>
          <w:szCs w:val="32"/>
        </w:rPr>
        <w:t>二：</w:t>
      </w:r>
      <w:r>
        <w:rPr>
          <w:rFonts w:ascii="仿宋_GB2312" w:hAnsi="仿宋_GB2312" w:eastAsia="仿宋_GB2312" w:cs="仿宋_GB2312"/>
          <w:b/>
          <w:kern w:val="0"/>
          <w:sz w:val="32"/>
          <w:szCs w:val="32"/>
        </w:rPr>
        <w:t>CC1</w:t>
      </w:r>
      <w:r>
        <w:rPr>
          <w:rFonts w:hint="eastAsia" w:ascii="仿宋_GB2312" w:hAnsi="仿宋_GB2312" w:eastAsia="仿宋_GB2312" w:cs="仿宋_GB2312"/>
          <w:b/>
          <w:kern w:val="0"/>
          <w:sz w:val="32"/>
          <w:szCs w:val="32"/>
        </w:rPr>
        <w:t>资本构成</w:t>
      </w:r>
    </w:p>
    <w:p>
      <w:pPr>
        <w:widowControl/>
        <w:shd w:val="clear" w:color="auto" w:fill="FFFFFF"/>
        <w:spacing w:line="193" w:lineRule="atLeast"/>
        <w:ind w:firstLine="206"/>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单位：人民币万元</w:t>
      </w:r>
    </w:p>
    <w:tbl>
      <w:tblPr>
        <w:tblStyle w:val="12"/>
        <w:tblW w:w="8615" w:type="dxa"/>
        <w:jc w:val="center"/>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785"/>
        <w:gridCol w:w="1616"/>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2" w:type="dxa"/>
            <w:gridSpan w:val="2"/>
            <w:vMerge w:val="restart"/>
            <w:tcBorders>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w:t>
            </w:r>
          </w:p>
        </w:tc>
        <w:tc>
          <w:tcPr>
            <w:tcW w:w="1616" w:type="dxa"/>
            <w:tcBorders>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a</w:t>
            </w:r>
          </w:p>
        </w:tc>
        <w:tc>
          <w:tcPr>
            <w:tcW w:w="1337" w:type="dxa"/>
            <w:tcBorders>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62" w:type="dxa"/>
            <w:gridSpan w:val="2"/>
            <w:vMerge w:val="continue"/>
            <w:tcBorders>
              <w:top w:val="single" w:color="auto" w:sz="4" w:space="0"/>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数额</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FFFFFF" w:themeFill="background1"/>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核心一级资本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实收资本和资本公积可计入部分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103219.19</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留存收益</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649296.22</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2a</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盈余公积</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327503.88</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2b</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一般风险准备</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195550.33</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2c</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未分配利润</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126242.01</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累计其他综合收益</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56386.18</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少数股东资本可计入部分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扣除前的核心一级资本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808901.59</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FFFFFF" w:themeFill="background1"/>
          </w:tcPr>
          <w:p>
            <w:pPr>
              <w:spacing w:line="4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核心一级资本：扣除项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highlight w:val="yellow"/>
              </w:rPr>
            </w:pPr>
            <w:r>
              <w:rPr>
                <w:rFonts w:hint="default" w:ascii="Times New Roman" w:hAnsi="Times New Roman" w:eastAsia="仿宋_GB2312" w:cs="Times New Roman"/>
                <w:color w:val="auto"/>
                <w:sz w:val="28"/>
                <w:szCs w:val="28"/>
                <w:lang w:eastAsia="zh-TW"/>
              </w:rPr>
              <w:t>审慎估值调整</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商誉（扣除递延税负债）</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其他无形资产（土地使用权除外）（扣除递延税负债）</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65.59</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依赖未来盈利的由经营亏损引起的净递延税资产</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对未按公允价值计量的项目进行套期形成的现金流储备</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损失准备缺口</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资产证券化销售利得</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自身信用风险变化导致其负债公允价值变化带来的未实现损益</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确定受益类的养老金资产净额（扣除递延税负债）</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直接或间接持有本银行的股票</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16</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银行间或银行与其他金融机构间通过协议相互持有的核心一级资本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17</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对未并表金融机构小额少数资本投资中的核心一级资本中应扣除金额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对未并表金融机构大额少数资本投资中的核心一级资本中应扣除金额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19</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其他依赖于银行未来盈利的净递延税资产中应扣除金额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single" w:color="auto" w:sz="4" w:space="0"/>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20</w:t>
            </w:r>
          </w:p>
        </w:tc>
        <w:tc>
          <w:tcPr>
            <w:tcW w:w="4785"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对未并表金融机构大额少数资本投资中的核心一级资本和其他依赖于银行未来盈利的净递延税资产的未扣除部分超过核心一级资本15%的应扣除金额</w:t>
            </w:r>
          </w:p>
        </w:tc>
        <w:tc>
          <w:tcPr>
            <w:tcW w:w="1616"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single" w:color="auto" w:sz="4" w:space="0"/>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single" w:color="auto" w:sz="4" w:space="0"/>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21</w:t>
            </w:r>
          </w:p>
        </w:tc>
        <w:tc>
          <w:tcPr>
            <w:tcW w:w="4785"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其中：应在对金融机构大额少数资本投资中扣除的金额</w:t>
            </w:r>
          </w:p>
        </w:tc>
        <w:tc>
          <w:tcPr>
            <w:tcW w:w="1616" w:type="dxa"/>
            <w:tcBorders>
              <w:top w:val="single" w:color="auto" w:sz="4" w:space="0"/>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single" w:color="auto" w:sz="4" w:space="0"/>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22</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其中：应在其他依赖于银行未来盈利的净递延税资产中扣除的金额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23</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其他应在核心一级资本中扣除的项目合计</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24</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应从其他一级资本和二级资本中扣除的未扣缺口</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25</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核心一级资本扣除项总和</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65.59</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26</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TW"/>
              </w:rPr>
              <w:t>核心一级资本</w:t>
            </w:r>
            <w:r>
              <w:rPr>
                <w:rFonts w:hint="default" w:ascii="Times New Roman" w:hAnsi="Times New Roman" w:eastAsia="仿宋_GB2312" w:cs="Times New Roman"/>
                <w:b/>
                <w:color w:val="auto"/>
                <w:sz w:val="28"/>
                <w:szCs w:val="28"/>
              </w:rPr>
              <w:t>净额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808836.00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PMingLiU" w:cs="Times New Roman"/>
                <w:color w:val="auto"/>
                <w:sz w:val="28"/>
                <w:szCs w:val="28"/>
              </w:rPr>
            </w:pPr>
            <w:r>
              <w:rPr>
                <w:rFonts w:hint="default" w:ascii="Times New Roman" w:hAnsi="Times New Roman" w:eastAsia="仿宋_GB2312" w:cs="Times New Roman"/>
                <w:b/>
                <w:bCs/>
                <w:color w:val="auto"/>
                <w:sz w:val="28"/>
                <w:szCs w:val="28"/>
                <w:lang w:eastAsia="zh-TW"/>
              </w:rPr>
              <w:t>其他一级资本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27</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其他一级资本工具及其溢价</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28</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 xml:space="preserve">    其中：权益部分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29</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 xml:space="preserve">    其中：负债部分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30</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少数股东资本可计入部分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31</w:t>
            </w:r>
          </w:p>
        </w:tc>
        <w:tc>
          <w:tcPr>
            <w:tcW w:w="4785"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扣除前的其他一级资本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其他一级资本:扣除项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32</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直接或间接持有的本银行其他一级资本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33</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银行间或银行与其他金融机构间通过协议相互持有的其他一级资本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34</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对未并表金融机构小额少数资本投资中的其他一级资本中应扣除金额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35</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对未并表金融机构大额少数资本投资中的其他一级资本中应扣除金额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36</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其他应在其他一级资本中扣除的项目合计</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37</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应从二级资本中扣除的未扣缺口</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38</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其他一级资本扣除项总和</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39</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eastAsia="zh-TW"/>
              </w:rPr>
              <w:t>其他一级资本净额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40</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eastAsia="zh-TW"/>
              </w:rPr>
              <w:t>一级资本</w:t>
            </w:r>
            <w:r>
              <w:rPr>
                <w:rFonts w:hint="default" w:ascii="Times New Roman" w:hAnsi="Times New Roman" w:eastAsia="仿宋_GB2312" w:cs="Times New Roman"/>
                <w:b/>
                <w:bCs/>
                <w:color w:val="auto"/>
                <w:sz w:val="28"/>
                <w:szCs w:val="28"/>
              </w:rPr>
              <w:t>净额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808836.00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二级资本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41</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二级资本工具及其溢价</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42</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少数股东资本可计入部分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43</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超额损失准备可计入部分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72095.02</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jc w:val="center"/>
              <w:textAlignment w:val="top"/>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44</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扣除前的二级资本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72095.02</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二级资本：扣除项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45</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直接或间接持有的本银行的二级资本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46</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银行间或银行与其他金融机构间通过协议相互持有的其他一级资本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47</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对未并表金融机构小额少数资本投资中的二级资本中应扣除金额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48</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对未并表金融机构大额少数资本投资中的二级资本</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49</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其他应在二级资本中扣除的项目合计</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50</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二级资本扣除项总和</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51</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eastAsia="zh-TW"/>
              </w:rPr>
              <w:t>二级资本</w:t>
            </w:r>
            <w:r>
              <w:rPr>
                <w:rFonts w:hint="default" w:ascii="Times New Roman" w:hAnsi="Times New Roman" w:eastAsia="仿宋_GB2312" w:cs="Times New Roman"/>
                <w:b/>
                <w:bCs/>
                <w:color w:val="auto"/>
                <w:sz w:val="28"/>
                <w:szCs w:val="28"/>
              </w:rPr>
              <w:t>净额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72095.02</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52</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总资本净额</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880931.02</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53</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eastAsia="zh-TW"/>
              </w:rPr>
              <w:t>风险加权资产</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6221049.73</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PMingLiU" w:cs="Times New Roman"/>
                <w:color w:val="auto"/>
                <w:sz w:val="28"/>
                <w:szCs w:val="28"/>
              </w:rPr>
            </w:pPr>
            <w:r>
              <w:rPr>
                <w:rFonts w:hint="default" w:ascii="Times New Roman" w:hAnsi="Times New Roman" w:eastAsia="仿宋_GB2312" w:cs="Times New Roman"/>
                <w:b/>
                <w:bCs/>
                <w:color w:val="auto"/>
                <w:sz w:val="28"/>
                <w:szCs w:val="28"/>
              </w:rPr>
              <w:t>资本充足率和其他各级资本要求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54</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TW"/>
              </w:rPr>
              <w:t>核心一级资本充足率</w:t>
            </w:r>
            <w:r>
              <w:rPr>
                <w:rFonts w:hint="default" w:ascii="Times New Roman" w:hAnsi="Times New Roman" w:eastAsia="仿宋_GB2312" w:cs="Times New Roman"/>
                <w:b/>
                <w:color w:val="auto"/>
                <w:sz w:val="28"/>
                <w:szCs w:val="28"/>
              </w:rPr>
              <w:t>（%）</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13.00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55</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TW"/>
              </w:rPr>
              <w:t>一级资本充足率</w:t>
            </w:r>
            <w:r>
              <w:rPr>
                <w:rFonts w:hint="default" w:ascii="Times New Roman" w:hAnsi="Times New Roman" w:eastAsia="仿宋_GB2312" w:cs="Times New Roman"/>
                <w:b/>
                <w:color w:val="auto"/>
                <w:sz w:val="28"/>
                <w:szCs w:val="28"/>
              </w:rPr>
              <w:t>（%）</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13.00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56</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TW"/>
              </w:rPr>
              <w:t>资本充足率</w:t>
            </w:r>
            <w:r>
              <w:rPr>
                <w:rFonts w:hint="default" w:ascii="Times New Roman" w:hAnsi="Times New Roman" w:eastAsia="仿宋_GB2312" w:cs="Times New Roman"/>
                <w:b/>
                <w:color w:val="auto"/>
                <w:sz w:val="28"/>
                <w:szCs w:val="28"/>
              </w:rPr>
              <w:t>（%）</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14.16</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57</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其他各级资本要求（%）</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58</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 xml:space="preserve">    其中：储备资本要求</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2.5</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59</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其中：逆周期资本要求</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60</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其中：全球系统重要性银行或国内系统重要性银行附加资本要求</w:t>
            </w:r>
          </w:p>
        </w:tc>
        <w:tc>
          <w:tcPr>
            <w:tcW w:w="1616" w:type="dxa"/>
            <w:tcBorders>
              <w:top w:val="nil"/>
              <w:left w:val="nil"/>
              <w:bottom w:val="single" w:color="auto" w:sz="4" w:space="0"/>
              <w:right w:val="single" w:color="auto" w:sz="4" w:space="0"/>
            </w:tcBorders>
            <w:shd w:val="clear" w:color="auto" w:fill="BEBEBE"/>
            <w:vAlign w:val="center"/>
          </w:tcPr>
          <w:p>
            <w:pPr>
              <w:spacing w:line="480" w:lineRule="exact"/>
              <w:jc w:val="center"/>
              <w:rPr>
                <w:rFonts w:hint="default" w:ascii="Times New Roman" w:hAnsi="Times New Roman" w:eastAsia="仿宋_GB2312" w:cs="Times New Roman"/>
                <w:color w:val="auto"/>
                <w:sz w:val="28"/>
                <w:szCs w:val="28"/>
              </w:rPr>
            </w:pP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61</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bCs/>
                <w:color w:val="auto"/>
                <w:sz w:val="28"/>
                <w:szCs w:val="28"/>
              </w:rPr>
              <w:t>满足最低资本要求后的可用核心一级资本净额占风险加权资产的比例</w:t>
            </w:r>
            <w:r>
              <w:rPr>
                <w:rFonts w:hint="default" w:ascii="Times New Roman" w:hAnsi="Times New Roman" w:eastAsia="仿宋_GB2312" w:cs="Times New Roman"/>
                <w:b/>
                <w:color w:val="auto"/>
                <w:sz w:val="28"/>
                <w:szCs w:val="28"/>
              </w:rPr>
              <w:t>（%）</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6.16</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我国最低监管资本要求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62</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核心一级资本充足率（%）</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≥7.5</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63</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一级资本充足率（%）</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≥8.5</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64</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TW"/>
              </w:rPr>
              <w:t>资本充足率（%）</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≥10.5</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门槛扣除项中未扣除部分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65</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对未并表金融机构的小额少数资本投资中未扣除部分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5000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66</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对未并表金融机构的大额少数资本投资中未扣除部分</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67</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其他依赖于银行未来盈利的净递延税资产（扣除递延税负债）</w:t>
            </w:r>
          </w:p>
        </w:tc>
        <w:tc>
          <w:tcPr>
            <w:tcW w:w="1616" w:type="dxa"/>
            <w:tcBorders>
              <w:top w:val="nil"/>
              <w:left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30457.31</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15" w:type="dxa"/>
            <w:gridSpan w:val="4"/>
            <w:tcBorders>
              <w:top w:val="nil"/>
              <w:bottom w:val="single" w:color="auto" w:sz="4" w:space="0"/>
            </w:tcBorders>
            <w:shd w:val="clear" w:color="auto" w:fill="auto"/>
          </w:tcPr>
          <w:p>
            <w:pPr>
              <w:spacing w:line="4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可计入二级资本的超额损失准备的限额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bottom w:val="single" w:color="auto" w:sz="4" w:space="0"/>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68</w:t>
            </w:r>
          </w:p>
        </w:tc>
        <w:tc>
          <w:tcPr>
            <w:tcW w:w="4785" w:type="dxa"/>
            <w:tcBorders>
              <w:top w:val="nil"/>
              <w:left w:val="nil"/>
              <w:bottom w:val="single" w:color="auto" w:sz="4" w:space="0"/>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权重法下，实际计提的超额损失准备金额</w:t>
            </w:r>
          </w:p>
        </w:tc>
        <w:tc>
          <w:tcPr>
            <w:tcW w:w="1616"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194780.71</w:t>
            </w:r>
          </w:p>
        </w:tc>
        <w:tc>
          <w:tcPr>
            <w:tcW w:w="1337" w:type="dxa"/>
            <w:tcBorders>
              <w:top w:val="nil"/>
              <w:left w:val="nil"/>
              <w:bottom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7" w:type="dxa"/>
            <w:tcBorders>
              <w:top w:val="nil"/>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69</w:t>
            </w:r>
          </w:p>
        </w:tc>
        <w:tc>
          <w:tcPr>
            <w:tcW w:w="4785" w:type="dxa"/>
            <w:tcBorders>
              <w:top w:val="nil"/>
              <w:left w:val="nil"/>
              <w:right w:val="single" w:color="auto" w:sz="4" w:space="0"/>
            </w:tcBorders>
            <w:shd w:val="clear" w:color="auto" w:fill="auto"/>
            <w:vAlign w:val="center"/>
          </w:tcPr>
          <w:p>
            <w:pPr>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权重法下，可计入二级资本超额损失准备的数额</w:t>
            </w:r>
          </w:p>
        </w:tc>
        <w:tc>
          <w:tcPr>
            <w:tcW w:w="1616" w:type="dxa"/>
            <w:tcBorders>
              <w:top w:val="nil"/>
              <w:left w:val="nil"/>
              <w:right w:val="single" w:color="auto" w:sz="4" w:space="0"/>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72095.02</w:t>
            </w:r>
          </w:p>
        </w:tc>
        <w:tc>
          <w:tcPr>
            <w:tcW w:w="1337" w:type="dxa"/>
            <w:tcBorders>
              <w:top w:val="nil"/>
              <w:left w:val="nil"/>
            </w:tcBorders>
            <w:shd w:val="clear" w:color="auto" w:fill="auto"/>
            <w:vAlign w:val="center"/>
          </w:tcPr>
          <w:p>
            <w:pPr>
              <w:spacing w:line="480" w:lineRule="exact"/>
              <w:jc w:val="center"/>
              <w:rPr>
                <w:rFonts w:hint="default" w:ascii="Times New Roman" w:hAnsi="Times New Roman" w:eastAsia="仿宋_GB2312" w:cs="Times New Roman"/>
                <w:color w:val="auto"/>
                <w:sz w:val="28"/>
                <w:szCs w:val="28"/>
              </w:rPr>
            </w:pPr>
          </w:p>
        </w:tc>
      </w:tr>
    </w:tbl>
    <w:p>
      <w:pPr>
        <w:spacing w:line="480" w:lineRule="exact"/>
        <w:rPr>
          <w:rFonts w:ascii="宋体" w:hAnsi="宋体" w:cs="宋体"/>
          <w:color w:val="000000" w:themeColor="text1"/>
          <w:sz w:val="20"/>
          <w:szCs w:val="20"/>
          <w14:textFill>
            <w14:solidFill>
              <w14:schemeClr w14:val="tx1"/>
            </w14:solidFill>
          </w14:textFill>
        </w:rPr>
      </w:pPr>
    </w:p>
    <w:p/>
    <w:p>
      <w:pPr>
        <w:rPr>
          <w:rFonts w:hint="default" w:ascii="Times New Roman" w:hAnsi="Times New Roman" w:cs="Times New Roman"/>
        </w:rPr>
      </w:pPr>
    </w:p>
    <w:p>
      <w:pPr>
        <w:widowControl/>
        <w:adjustRightInd w:val="0"/>
        <w:snapToGrid w:val="0"/>
        <w:spacing w:line="560" w:lineRule="atLeast"/>
        <w:ind w:firstLine="640" w:firstLineChars="200"/>
        <w:jc w:val="righ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浙江桐乡农村商业银行股份有限公司</w:t>
      </w:r>
    </w:p>
    <w:p>
      <w:pPr>
        <w:widowControl/>
        <w:adjustRightInd w:val="0"/>
        <w:snapToGrid w:val="0"/>
        <w:spacing w:line="560" w:lineRule="atLeast"/>
        <w:ind w:firstLine="640" w:firstLineChars="200"/>
        <w:jc w:val="center"/>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2024年</w:t>
      </w:r>
      <w:r>
        <w:rPr>
          <w:rFonts w:hint="eastAsia" w:ascii="Times New Roman" w:hAnsi="Times New Roman" w:eastAsia="仿宋_GB2312" w:cs="Times New Roman"/>
          <w:kern w:val="0"/>
          <w:sz w:val="32"/>
          <w:szCs w:val="32"/>
          <w:lang w:val="en-US" w:eastAsia="zh-CN"/>
        </w:rPr>
        <w:t>8</w:t>
      </w:r>
      <w:bookmarkStart w:id="0" w:name="_GoBack"/>
      <w:bookmarkEnd w:id="0"/>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29</w:t>
      </w:r>
      <w:r>
        <w:rPr>
          <w:rFonts w:hint="default" w:ascii="Times New Roman" w:hAnsi="Times New Roman" w:eastAsia="仿宋_GB2312" w:cs="Times New Roman"/>
          <w:kern w:val="0"/>
          <w:sz w:val="32"/>
          <w:szCs w:val="32"/>
        </w:rPr>
        <w:t>日</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NjkzYWEwMTk3ODE5ZjAyNTgyYTFiZTVmMTJhNjMifQ=="/>
  </w:docVars>
  <w:rsids>
    <w:rsidRoot w:val="00B22710"/>
    <w:rsid w:val="00012F59"/>
    <w:rsid w:val="001B07B0"/>
    <w:rsid w:val="002458EC"/>
    <w:rsid w:val="002465FF"/>
    <w:rsid w:val="0027302E"/>
    <w:rsid w:val="003C0B8F"/>
    <w:rsid w:val="004F4DD8"/>
    <w:rsid w:val="00550D36"/>
    <w:rsid w:val="0055176D"/>
    <w:rsid w:val="00560EF3"/>
    <w:rsid w:val="006B52A7"/>
    <w:rsid w:val="007005AB"/>
    <w:rsid w:val="00735454"/>
    <w:rsid w:val="00797EF3"/>
    <w:rsid w:val="007D61EA"/>
    <w:rsid w:val="0084457B"/>
    <w:rsid w:val="0090467F"/>
    <w:rsid w:val="0097095E"/>
    <w:rsid w:val="00992FE6"/>
    <w:rsid w:val="009B486F"/>
    <w:rsid w:val="00A255F8"/>
    <w:rsid w:val="00A7620B"/>
    <w:rsid w:val="00AC6BC8"/>
    <w:rsid w:val="00B22710"/>
    <w:rsid w:val="00BF1964"/>
    <w:rsid w:val="00C05525"/>
    <w:rsid w:val="00C26060"/>
    <w:rsid w:val="00CD30C4"/>
    <w:rsid w:val="00CE7696"/>
    <w:rsid w:val="00D37F2C"/>
    <w:rsid w:val="00D40D3F"/>
    <w:rsid w:val="00E4474B"/>
    <w:rsid w:val="00ED58DE"/>
    <w:rsid w:val="00F94FE9"/>
    <w:rsid w:val="07522FA4"/>
    <w:rsid w:val="1AD06879"/>
    <w:rsid w:val="2E1B7C45"/>
    <w:rsid w:val="320E52F7"/>
    <w:rsid w:val="411918A4"/>
    <w:rsid w:val="4FC16E4D"/>
    <w:rsid w:val="51362258"/>
    <w:rsid w:val="52660640"/>
    <w:rsid w:val="5AC24805"/>
    <w:rsid w:val="6CF449F9"/>
    <w:rsid w:val="6E261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unhideWhenUsed/>
    <w:qFormat/>
    <w:uiPriority w:val="99"/>
    <w:rPr>
      <w:b/>
      <w:bCs/>
    </w:rPr>
  </w:style>
  <w:style w:type="paragraph" w:styleId="4">
    <w:name w:val="annotation text"/>
    <w:basedOn w:val="1"/>
    <w:link w:val="16"/>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annotation reference"/>
    <w:basedOn w:val="10"/>
    <w:semiHidden/>
    <w:unhideWhenUsed/>
    <w:qFormat/>
    <w:uiPriority w:val="99"/>
    <w:rPr>
      <w:sz w:val="21"/>
      <w:szCs w:val="21"/>
    </w:rPr>
  </w:style>
  <w:style w:type="character" w:customStyle="1" w:styleId="13">
    <w:name w:val="页眉 字符"/>
    <w:basedOn w:val="10"/>
    <w:link w:val="8"/>
    <w:qFormat/>
    <w:uiPriority w:val="99"/>
    <w:rPr>
      <w:sz w:val="18"/>
      <w:szCs w:val="18"/>
    </w:rPr>
  </w:style>
  <w:style w:type="character" w:customStyle="1" w:styleId="14">
    <w:name w:val="页脚 字符"/>
    <w:basedOn w:val="10"/>
    <w:link w:val="7"/>
    <w:qFormat/>
    <w:uiPriority w:val="99"/>
    <w:rPr>
      <w:sz w:val="18"/>
      <w:szCs w:val="18"/>
    </w:rPr>
  </w:style>
  <w:style w:type="character" w:customStyle="1" w:styleId="15">
    <w:name w:val="标题 1 字符"/>
    <w:basedOn w:val="10"/>
    <w:link w:val="2"/>
    <w:qFormat/>
    <w:uiPriority w:val="9"/>
    <w:rPr>
      <w:rFonts w:ascii="宋体" w:hAnsi="宋体" w:eastAsia="宋体" w:cs="宋体"/>
      <w:b/>
      <w:bCs/>
      <w:kern w:val="36"/>
      <w:sz w:val="48"/>
      <w:szCs w:val="48"/>
    </w:rPr>
  </w:style>
  <w:style w:type="character" w:customStyle="1" w:styleId="16">
    <w:name w:val="批注文字 字符"/>
    <w:basedOn w:val="10"/>
    <w:link w:val="4"/>
    <w:semiHidden/>
    <w:qFormat/>
    <w:uiPriority w:val="99"/>
    <w:rPr>
      <w:kern w:val="2"/>
      <w:sz w:val="21"/>
      <w:szCs w:val="22"/>
    </w:rPr>
  </w:style>
  <w:style w:type="character" w:customStyle="1" w:styleId="17">
    <w:name w:val="批注主题 字符"/>
    <w:basedOn w:val="16"/>
    <w:link w:val="3"/>
    <w:semiHidden/>
    <w:qFormat/>
    <w:uiPriority w:val="99"/>
    <w:rPr>
      <w:b/>
      <w:bCs/>
      <w:kern w:val="2"/>
      <w:sz w:val="21"/>
      <w:szCs w:val="22"/>
    </w:rPr>
  </w:style>
  <w:style w:type="character" w:customStyle="1" w:styleId="18">
    <w:name w:val="批注框文本 字符"/>
    <w:basedOn w:val="10"/>
    <w:link w:val="6"/>
    <w:semiHidden/>
    <w:qFormat/>
    <w:uiPriority w:val="99"/>
    <w:rPr>
      <w:kern w:val="2"/>
      <w:sz w:val="18"/>
      <w:szCs w:val="18"/>
    </w:rPr>
  </w:style>
  <w:style w:type="character" w:customStyle="1" w:styleId="19">
    <w:name w:val="日期 字符"/>
    <w:basedOn w:val="10"/>
    <w:link w:val="5"/>
    <w:semiHidden/>
    <w:qFormat/>
    <w:uiPriority w:val="99"/>
    <w:rPr>
      <w:kern w:val="2"/>
      <w:sz w:val="21"/>
      <w:szCs w:val="22"/>
    </w:rPr>
  </w:style>
  <w:style w:type="paragraph" w:customStyle="1" w:styleId="20">
    <w:name w:val="Body"/>
    <w:qFormat/>
    <w:uiPriority w:val="0"/>
    <w:pPr>
      <w:spacing w:line="360" w:lineRule="auto"/>
    </w:pPr>
    <w:rPr>
      <w:rFonts w:ascii="Calibri" w:hAnsi="Calibri" w:eastAsia="Calibri" w:cs="Calibri"/>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438</Words>
  <Characters>2501</Characters>
  <Lines>20</Lines>
  <Paragraphs>5</Paragraphs>
  <TotalTime>2</TotalTime>
  <ScaleCrop>false</ScaleCrop>
  <LinksUpToDate>false</LinksUpToDate>
  <CharactersWithSpaces>2934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2024-07-22T09:19:00Z</dcterms:created>
  <dc:creator>txnsh</dc:creator>
  <cp:lastModifiedBy>朱筱琪</cp:lastModifiedBy>
  <cp:lastPrinted>2024-07-24T00:26:00Z</cp:lastPrinted>
  <dcterms:modified xsi:type="dcterms:W3CDTF">2024-08-29T02:34:09Z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64DB8554C7E44102B115DE4F721B9009</vt:lpwstr>
  </property>
</Properties>
</file>