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9D2" w:rsidRDefault="004F63B1">
      <w:pPr>
        <w:spacing w:line="360" w:lineRule="auto"/>
        <w:jc w:val="center"/>
        <w:rPr>
          <w:rFonts w:ascii="Arial" w:eastAsia="宋体" w:hAnsi="Arial" w:cs="Arial"/>
          <w:b/>
          <w:sz w:val="28"/>
          <w:szCs w:val="24"/>
        </w:rPr>
      </w:pPr>
      <w:bookmarkStart w:id="0" w:name="_GoBack"/>
      <w:bookmarkEnd w:id="0"/>
      <w:r>
        <w:rPr>
          <w:rFonts w:ascii="Arial" w:eastAsia="宋体" w:hAnsi="Arial" w:cs="Arial" w:hint="eastAsia"/>
          <w:b/>
          <w:sz w:val="28"/>
          <w:szCs w:val="24"/>
        </w:rPr>
        <w:t>平安理财灵活成长汇稳日开</w:t>
      </w:r>
      <w:r>
        <w:rPr>
          <w:rFonts w:ascii="Arial" w:eastAsia="宋体" w:hAnsi="Arial" w:cs="Arial" w:hint="eastAsia"/>
          <w:b/>
          <w:sz w:val="28"/>
          <w:szCs w:val="24"/>
        </w:rPr>
        <w:t>14</w:t>
      </w:r>
      <w:r>
        <w:rPr>
          <w:rFonts w:ascii="Arial" w:eastAsia="宋体" w:hAnsi="Arial" w:cs="Arial" w:hint="eastAsia"/>
          <w:b/>
          <w:sz w:val="28"/>
          <w:szCs w:val="24"/>
        </w:rPr>
        <w:t>天持有</w:t>
      </w:r>
      <w:r>
        <w:rPr>
          <w:rFonts w:ascii="Arial" w:eastAsia="宋体" w:hAnsi="Arial" w:cs="Arial" w:hint="eastAsia"/>
          <w:b/>
          <w:sz w:val="28"/>
          <w:szCs w:val="24"/>
        </w:rPr>
        <w:t>1</w:t>
      </w:r>
      <w:r>
        <w:rPr>
          <w:rFonts w:ascii="Arial" w:eastAsia="宋体" w:hAnsi="Arial" w:cs="Arial" w:hint="eastAsia"/>
          <w:b/>
          <w:sz w:val="28"/>
          <w:szCs w:val="24"/>
        </w:rPr>
        <w:t>号固收类理财产品</w:t>
      </w:r>
      <w:r>
        <w:rPr>
          <w:rFonts w:ascii="Arial" w:eastAsia="宋体" w:hAnsi="Arial" w:cs="Arial"/>
          <w:b/>
          <w:sz w:val="28"/>
          <w:szCs w:val="24"/>
        </w:rPr>
        <w:t>新增</w:t>
      </w:r>
      <w:r>
        <w:rPr>
          <w:rFonts w:ascii="Arial" w:eastAsia="宋体" w:hAnsi="Arial" w:cs="Arial" w:hint="eastAsia"/>
          <w:b/>
          <w:sz w:val="28"/>
          <w:szCs w:val="24"/>
        </w:rPr>
        <w:t>浙江农村商业联合银行股份有限公司</w:t>
      </w:r>
      <w:r>
        <w:rPr>
          <w:rFonts w:ascii="Arial" w:eastAsia="宋体" w:hAnsi="Arial" w:cs="Arial"/>
          <w:b/>
          <w:sz w:val="28"/>
          <w:szCs w:val="24"/>
        </w:rPr>
        <w:t>下属行社</w:t>
      </w:r>
      <w:r>
        <w:rPr>
          <w:rFonts w:ascii="Arial" w:eastAsia="宋体" w:hAnsi="Arial" w:cs="Arial" w:hint="eastAsia"/>
          <w:b/>
          <w:sz w:val="28"/>
          <w:szCs w:val="24"/>
        </w:rPr>
        <w:t>为</w:t>
      </w:r>
      <w:r>
        <w:rPr>
          <w:rFonts w:ascii="Arial" w:eastAsia="宋体" w:hAnsi="Arial" w:cs="Arial"/>
          <w:b/>
          <w:sz w:val="28"/>
          <w:szCs w:val="24"/>
        </w:rPr>
        <w:t>销售服务机构公告</w:t>
      </w:r>
    </w:p>
    <w:p w:rsidR="00B009D2" w:rsidRDefault="00B009D2">
      <w:pPr>
        <w:spacing w:line="360" w:lineRule="auto"/>
        <w:jc w:val="center"/>
        <w:rPr>
          <w:rFonts w:ascii="Arial" w:eastAsia="宋体" w:hAnsi="Arial" w:cs="Arial"/>
          <w:b/>
          <w:sz w:val="28"/>
          <w:szCs w:val="24"/>
        </w:rPr>
      </w:pPr>
    </w:p>
    <w:p w:rsidR="00B009D2" w:rsidRDefault="004F63B1">
      <w:pPr>
        <w:spacing w:line="360" w:lineRule="auto"/>
        <w:rPr>
          <w:rFonts w:ascii="Arial" w:eastAsia="宋体" w:hAnsi="Arial" w:cs="Arial"/>
          <w:sz w:val="24"/>
          <w:szCs w:val="24"/>
        </w:rPr>
      </w:pPr>
      <w:r>
        <w:rPr>
          <w:rFonts w:ascii="Arial" w:eastAsia="宋体" w:hAnsi="Arial" w:cs="Arial"/>
          <w:sz w:val="24"/>
          <w:szCs w:val="24"/>
        </w:rPr>
        <w:t>尊敬的投资者：</w:t>
      </w:r>
      <w:r>
        <w:rPr>
          <w:rFonts w:ascii="Arial" w:eastAsia="宋体" w:hAnsi="Arial" w:cs="Arial"/>
          <w:sz w:val="24"/>
          <w:szCs w:val="24"/>
        </w:rPr>
        <w:t xml:space="preserve"> </w:t>
      </w:r>
    </w:p>
    <w:p w:rsidR="00B009D2" w:rsidRDefault="004F63B1">
      <w:pPr>
        <w:pStyle w:val="Default"/>
        <w:spacing w:line="360" w:lineRule="auto"/>
        <w:ind w:firstLineChars="200" w:firstLine="480"/>
        <w:rPr>
          <w:rFonts w:ascii="Arial" w:hAnsi="Arial" w:cs="Arial"/>
        </w:rPr>
      </w:pPr>
      <w:r>
        <w:rPr>
          <w:rFonts w:ascii="Arial" w:hAnsi="Arial" w:cs="Arial" w:hint="eastAsia"/>
        </w:rPr>
        <w:t>为了更好地满足投资者的理财需求，根据</w:t>
      </w:r>
      <w:r>
        <w:rPr>
          <w:rFonts w:ascii="Arial" w:hAnsi="Arial" w:cs="Arial"/>
        </w:rPr>
        <w:t>平安理财有限责任公司</w:t>
      </w:r>
      <w:r>
        <w:rPr>
          <w:rFonts w:ascii="Arial" w:hAnsi="Arial" w:cs="Arial" w:hint="eastAsia"/>
        </w:rPr>
        <w:t>与浙江农村商业联合银行股份有限公司（以下简称“浙江农商联合银行”）签署的销售协议，从</w:t>
      </w:r>
      <w:r>
        <w:rPr>
          <w:rFonts w:ascii="Arial" w:hAnsi="Arial" w:cs="Arial" w:hint="eastAsia"/>
        </w:rPr>
        <w:t>2024</w:t>
      </w:r>
      <w:r>
        <w:rPr>
          <w:rFonts w:ascii="Arial" w:hAnsi="Arial" w:cs="Arial" w:hint="eastAsia"/>
        </w:rPr>
        <w:t>年</w:t>
      </w:r>
      <w:r>
        <w:rPr>
          <w:rFonts w:ascii="Arial" w:hAnsi="Arial" w:cs="Arial" w:hint="eastAsia"/>
        </w:rPr>
        <w:t>12</w:t>
      </w:r>
      <w:r>
        <w:rPr>
          <w:rFonts w:ascii="Arial" w:hAnsi="Arial" w:cs="Arial" w:hint="eastAsia"/>
        </w:rPr>
        <w:t>月</w:t>
      </w:r>
      <w:r>
        <w:rPr>
          <w:rFonts w:ascii="Arial" w:hAnsi="Arial" w:cs="Arial" w:hint="eastAsia"/>
        </w:rPr>
        <w:t>10</w:t>
      </w:r>
      <w:r>
        <w:rPr>
          <w:rFonts w:ascii="Arial" w:hAnsi="Arial" w:cs="Arial" w:hint="eastAsia"/>
        </w:rPr>
        <w:t>日</w:t>
      </w:r>
      <w:r>
        <w:rPr>
          <w:rFonts w:ascii="Arial" w:hAnsi="Arial" w:cs="Arial"/>
        </w:rPr>
        <w:t>起</w:t>
      </w:r>
      <w:r>
        <w:rPr>
          <w:rFonts w:ascii="Arial" w:hAnsi="Arial" w:cs="Arial" w:hint="eastAsia"/>
        </w:rPr>
        <w:t>，平安理财灵活成长汇稳日开</w:t>
      </w:r>
      <w:r>
        <w:rPr>
          <w:rFonts w:ascii="Arial" w:hAnsi="Arial" w:cs="Arial" w:hint="eastAsia"/>
        </w:rPr>
        <w:t>14</w:t>
      </w:r>
      <w:r>
        <w:rPr>
          <w:rFonts w:ascii="Arial" w:hAnsi="Arial" w:cs="Arial" w:hint="eastAsia"/>
        </w:rPr>
        <w:t>天持有</w:t>
      </w:r>
      <w:r>
        <w:rPr>
          <w:rFonts w:ascii="Arial" w:hAnsi="Arial" w:cs="Arial" w:hint="eastAsia"/>
        </w:rPr>
        <w:t>1</w:t>
      </w:r>
      <w:r>
        <w:rPr>
          <w:rFonts w:ascii="Arial" w:hAnsi="Arial" w:cs="Arial" w:hint="eastAsia"/>
        </w:rPr>
        <w:t>号固收类理财产品</w:t>
      </w:r>
      <w:r>
        <w:rPr>
          <w:rFonts w:ascii="Arial" w:hAnsi="Arial" w:cs="Arial" w:hint="eastAsia"/>
        </w:rPr>
        <w:t>A</w:t>
      </w:r>
      <w:r>
        <w:rPr>
          <w:rFonts w:ascii="Arial" w:hAnsi="Arial" w:cs="Arial" w:hint="eastAsia"/>
        </w:rPr>
        <w:t>（产品份额代码：</w:t>
      </w:r>
      <w:r>
        <w:rPr>
          <w:rFonts w:ascii="Arial" w:hAnsi="Arial" w:cs="Arial" w:hint="eastAsia"/>
        </w:rPr>
        <w:t>LWCG01401A</w:t>
      </w:r>
      <w:r>
        <w:rPr>
          <w:rFonts w:ascii="Arial" w:hAnsi="Arial" w:cs="Arial"/>
        </w:rPr>
        <w:t>，理财登记编码：</w:t>
      </w:r>
      <w:r>
        <w:rPr>
          <w:rFonts w:ascii="Arial" w:hAnsi="Arial" w:cs="Arial" w:hint="eastAsia"/>
        </w:rPr>
        <w:t>Z7003324000328</w:t>
      </w:r>
      <w:r>
        <w:rPr>
          <w:rFonts w:ascii="Arial" w:hAnsi="Arial" w:cs="Arial" w:hint="eastAsia"/>
        </w:rPr>
        <w:t>，</w:t>
      </w:r>
      <w:r>
        <w:rPr>
          <w:rFonts w:ascii="Arial" w:hAnsi="Arial" w:cs="Arial"/>
        </w:rPr>
        <w:t>以下简称</w:t>
      </w:r>
      <w:r>
        <w:rPr>
          <w:rFonts w:ascii="Arial" w:hAnsi="Arial" w:cs="Arial"/>
        </w:rPr>
        <w:t>“</w:t>
      </w:r>
      <w:r>
        <w:rPr>
          <w:rFonts w:ascii="Arial" w:hAnsi="Arial" w:cs="Arial"/>
        </w:rPr>
        <w:t>本产品</w:t>
      </w:r>
      <w:r>
        <w:rPr>
          <w:rFonts w:ascii="Arial" w:hAnsi="Arial" w:cs="Arial"/>
        </w:rPr>
        <w:t>”</w:t>
      </w:r>
      <w:r>
        <w:rPr>
          <w:rFonts w:ascii="Arial" w:hAnsi="Arial" w:cs="Arial"/>
        </w:rPr>
        <w:t>）</w:t>
      </w:r>
      <w:r>
        <w:rPr>
          <w:rFonts w:ascii="Arial" w:hAnsi="Arial" w:cs="Arial" w:hint="eastAsia"/>
        </w:rPr>
        <w:t>新增浙江农村商业联合银行股份有限公司</w:t>
      </w:r>
      <w:r>
        <w:rPr>
          <w:rFonts w:ascii="Arial" w:hAnsi="Arial" w:cs="Arial"/>
        </w:rPr>
        <w:t>下属</w:t>
      </w:r>
      <w:r>
        <w:rPr>
          <w:rFonts w:ascii="Arial" w:hAnsi="Arial" w:cs="Arial" w:hint="eastAsia"/>
        </w:rPr>
        <w:t>1</w:t>
      </w:r>
      <w:r>
        <w:rPr>
          <w:rFonts w:ascii="Arial" w:hAnsi="Arial" w:cs="Arial" w:hint="eastAsia"/>
        </w:rPr>
        <w:t>家</w:t>
      </w:r>
      <w:r>
        <w:rPr>
          <w:rFonts w:ascii="Arial" w:hAnsi="Arial" w:cs="Arial"/>
        </w:rPr>
        <w:t>行社</w:t>
      </w:r>
      <w:r>
        <w:rPr>
          <w:rFonts w:ascii="Arial" w:hAnsi="Arial" w:cs="Arial" w:hint="eastAsia"/>
        </w:rPr>
        <w:t>为销售服务机构。具体产品信息详见附件。</w:t>
      </w:r>
    </w:p>
    <w:p w:rsidR="00B009D2" w:rsidRDefault="00B009D2">
      <w:pPr>
        <w:pStyle w:val="Default"/>
        <w:spacing w:line="360" w:lineRule="auto"/>
        <w:ind w:firstLineChars="200" w:firstLine="480"/>
        <w:rPr>
          <w:rFonts w:ascii="Arial" w:hAnsi="Arial" w:cs="Arial"/>
        </w:rPr>
      </w:pPr>
    </w:p>
    <w:p w:rsidR="00B009D2" w:rsidRDefault="004F63B1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 w:hint="eastAsia"/>
        </w:rPr>
        <w:t>投资者可通过以下途径咨询有关详情：</w:t>
      </w:r>
    </w:p>
    <w:p w:rsidR="00B009D2" w:rsidRDefault="004F63B1">
      <w:pPr>
        <w:pStyle w:val="Default"/>
        <w:spacing w:line="360" w:lineRule="auto"/>
        <w:ind w:firstLineChars="200" w:firstLine="482"/>
        <w:rPr>
          <w:rFonts w:ascii="Arial" w:hAnsi="Arial" w:cs="Arial"/>
          <w:b/>
          <w:color w:val="auto"/>
        </w:rPr>
      </w:pPr>
      <w:r>
        <w:rPr>
          <w:rFonts w:ascii="Arial" w:hAnsi="Arial" w:cs="Arial" w:hint="eastAsia"/>
          <w:b/>
          <w:color w:val="auto"/>
        </w:rPr>
        <w:t>平安理财有限责任公司</w:t>
      </w:r>
    </w:p>
    <w:p w:rsidR="00B009D2" w:rsidRDefault="004F63B1">
      <w:pPr>
        <w:pStyle w:val="Default"/>
        <w:spacing w:line="360" w:lineRule="auto"/>
        <w:ind w:firstLineChars="200" w:firstLine="480"/>
        <w:rPr>
          <w:rFonts w:ascii="Arial" w:hAnsi="Arial" w:cs="Arial"/>
          <w:color w:val="auto"/>
        </w:rPr>
      </w:pPr>
      <w:r>
        <w:rPr>
          <w:rFonts w:ascii="Arial" w:hAnsi="Arial" w:cs="Arial" w:hint="eastAsia"/>
          <w:color w:val="auto"/>
        </w:rPr>
        <w:t>客服热线：</w:t>
      </w:r>
      <w:r>
        <w:rPr>
          <w:rFonts w:ascii="Arial" w:hAnsi="Arial" w:cs="Arial"/>
          <w:color w:val="auto"/>
        </w:rPr>
        <w:t>4000195511</w:t>
      </w:r>
    </w:p>
    <w:p w:rsidR="00B009D2" w:rsidRDefault="004F63B1">
      <w:pPr>
        <w:pStyle w:val="Default"/>
        <w:spacing w:line="360" w:lineRule="auto"/>
        <w:ind w:firstLineChars="200" w:firstLine="480"/>
        <w:jc w:val="both"/>
        <w:rPr>
          <w:rFonts w:ascii="Arial" w:hAnsi="Arial" w:cs="Arial"/>
          <w:color w:val="auto"/>
        </w:rPr>
      </w:pPr>
      <w:r>
        <w:rPr>
          <w:rFonts w:ascii="Arial" w:hAnsi="Arial" w:cs="Arial" w:hint="eastAsia"/>
          <w:color w:val="auto"/>
        </w:rPr>
        <w:t>官方网站：</w:t>
      </w:r>
      <w:hyperlink r:id="rId7" w:history="1">
        <w:r>
          <w:rPr>
            <w:rStyle w:val="ad"/>
            <w:rFonts w:ascii="Arial" w:hAnsi="Arial" w:cs="Arial"/>
          </w:rPr>
          <w:t>https://wm.pingan.com</w:t>
        </w:r>
      </w:hyperlink>
    </w:p>
    <w:p w:rsidR="00B009D2" w:rsidRDefault="00B009D2">
      <w:pPr>
        <w:pStyle w:val="Default"/>
        <w:spacing w:line="360" w:lineRule="auto"/>
        <w:ind w:leftChars="200" w:left="420"/>
        <w:jc w:val="both"/>
        <w:rPr>
          <w:rFonts w:ascii="Arial" w:hAnsi="Arial" w:cs="Arial"/>
        </w:rPr>
      </w:pPr>
    </w:p>
    <w:p w:rsidR="00B009D2" w:rsidRDefault="004F63B1">
      <w:pPr>
        <w:pStyle w:val="Default"/>
        <w:spacing w:line="360" w:lineRule="auto"/>
        <w:ind w:leftChars="200" w:left="4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浙江桐乡农村商业银行股份有限公司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客服热线：</w:t>
      </w:r>
      <w:r>
        <w:rPr>
          <w:rFonts w:ascii="Arial" w:hAnsi="Arial" w:cs="Arial"/>
          <w:b/>
        </w:rPr>
        <w:t>96596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官方网站：</w:t>
      </w:r>
      <w:r>
        <w:rPr>
          <w:rFonts w:ascii="Arial" w:hAnsi="Arial" w:cs="Arial"/>
          <w:b/>
        </w:rPr>
        <w:t>www.zjtxbank.com</w:t>
      </w:r>
    </w:p>
    <w:p w:rsidR="00B009D2" w:rsidRDefault="00B009D2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B009D2" w:rsidRDefault="004F63B1">
      <w:pPr>
        <w:pStyle w:val="af"/>
        <w:numPr>
          <w:ilvl w:val="0"/>
          <w:numId w:val="1"/>
        </w:numPr>
        <w:spacing w:line="360" w:lineRule="auto"/>
        <w:ind w:firstLineChars="0"/>
        <w:rPr>
          <w:rFonts w:ascii="Arial" w:eastAsia="宋体" w:hAnsi="Arial" w:cs="Arial"/>
          <w:sz w:val="24"/>
          <w:szCs w:val="24"/>
        </w:rPr>
      </w:pPr>
      <w:r>
        <w:rPr>
          <w:rFonts w:ascii="Arial" w:eastAsia="宋体" w:hAnsi="Arial" w:cs="Arial" w:hint="eastAsia"/>
          <w:sz w:val="24"/>
          <w:szCs w:val="24"/>
        </w:rPr>
        <w:t>风险提示：</w:t>
      </w:r>
    </w:p>
    <w:p w:rsidR="00B009D2" w:rsidRDefault="004F63B1">
      <w:pPr>
        <w:spacing w:line="360" w:lineRule="auto"/>
        <w:ind w:firstLineChars="200" w:firstLine="480"/>
        <w:rPr>
          <w:rFonts w:ascii="Arial" w:eastAsia="宋体" w:hAnsi="Arial" w:cs="Arial"/>
          <w:sz w:val="24"/>
          <w:szCs w:val="24"/>
        </w:rPr>
      </w:pPr>
      <w:r>
        <w:rPr>
          <w:rFonts w:ascii="Arial" w:eastAsia="宋体" w:hAnsi="Arial" w:cs="Arial" w:hint="eastAsia"/>
          <w:sz w:val="24"/>
          <w:szCs w:val="24"/>
        </w:rPr>
        <w:t>本产品为非保本浮动收益型理财产品，不保证本金和收益。</w:t>
      </w:r>
      <w:r>
        <w:rPr>
          <w:rFonts w:ascii="Arial" w:eastAsia="宋体" w:hAnsi="Arial" w:cs="Arial"/>
          <w:sz w:val="24"/>
          <w:szCs w:val="24"/>
        </w:rPr>
        <w:t>平安理财有限责任公司建议：</w:t>
      </w:r>
      <w:r>
        <w:rPr>
          <w:rFonts w:ascii="Arial" w:eastAsia="宋体" w:hAnsi="Arial" w:cs="Arial" w:hint="eastAsia"/>
          <w:sz w:val="24"/>
          <w:szCs w:val="24"/>
        </w:rPr>
        <w:t>如</w:t>
      </w:r>
      <w:r>
        <w:rPr>
          <w:rFonts w:ascii="Arial" w:eastAsia="宋体" w:hAnsi="Arial" w:cs="Arial"/>
          <w:sz w:val="24"/>
          <w:szCs w:val="24"/>
        </w:rPr>
        <w:t>影响投资者风险承受能力的因素发生变化，请及时重新完成风险承受能力评估。敬请投资者在购买本产品前认真阅读本产品《产品说明书》、《投资协议书》、《风险揭示书》、《销售协议书》、《客户权益须知》等理财产品合同文件，了解本产品的风险收益特征，并根据自身的风险承受能力选择适合</w:t>
      </w:r>
      <w:r>
        <w:rPr>
          <w:rFonts w:ascii="Arial" w:eastAsia="宋体" w:hAnsi="Arial" w:cs="Arial" w:hint="eastAsia"/>
          <w:sz w:val="24"/>
          <w:szCs w:val="24"/>
        </w:rPr>
        <w:t>自己的理财产品。请投资者在购买理财产品前充分认识投资风险，谨慎投资。</w:t>
      </w:r>
    </w:p>
    <w:p w:rsidR="00B009D2" w:rsidRDefault="004F63B1">
      <w:pPr>
        <w:spacing w:line="360" w:lineRule="auto"/>
        <w:ind w:firstLineChars="200" w:firstLine="480"/>
        <w:rPr>
          <w:rFonts w:ascii="Arial" w:eastAsia="宋体" w:hAnsi="Arial" w:cs="Arial"/>
          <w:sz w:val="24"/>
          <w:szCs w:val="24"/>
        </w:rPr>
      </w:pPr>
      <w:r>
        <w:rPr>
          <w:rFonts w:ascii="Arial" w:eastAsia="宋体" w:hAnsi="Arial" w:cs="Arial"/>
          <w:sz w:val="24"/>
          <w:szCs w:val="24"/>
        </w:rPr>
        <w:t>特此公告。</w:t>
      </w:r>
    </w:p>
    <w:p w:rsidR="00B009D2" w:rsidRDefault="004F63B1">
      <w:pPr>
        <w:pStyle w:val="Default"/>
        <w:spacing w:line="360" w:lineRule="auto"/>
        <w:ind w:firstLineChars="200" w:firstLine="480"/>
        <w:jc w:val="right"/>
        <w:rPr>
          <w:rFonts w:ascii="Arial" w:hAnsi="Arial" w:cs="Arial"/>
        </w:rPr>
      </w:pPr>
      <w:r>
        <w:rPr>
          <w:rFonts w:ascii="Arial" w:hAnsi="Arial" w:cs="Arial" w:hint="eastAsia"/>
        </w:rPr>
        <w:lastRenderedPageBreak/>
        <w:t>平安理财有限责任公司</w:t>
      </w:r>
    </w:p>
    <w:p w:rsidR="00B009D2" w:rsidRDefault="004F63B1">
      <w:pPr>
        <w:pStyle w:val="Default"/>
        <w:wordWrap w:val="0"/>
        <w:spacing w:line="360" w:lineRule="auto"/>
        <w:ind w:firstLineChars="200" w:firstLine="480"/>
        <w:jc w:val="right"/>
        <w:rPr>
          <w:rFonts w:ascii="Arial" w:hAnsi="Arial" w:cs="Arial"/>
        </w:rPr>
      </w:pPr>
      <w:r>
        <w:rPr>
          <w:rFonts w:ascii="Arial" w:hAnsi="Arial" w:cs="Arial"/>
        </w:rPr>
        <w:t>2024</w:t>
      </w:r>
      <w:r>
        <w:rPr>
          <w:rFonts w:ascii="Arial" w:hAnsi="Arial" w:cs="Arial"/>
        </w:rPr>
        <w:t>年</w:t>
      </w:r>
      <w:r>
        <w:rPr>
          <w:rFonts w:ascii="Arial" w:hAnsi="Arial" w:cs="Arial"/>
        </w:rPr>
        <w:t>12</w:t>
      </w:r>
      <w:r>
        <w:rPr>
          <w:rFonts w:ascii="Arial" w:hAnsi="Arial" w:cs="Arial"/>
        </w:rPr>
        <w:t>月</w:t>
      </w:r>
      <w:r>
        <w:rPr>
          <w:rFonts w:ascii="Arial" w:hAnsi="Arial" w:cs="Arial"/>
        </w:rPr>
        <w:t>10</w:t>
      </w:r>
      <w:r>
        <w:rPr>
          <w:rFonts w:ascii="Arial" w:hAnsi="Arial" w:cs="Arial"/>
        </w:rPr>
        <w:t>日</w:t>
      </w:r>
    </w:p>
    <w:p w:rsidR="00B009D2" w:rsidRDefault="004F63B1">
      <w:pPr>
        <w:widowControl/>
        <w:jc w:val="left"/>
        <w:rPr>
          <w:rFonts w:ascii="Arial" w:eastAsia="宋体" w:hAnsi="Arial" w:cs="Arial"/>
          <w:b/>
          <w:bCs/>
          <w:color w:val="000000" w:themeColor="text1"/>
          <w:kern w:val="0"/>
          <w:sz w:val="24"/>
          <w:szCs w:val="24"/>
        </w:rPr>
      </w:pPr>
      <w:r>
        <w:rPr>
          <w:rFonts w:ascii="Arial" w:eastAsia="宋体" w:hAnsi="Arial" w:cs="Arial"/>
          <w:b/>
          <w:bCs/>
          <w:color w:val="000000" w:themeColor="text1"/>
          <w:kern w:val="0"/>
          <w:sz w:val="24"/>
          <w:szCs w:val="24"/>
        </w:rPr>
        <w:br w:type="page"/>
      </w:r>
      <w:r>
        <w:rPr>
          <w:rFonts w:ascii="Arial" w:eastAsia="宋体" w:hAnsi="Arial" w:cs="Arial" w:hint="eastAsia"/>
          <w:b/>
          <w:bCs/>
          <w:color w:val="000000" w:themeColor="text1"/>
          <w:kern w:val="0"/>
          <w:sz w:val="24"/>
          <w:szCs w:val="24"/>
        </w:rPr>
        <w:t>附件：平安理财灵活成长汇稳日开</w:t>
      </w:r>
      <w:r>
        <w:rPr>
          <w:rFonts w:ascii="Arial" w:eastAsia="宋体" w:hAnsi="Arial" w:cs="Arial" w:hint="eastAsia"/>
          <w:b/>
          <w:bCs/>
          <w:color w:val="000000" w:themeColor="text1"/>
          <w:kern w:val="0"/>
          <w:sz w:val="24"/>
          <w:szCs w:val="24"/>
        </w:rPr>
        <w:t>14</w:t>
      </w:r>
      <w:r>
        <w:rPr>
          <w:rFonts w:ascii="Arial" w:eastAsia="宋体" w:hAnsi="Arial" w:cs="Arial" w:hint="eastAsia"/>
          <w:b/>
          <w:bCs/>
          <w:color w:val="000000" w:themeColor="text1"/>
          <w:kern w:val="0"/>
          <w:sz w:val="24"/>
          <w:szCs w:val="24"/>
        </w:rPr>
        <w:t>天持有</w:t>
      </w:r>
      <w:r>
        <w:rPr>
          <w:rFonts w:ascii="Arial" w:eastAsia="宋体" w:hAnsi="Arial" w:cs="Arial" w:hint="eastAsia"/>
          <w:b/>
          <w:bCs/>
          <w:color w:val="000000" w:themeColor="text1"/>
          <w:kern w:val="0"/>
          <w:sz w:val="24"/>
          <w:szCs w:val="24"/>
        </w:rPr>
        <w:t>1</w:t>
      </w:r>
      <w:r>
        <w:rPr>
          <w:rFonts w:ascii="Arial" w:eastAsia="宋体" w:hAnsi="Arial" w:cs="Arial" w:hint="eastAsia"/>
          <w:b/>
          <w:bCs/>
          <w:color w:val="000000" w:themeColor="text1"/>
          <w:kern w:val="0"/>
          <w:sz w:val="24"/>
          <w:szCs w:val="24"/>
        </w:rPr>
        <w:t>号固收类理财产品</w:t>
      </w:r>
      <w:r>
        <w:rPr>
          <w:rFonts w:ascii="Arial" w:eastAsia="宋体" w:hAnsi="Arial" w:cs="Arial" w:hint="eastAsia"/>
          <w:b/>
          <w:bCs/>
          <w:color w:val="000000" w:themeColor="text1"/>
          <w:kern w:val="0"/>
          <w:sz w:val="24"/>
          <w:szCs w:val="24"/>
        </w:rPr>
        <w:t>A</w:t>
      </w:r>
      <w:r>
        <w:rPr>
          <w:rFonts w:ascii="Arial" w:eastAsia="宋体" w:hAnsi="Arial" w:cs="Arial" w:hint="eastAsia"/>
          <w:b/>
          <w:bCs/>
          <w:color w:val="000000" w:themeColor="text1"/>
          <w:kern w:val="0"/>
          <w:sz w:val="24"/>
          <w:szCs w:val="24"/>
        </w:rPr>
        <w:t>类份额及费率信息</w:t>
      </w:r>
    </w:p>
    <w:p w:rsidR="00B009D2" w:rsidRDefault="00B009D2">
      <w:pPr>
        <w:widowControl/>
        <w:jc w:val="center"/>
        <w:rPr>
          <w:rFonts w:ascii="Arial" w:eastAsia="宋体" w:hAnsi="Arial" w:cs="Arial"/>
          <w:b/>
          <w:bCs/>
          <w:color w:val="000000" w:themeColor="text1"/>
          <w:kern w:val="0"/>
          <w:sz w:val="24"/>
          <w:szCs w:val="24"/>
        </w:rPr>
      </w:pPr>
    </w:p>
    <w:p w:rsidR="00B009D2" w:rsidRDefault="004F63B1">
      <w:pPr>
        <w:widowControl/>
        <w:jc w:val="center"/>
        <w:rPr>
          <w:rFonts w:ascii="Arial" w:eastAsia="宋体" w:hAnsi="Arial" w:cs="Arial"/>
          <w:b/>
          <w:bCs/>
          <w:color w:val="000000" w:themeColor="text1"/>
          <w:kern w:val="0"/>
          <w:sz w:val="24"/>
          <w:szCs w:val="24"/>
        </w:rPr>
      </w:pPr>
      <w:r>
        <w:rPr>
          <w:rFonts w:ascii="Arial" w:eastAsia="宋体" w:hAnsi="Arial" w:cs="Arial" w:hint="eastAsia"/>
          <w:b/>
          <w:bCs/>
          <w:color w:val="000000" w:themeColor="text1"/>
          <w:kern w:val="0"/>
          <w:sz w:val="24"/>
          <w:szCs w:val="24"/>
        </w:rPr>
        <w:t>平安理财灵活成长汇稳日开</w:t>
      </w:r>
      <w:r>
        <w:rPr>
          <w:rFonts w:ascii="Arial" w:eastAsia="宋体" w:hAnsi="Arial" w:cs="Arial" w:hint="eastAsia"/>
          <w:b/>
          <w:bCs/>
          <w:color w:val="000000" w:themeColor="text1"/>
          <w:kern w:val="0"/>
          <w:sz w:val="24"/>
          <w:szCs w:val="24"/>
        </w:rPr>
        <w:t>14</w:t>
      </w:r>
      <w:r>
        <w:rPr>
          <w:rFonts w:ascii="Arial" w:eastAsia="宋体" w:hAnsi="Arial" w:cs="Arial" w:hint="eastAsia"/>
          <w:b/>
          <w:bCs/>
          <w:color w:val="000000" w:themeColor="text1"/>
          <w:kern w:val="0"/>
          <w:sz w:val="24"/>
          <w:szCs w:val="24"/>
        </w:rPr>
        <w:t>天持有</w:t>
      </w:r>
      <w:r>
        <w:rPr>
          <w:rFonts w:ascii="Arial" w:eastAsia="宋体" w:hAnsi="Arial" w:cs="Arial" w:hint="eastAsia"/>
          <w:b/>
          <w:bCs/>
          <w:color w:val="000000" w:themeColor="text1"/>
          <w:kern w:val="0"/>
          <w:sz w:val="24"/>
          <w:szCs w:val="24"/>
        </w:rPr>
        <w:t>1</w:t>
      </w:r>
      <w:r>
        <w:rPr>
          <w:rFonts w:ascii="Arial" w:eastAsia="宋体" w:hAnsi="Arial" w:cs="Arial" w:hint="eastAsia"/>
          <w:b/>
          <w:bCs/>
          <w:color w:val="000000" w:themeColor="text1"/>
          <w:kern w:val="0"/>
          <w:sz w:val="24"/>
          <w:szCs w:val="24"/>
        </w:rPr>
        <w:t>号固收类理财产品</w:t>
      </w:r>
      <w:r>
        <w:rPr>
          <w:rFonts w:ascii="Arial" w:eastAsia="宋体" w:hAnsi="Arial" w:cs="Arial" w:hint="eastAsia"/>
          <w:b/>
          <w:bCs/>
          <w:color w:val="000000" w:themeColor="text1"/>
          <w:kern w:val="0"/>
          <w:sz w:val="24"/>
          <w:szCs w:val="24"/>
        </w:rPr>
        <w:t>A</w:t>
      </w:r>
      <w:r>
        <w:rPr>
          <w:rFonts w:ascii="Arial" w:eastAsia="宋体" w:hAnsi="Arial" w:cs="Arial" w:hint="eastAsia"/>
          <w:b/>
          <w:bCs/>
          <w:color w:val="000000" w:themeColor="text1"/>
          <w:kern w:val="0"/>
          <w:sz w:val="24"/>
          <w:szCs w:val="24"/>
        </w:rPr>
        <w:t>类份额及费率信息</w:t>
      </w:r>
    </w:p>
    <w:p w:rsidR="00B009D2" w:rsidRDefault="004F63B1">
      <w:pPr>
        <w:spacing w:line="360" w:lineRule="auto"/>
        <w:ind w:rightChars="-94" w:right="-197"/>
        <w:jc w:val="left"/>
        <w:rPr>
          <w:rFonts w:ascii="Arial" w:eastAsia="宋体" w:hAnsi="Arial" w:cs="Arial"/>
          <w:color w:val="000000"/>
          <w:szCs w:val="21"/>
        </w:rPr>
      </w:pPr>
      <w:r>
        <w:rPr>
          <w:rFonts w:ascii="Arial" w:eastAsia="宋体" w:hAnsi="Arial" w:cs="Arial"/>
          <w:color w:val="000000"/>
          <w:szCs w:val="21"/>
        </w:rPr>
        <w:t>尊敬的投资者：</w:t>
      </w:r>
    </w:p>
    <w:p w:rsidR="00B009D2" w:rsidRDefault="004F63B1">
      <w:pPr>
        <w:spacing w:line="360" w:lineRule="auto"/>
        <w:ind w:rightChars="-94" w:right="-197" w:firstLineChars="200" w:firstLine="420"/>
        <w:rPr>
          <w:rFonts w:ascii="Arial" w:eastAsia="宋体" w:hAnsi="Arial" w:cs="Arial"/>
          <w:color w:val="000000"/>
          <w:szCs w:val="21"/>
        </w:rPr>
      </w:pPr>
      <w:r>
        <w:rPr>
          <w:rFonts w:ascii="Arial" w:eastAsia="宋体" w:hAnsi="Arial" w:cs="Arial"/>
          <w:color w:val="000000"/>
          <w:szCs w:val="21"/>
        </w:rPr>
        <w:t>为了更好地满足投资者的理财需求，</w:t>
      </w:r>
      <w:r>
        <w:rPr>
          <w:rFonts w:ascii="Arial" w:eastAsia="宋体" w:hAnsi="Arial" w:cs="Arial" w:hint="eastAsia"/>
          <w:color w:val="000000"/>
          <w:szCs w:val="21"/>
        </w:rPr>
        <w:t>平安理财灵活成长汇稳日开</w:t>
      </w:r>
      <w:r>
        <w:rPr>
          <w:rFonts w:ascii="Arial" w:eastAsia="宋体" w:hAnsi="Arial" w:cs="Arial" w:hint="eastAsia"/>
          <w:color w:val="000000"/>
          <w:szCs w:val="21"/>
        </w:rPr>
        <w:t>14</w:t>
      </w:r>
      <w:r>
        <w:rPr>
          <w:rFonts w:ascii="Arial" w:eastAsia="宋体" w:hAnsi="Arial" w:cs="Arial" w:hint="eastAsia"/>
          <w:color w:val="000000"/>
          <w:szCs w:val="21"/>
        </w:rPr>
        <w:t>天持有</w:t>
      </w:r>
      <w:r>
        <w:rPr>
          <w:rFonts w:ascii="Arial" w:eastAsia="宋体" w:hAnsi="Arial" w:cs="Arial" w:hint="eastAsia"/>
          <w:color w:val="000000"/>
          <w:szCs w:val="21"/>
        </w:rPr>
        <w:t>1</w:t>
      </w:r>
      <w:r>
        <w:rPr>
          <w:rFonts w:ascii="Arial" w:eastAsia="宋体" w:hAnsi="Arial" w:cs="Arial" w:hint="eastAsia"/>
          <w:color w:val="000000"/>
          <w:szCs w:val="21"/>
        </w:rPr>
        <w:t>号固收类理财产品</w:t>
      </w:r>
      <w:r>
        <w:rPr>
          <w:rFonts w:ascii="Arial" w:eastAsia="宋体" w:hAnsi="Arial" w:cs="Arial"/>
          <w:color w:val="000000"/>
          <w:szCs w:val="21"/>
        </w:rPr>
        <w:t>新增</w:t>
      </w:r>
      <w:r>
        <w:rPr>
          <w:rFonts w:ascii="Arial" w:eastAsia="宋体" w:hAnsi="Arial" w:cs="Arial" w:hint="eastAsia"/>
          <w:color w:val="000000"/>
          <w:szCs w:val="21"/>
        </w:rPr>
        <w:t>浙江桐乡农村商业银行股份有限公司</w:t>
      </w:r>
      <w:r>
        <w:rPr>
          <w:rFonts w:ascii="Arial" w:eastAsia="宋体" w:hAnsi="Arial" w:cs="Arial"/>
          <w:color w:val="000000"/>
          <w:szCs w:val="21"/>
        </w:rPr>
        <w:t>为销售服务机构，且本产品</w:t>
      </w:r>
      <w:r>
        <w:rPr>
          <w:rFonts w:ascii="Arial" w:eastAsia="宋体" w:hAnsi="Arial" w:cs="Arial" w:hint="eastAsia"/>
          <w:color w:val="000000"/>
          <w:szCs w:val="21"/>
        </w:rPr>
        <w:t>A</w:t>
      </w:r>
      <w:r>
        <w:rPr>
          <w:rFonts w:ascii="Arial" w:eastAsia="宋体" w:hAnsi="Arial" w:cs="Arial" w:hint="eastAsia"/>
          <w:color w:val="000000"/>
          <w:szCs w:val="21"/>
        </w:rPr>
        <w:t>类份额及</w:t>
      </w:r>
      <w:r>
        <w:rPr>
          <w:rFonts w:ascii="Arial" w:eastAsia="宋体" w:hAnsi="Arial" w:cs="Arial"/>
          <w:color w:val="000000"/>
          <w:szCs w:val="21"/>
        </w:rPr>
        <w:t>相关要素按以下执行：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3"/>
        <w:gridCol w:w="7068"/>
      </w:tblGrid>
      <w:tr w:rsidR="00B009D2">
        <w:trPr>
          <w:trHeight w:val="240"/>
        </w:trPr>
        <w:tc>
          <w:tcPr>
            <w:tcW w:w="18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9D2" w:rsidRDefault="004F63B1">
            <w:pPr>
              <w:spacing w:line="360" w:lineRule="auto"/>
              <w:jc w:val="center"/>
              <w:rPr>
                <w:rFonts w:ascii="Arial" w:eastAsia="宋体" w:hAnsi="Arial" w:cs="Arial"/>
                <w:color w:val="000000"/>
                <w:sz w:val="22"/>
              </w:rPr>
            </w:pPr>
            <w:r>
              <w:rPr>
                <w:rFonts w:ascii="Arial" w:eastAsia="宋体" w:hAnsi="Arial" w:cs="Arial"/>
                <w:color w:val="000000"/>
                <w:sz w:val="22"/>
              </w:rPr>
              <w:t>产品销售代码</w:t>
            </w:r>
          </w:p>
        </w:tc>
        <w:tc>
          <w:tcPr>
            <w:tcW w:w="706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9D2" w:rsidRDefault="004F63B1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</w:rPr>
            </w:pPr>
            <w:r>
              <w:rPr>
                <w:rFonts w:ascii="Arial" w:eastAsia="宋体" w:hAnsi="Arial" w:cs="Arial" w:hint="eastAsia"/>
                <w:color w:val="000000"/>
                <w:sz w:val="22"/>
              </w:rPr>
              <w:t>LWCG01401A</w:t>
            </w:r>
          </w:p>
        </w:tc>
      </w:tr>
      <w:tr w:rsidR="00B009D2">
        <w:trPr>
          <w:trHeight w:val="240"/>
        </w:trPr>
        <w:tc>
          <w:tcPr>
            <w:tcW w:w="18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9D2" w:rsidRDefault="004F63B1">
            <w:pPr>
              <w:spacing w:line="360" w:lineRule="auto"/>
              <w:jc w:val="center"/>
              <w:rPr>
                <w:rFonts w:ascii="Arial" w:eastAsia="宋体" w:hAnsi="Arial" w:cs="Arial"/>
                <w:color w:val="000000"/>
                <w:sz w:val="22"/>
              </w:rPr>
            </w:pPr>
            <w:r>
              <w:rPr>
                <w:rFonts w:ascii="Arial" w:eastAsia="宋体" w:hAnsi="Arial" w:cs="Arial"/>
                <w:color w:val="000000"/>
                <w:sz w:val="22"/>
              </w:rPr>
              <w:t>产品销售名称</w:t>
            </w:r>
          </w:p>
        </w:tc>
        <w:tc>
          <w:tcPr>
            <w:tcW w:w="706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9D2" w:rsidRDefault="004F63B1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</w:rPr>
            </w:pPr>
            <w:r>
              <w:rPr>
                <w:rFonts w:ascii="Arial" w:eastAsia="宋体" w:hAnsi="Arial" w:cs="Arial" w:hint="eastAsia"/>
                <w:color w:val="000000"/>
                <w:sz w:val="22"/>
              </w:rPr>
              <w:t>灵活成长汇稳日开</w:t>
            </w:r>
            <w:r>
              <w:rPr>
                <w:rFonts w:ascii="Arial" w:eastAsia="宋体" w:hAnsi="Arial" w:cs="Arial" w:hint="eastAsia"/>
                <w:color w:val="000000"/>
                <w:sz w:val="22"/>
              </w:rPr>
              <w:t>14</w:t>
            </w:r>
            <w:r>
              <w:rPr>
                <w:rFonts w:ascii="Arial" w:eastAsia="宋体" w:hAnsi="Arial" w:cs="Arial" w:hint="eastAsia"/>
                <w:color w:val="000000"/>
                <w:sz w:val="22"/>
              </w:rPr>
              <w:t>天持有</w:t>
            </w:r>
            <w:r>
              <w:rPr>
                <w:rFonts w:ascii="Arial" w:eastAsia="宋体" w:hAnsi="Arial" w:cs="Arial" w:hint="eastAsia"/>
                <w:color w:val="000000"/>
                <w:sz w:val="22"/>
              </w:rPr>
              <w:t>1</w:t>
            </w:r>
            <w:r>
              <w:rPr>
                <w:rFonts w:ascii="Arial" w:eastAsia="宋体" w:hAnsi="Arial" w:cs="Arial" w:hint="eastAsia"/>
                <w:color w:val="000000"/>
                <w:sz w:val="22"/>
              </w:rPr>
              <w:t>号</w:t>
            </w:r>
            <w:r>
              <w:rPr>
                <w:rFonts w:ascii="Arial" w:eastAsia="宋体" w:hAnsi="Arial" w:cs="Arial" w:hint="eastAsia"/>
                <w:color w:val="000000"/>
                <w:sz w:val="22"/>
              </w:rPr>
              <w:t>A</w:t>
            </w:r>
          </w:p>
        </w:tc>
      </w:tr>
      <w:tr w:rsidR="00B009D2">
        <w:trPr>
          <w:trHeight w:val="240"/>
        </w:trPr>
        <w:tc>
          <w:tcPr>
            <w:tcW w:w="18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9D2" w:rsidRDefault="004F63B1">
            <w:pPr>
              <w:spacing w:line="360" w:lineRule="auto"/>
              <w:jc w:val="center"/>
              <w:rPr>
                <w:rFonts w:ascii="Arial" w:eastAsia="宋体" w:hAnsi="Arial" w:cs="Arial"/>
                <w:color w:val="000000"/>
                <w:sz w:val="22"/>
              </w:rPr>
            </w:pPr>
            <w:r>
              <w:rPr>
                <w:rFonts w:ascii="Arial" w:eastAsia="宋体" w:hAnsi="Arial" w:cs="Arial"/>
                <w:color w:val="000000"/>
                <w:sz w:val="22"/>
              </w:rPr>
              <w:t>销售对象</w:t>
            </w:r>
          </w:p>
        </w:tc>
        <w:tc>
          <w:tcPr>
            <w:tcW w:w="706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9D2" w:rsidRDefault="004F63B1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</w:rPr>
            </w:pPr>
            <w:r>
              <w:rPr>
                <w:rFonts w:ascii="Arial" w:eastAsia="宋体" w:hAnsi="Arial" w:cs="Arial" w:hint="eastAsia"/>
                <w:color w:val="000000"/>
                <w:sz w:val="22"/>
              </w:rPr>
              <w:t>本理财产品向个人投资者和机构投资者销售。</w:t>
            </w:r>
          </w:p>
        </w:tc>
      </w:tr>
      <w:tr w:rsidR="00B009D2">
        <w:trPr>
          <w:trHeight w:val="240"/>
        </w:trPr>
        <w:tc>
          <w:tcPr>
            <w:tcW w:w="18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9D2" w:rsidRDefault="004F63B1">
            <w:pPr>
              <w:spacing w:line="360" w:lineRule="auto"/>
              <w:jc w:val="center"/>
              <w:rPr>
                <w:rFonts w:ascii="Arial" w:eastAsia="宋体" w:hAnsi="Arial" w:cs="Arial"/>
                <w:color w:val="000000"/>
                <w:sz w:val="22"/>
              </w:rPr>
            </w:pPr>
            <w:r>
              <w:rPr>
                <w:rFonts w:ascii="Arial" w:eastAsia="宋体" w:hAnsi="Arial" w:cs="Arial"/>
                <w:color w:val="000000"/>
                <w:sz w:val="22"/>
              </w:rPr>
              <w:t>业绩比较基准</w:t>
            </w:r>
          </w:p>
        </w:tc>
        <w:tc>
          <w:tcPr>
            <w:tcW w:w="706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9D2" w:rsidRDefault="004F63B1">
            <w:pPr>
              <w:spacing w:line="360" w:lineRule="auto"/>
              <w:rPr>
                <w:rFonts w:ascii="Arial" w:eastAsia="宋体" w:hAnsi="Arial" w:cs="Arial"/>
                <w:color w:val="000000"/>
                <w:sz w:val="22"/>
              </w:rPr>
            </w:pPr>
            <w:r>
              <w:rPr>
                <w:rFonts w:ascii="Arial" w:eastAsia="宋体" w:hAnsi="Arial" w:cs="Arial" w:hint="eastAsia"/>
                <w:color w:val="000000"/>
                <w:sz w:val="22"/>
              </w:rPr>
              <w:t>1.90%-2.70%</w:t>
            </w:r>
          </w:p>
        </w:tc>
      </w:tr>
      <w:tr w:rsidR="00B009D2">
        <w:trPr>
          <w:trHeight w:val="240"/>
        </w:trPr>
        <w:tc>
          <w:tcPr>
            <w:tcW w:w="18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9D2" w:rsidRDefault="004F63B1">
            <w:pPr>
              <w:spacing w:line="360" w:lineRule="auto"/>
              <w:jc w:val="center"/>
              <w:rPr>
                <w:rFonts w:ascii="Arial" w:eastAsia="宋体" w:hAnsi="Arial" w:cs="Arial"/>
                <w:sz w:val="22"/>
              </w:rPr>
            </w:pPr>
            <w:r>
              <w:rPr>
                <w:rFonts w:ascii="Arial" w:eastAsia="宋体" w:hAnsi="Arial" w:cs="Arial" w:hint="eastAsia"/>
                <w:sz w:val="22"/>
              </w:rPr>
              <w:t>认</w:t>
            </w:r>
            <w:r>
              <w:rPr>
                <w:rFonts w:ascii="Arial" w:eastAsia="宋体" w:hAnsi="Arial" w:cs="Arial" w:hint="eastAsia"/>
                <w:sz w:val="22"/>
              </w:rPr>
              <w:t>/</w:t>
            </w:r>
            <w:r>
              <w:rPr>
                <w:rFonts w:ascii="Arial" w:eastAsia="宋体" w:hAnsi="Arial" w:cs="Arial"/>
                <w:sz w:val="22"/>
              </w:rPr>
              <w:t>申购起点</w:t>
            </w:r>
          </w:p>
        </w:tc>
        <w:tc>
          <w:tcPr>
            <w:tcW w:w="706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09D2" w:rsidRDefault="004F63B1">
            <w:pPr>
              <w:spacing w:line="360" w:lineRule="auto"/>
              <w:rPr>
                <w:rFonts w:ascii="Arial" w:eastAsia="宋体" w:hAnsi="Arial" w:cs="Arial"/>
                <w:sz w:val="22"/>
              </w:rPr>
            </w:pPr>
            <w:r>
              <w:rPr>
                <w:rFonts w:ascii="Arial" w:eastAsia="宋体" w:hAnsi="Arial" w:cs="Arial" w:hint="eastAsia"/>
                <w:sz w:val="22"/>
              </w:rPr>
              <w:t>首次</w:t>
            </w:r>
            <w:r>
              <w:rPr>
                <w:rFonts w:ascii="Arial" w:eastAsia="宋体" w:hAnsi="Arial" w:cs="Arial" w:hint="eastAsia"/>
                <w:sz w:val="22"/>
              </w:rPr>
              <w:t>认</w:t>
            </w:r>
            <w:r>
              <w:rPr>
                <w:rFonts w:ascii="Arial" w:eastAsia="宋体" w:hAnsi="Arial" w:cs="Arial" w:hint="eastAsia"/>
                <w:sz w:val="22"/>
              </w:rPr>
              <w:t>/</w:t>
            </w:r>
            <w:r>
              <w:rPr>
                <w:rFonts w:ascii="Arial" w:eastAsia="宋体" w:hAnsi="Arial" w:cs="Arial" w:hint="eastAsia"/>
                <w:sz w:val="22"/>
              </w:rPr>
              <w:t>申购起点金额为</w:t>
            </w:r>
            <w:r>
              <w:rPr>
                <w:rFonts w:ascii="Arial" w:eastAsia="宋体" w:hAnsi="Arial" w:cs="Arial" w:hint="eastAsia"/>
                <w:sz w:val="22"/>
              </w:rPr>
              <w:t>1</w:t>
            </w:r>
            <w:r>
              <w:rPr>
                <w:rFonts w:ascii="Arial" w:eastAsia="宋体" w:hAnsi="Arial" w:cs="Arial"/>
                <w:sz w:val="22"/>
              </w:rPr>
              <w:t>元；超出首次</w:t>
            </w:r>
            <w:r>
              <w:rPr>
                <w:rFonts w:ascii="Arial" w:eastAsia="宋体" w:hAnsi="Arial" w:cs="Arial" w:hint="eastAsia"/>
                <w:sz w:val="22"/>
              </w:rPr>
              <w:t>认</w:t>
            </w:r>
            <w:r>
              <w:rPr>
                <w:rFonts w:ascii="Arial" w:eastAsia="宋体" w:hAnsi="Arial" w:cs="Arial" w:hint="eastAsia"/>
                <w:sz w:val="22"/>
              </w:rPr>
              <w:t>/</w:t>
            </w:r>
            <w:r>
              <w:rPr>
                <w:rFonts w:ascii="Arial" w:eastAsia="宋体" w:hAnsi="Arial" w:cs="Arial"/>
                <w:sz w:val="22"/>
              </w:rPr>
              <w:t>申购起点金额部分，需为</w:t>
            </w:r>
            <w:r>
              <w:rPr>
                <w:rFonts w:ascii="Arial" w:eastAsia="宋体" w:hAnsi="Arial" w:cs="Arial" w:hint="eastAsia"/>
                <w:sz w:val="22"/>
              </w:rPr>
              <w:t>0.01</w:t>
            </w:r>
            <w:r>
              <w:rPr>
                <w:rFonts w:ascii="Arial" w:eastAsia="宋体" w:hAnsi="Arial" w:cs="Arial"/>
                <w:sz w:val="22"/>
              </w:rPr>
              <w:t>元的整数倍。管理人有权以公告形式调整上述规则。</w:t>
            </w:r>
          </w:p>
        </w:tc>
      </w:tr>
      <w:tr w:rsidR="00B009D2">
        <w:trPr>
          <w:trHeight w:val="240"/>
        </w:trPr>
        <w:tc>
          <w:tcPr>
            <w:tcW w:w="18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9D2" w:rsidRDefault="004F63B1">
            <w:pPr>
              <w:spacing w:line="360" w:lineRule="auto"/>
              <w:jc w:val="center"/>
              <w:rPr>
                <w:rFonts w:ascii="Arial" w:eastAsia="宋体" w:hAnsi="Arial" w:cs="Arial"/>
                <w:sz w:val="22"/>
              </w:rPr>
            </w:pPr>
            <w:r>
              <w:rPr>
                <w:rFonts w:ascii="Arial" w:eastAsia="宋体" w:hAnsi="Arial" w:cs="Arial"/>
                <w:sz w:val="22"/>
              </w:rPr>
              <w:t>单笔</w:t>
            </w:r>
            <w:r>
              <w:rPr>
                <w:rFonts w:ascii="Arial" w:eastAsia="宋体" w:hAnsi="Arial" w:cs="Arial" w:hint="eastAsia"/>
                <w:sz w:val="22"/>
              </w:rPr>
              <w:t>认</w:t>
            </w:r>
            <w:r>
              <w:rPr>
                <w:rFonts w:ascii="Arial" w:eastAsia="宋体" w:hAnsi="Arial" w:cs="Arial" w:hint="eastAsia"/>
                <w:sz w:val="22"/>
              </w:rPr>
              <w:t>/</w:t>
            </w:r>
            <w:r>
              <w:rPr>
                <w:rFonts w:ascii="Arial" w:eastAsia="宋体" w:hAnsi="Arial" w:cs="Arial"/>
                <w:sz w:val="22"/>
              </w:rPr>
              <w:t>申购上限</w:t>
            </w:r>
          </w:p>
        </w:tc>
        <w:tc>
          <w:tcPr>
            <w:tcW w:w="706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09D2" w:rsidRDefault="004F63B1">
            <w:pPr>
              <w:spacing w:line="360" w:lineRule="auto"/>
              <w:rPr>
                <w:rFonts w:ascii="Arial" w:eastAsia="宋体" w:hAnsi="Arial" w:cs="Arial"/>
                <w:sz w:val="22"/>
              </w:rPr>
            </w:pPr>
            <w:r>
              <w:rPr>
                <w:rFonts w:ascii="Arial" w:eastAsia="宋体" w:hAnsi="Arial" w:cs="Arial" w:hint="eastAsia"/>
                <w:sz w:val="22"/>
              </w:rPr>
              <w:t>投资者单笔</w:t>
            </w:r>
            <w:r>
              <w:rPr>
                <w:rFonts w:ascii="Arial" w:eastAsia="宋体" w:hAnsi="Arial" w:cs="Arial" w:hint="eastAsia"/>
                <w:sz w:val="22"/>
              </w:rPr>
              <w:t>认</w:t>
            </w:r>
            <w:r>
              <w:rPr>
                <w:rFonts w:ascii="Arial" w:eastAsia="宋体" w:hAnsi="Arial" w:cs="Arial" w:hint="eastAsia"/>
                <w:sz w:val="22"/>
              </w:rPr>
              <w:t>/</w:t>
            </w:r>
            <w:r>
              <w:rPr>
                <w:rFonts w:ascii="Arial" w:eastAsia="宋体" w:hAnsi="Arial" w:cs="Arial" w:hint="eastAsia"/>
                <w:sz w:val="22"/>
              </w:rPr>
              <w:t>申购上限为</w:t>
            </w:r>
            <w:r>
              <w:rPr>
                <w:rFonts w:ascii="Arial" w:eastAsia="宋体" w:hAnsi="Arial" w:cs="Arial" w:hint="eastAsia"/>
                <w:sz w:val="22"/>
              </w:rPr>
              <w:t>10000</w:t>
            </w:r>
            <w:r>
              <w:rPr>
                <w:rFonts w:ascii="Arial" w:eastAsia="宋体" w:hAnsi="Arial" w:cs="Arial" w:hint="eastAsia"/>
                <w:sz w:val="22"/>
              </w:rPr>
              <w:t>万元</w:t>
            </w:r>
            <w:r>
              <w:rPr>
                <w:rFonts w:ascii="Arial" w:eastAsia="宋体" w:hAnsi="Arial" w:cs="Arial"/>
                <w:sz w:val="22"/>
              </w:rPr>
              <w:t>。管理人有权以公告形式调整单笔</w:t>
            </w:r>
            <w:r>
              <w:rPr>
                <w:rFonts w:ascii="Arial" w:eastAsia="宋体" w:hAnsi="Arial" w:cs="Arial" w:hint="eastAsia"/>
                <w:sz w:val="22"/>
              </w:rPr>
              <w:t>认</w:t>
            </w:r>
            <w:r>
              <w:rPr>
                <w:rFonts w:ascii="Arial" w:eastAsia="宋体" w:hAnsi="Arial" w:cs="Arial" w:hint="eastAsia"/>
                <w:sz w:val="22"/>
              </w:rPr>
              <w:t>/</w:t>
            </w:r>
            <w:r>
              <w:rPr>
                <w:rFonts w:ascii="Arial" w:eastAsia="宋体" w:hAnsi="Arial" w:cs="Arial"/>
                <w:sz w:val="22"/>
              </w:rPr>
              <w:t>申购上限。如发生超额申请，管理人有权根据实际情况决定拒绝或受理。</w:t>
            </w:r>
          </w:p>
        </w:tc>
      </w:tr>
      <w:tr w:rsidR="00B009D2">
        <w:trPr>
          <w:trHeight w:val="240"/>
        </w:trPr>
        <w:tc>
          <w:tcPr>
            <w:tcW w:w="18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9D2" w:rsidRDefault="004F63B1">
            <w:pPr>
              <w:spacing w:line="360" w:lineRule="auto"/>
              <w:jc w:val="center"/>
              <w:rPr>
                <w:rFonts w:ascii="Arial" w:eastAsia="宋体" w:hAnsi="Arial" w:cs="Arial"/>
                <w:sz w:val="22"/>
              </w:rPr>
            </w:pPr>
            <w:r>
              <w:rPr>
                <w:rFonts w:ascii="Arial" w:eastAsia="宋体" w:hAnsi="Arial" w:cs="Arial"/>
                <w:sz w:val="22"/>
              </w:rPr>
              <w:t>单一投资者持有上限</w:t>
            </w:r>
          </w:p>
        </w:tc>
        <w:tc>
          <w:tcPr>
            <w:tcW w:w="706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09D2" w:rsidRDefault="004F63B1">
            <w:pPr>
              <w:spacing w:line="360" w:lineRule="auto"/>
              <w:ind w:right="141"/>
              <w:rPr>
                <w:rFonts w:ascii="Arial" w:eastAsia="宋体" w:hAnsi="Arial" w:cs="Arial"/>
                <w:sz w:val="22"/>
              </w:rPr>
            </w:pPr>
            <w:r>
              <w:rPr>
                <w:rFonts w:ascii="Arial" w:eastAsia="宋体" w:hAnsi="Arial" w:cs="Arial" w:hint="eastAsia"/>
                <w:sz w:val="22"/>
              </w:rPr>
              <w:t>单一投资者持有上限为</w:t>
            </w:r>
            <w:r>
              <w:rPr>
                <w:rFonts w:ascii="Arial" w:eastAsia="宋体" w:hAnsi="Arial" w:cs="Arial" w:hint="eastAsia"/>
                <w:sz w:val="22"/>
              </w:rPr>
              <w:t>10000</w:t>
            </w:r>
            <w:r>
              <w:rPr>
                <w:rFonts w:ascii="Arial" w:eastAsia="宋体" w:hAnsi="Arial" w:cs="Arial" w:hint="eastAsia"/>
                <w:sz w:val="22"/>
              </w:rPr>
              <w:t>万元</w:t>
            </w:r>
            <w:r>
              <w:rPr>
                <w:rFonts w:ascii="Arial" w:eastAsia="宋体" w:hAnsi="Arial" w:cs="Arial"/>
                <w:sz w:val="22"/>
              </w:rPr>
              <w:t>，在产品运作过程中因收益分配、净值波动等被动超上限的情形除外。管理人有权以公告形式调整单一投资者持有上限。</w:t>
            </w:r>
            <w:r>
              <w:rPr>
                <w:rFonts w:ascii="Arial" w:eastAsia="宋体" w:hAnsi="Arial" w:cs="Arial" w:hint="eastAsia"/>
                <w:sz w:val="22"/>
              </w:rPr>
              <w:t>如发生超额申请，管理人有权根据实际情况决定拒绝或受理。管理人不得接受单一投资者购买超过产品份额总数</w:t>
            </w:r>
            <w:r>
              <w:rPr>
                <w:rFonts w:ascii="Arial" w:eastAsia="宋体" w:hAnsi="Arial" w:cs="Arial"/>
                <w:sz w:val="22"/>
              </w:rPr>
              <w:t>50%</w:t>
            </w:r>
            <w:r>
              <w:rPr>
                <w:rFonts w:ascii="Arial" w:eastAsia="宋体" w:hAnsi="Arial" w:cs="Arial"/>
                <w:sz w:val="22"/>
              </w:rPr>
              <w:t>的申请（在产品运作过程中因份额赎回、收益结转等情形导致持有份额被动超过此规则的情形除外）。非因理财产品管理人主观因素导致突破前款规定比例限制的，在单一投资者持有比例降至</w:t>
            </w:r>
            <w:r>
              <w:rPr>
                <w:rFonts w:ascii="Arial" w:eastAsia="宋体" w:hAnsi="Arial" w:cs="Arial"/>
                <w:sz w:val="22"/>
              </w:rPr>
              <w:t>50%</w:t>
            </w:r>
            <w:r>
              <w:rPr>
                <w:rFonts w:ascii="Arial" w:eastAsia="宋体" w:hAnsi="Arial" w:cs="Arial"/>
                <w:sz w:val="22"/>
              </w:rPr>
              <w:t>以下之前，理财产品管理人不得再接受该投资者对该理财产品的申购申请。</w:t>
            </w:r>
          </w:p>
        </w:tc>
      </w:tr>
      <w:tr w:rsidR="00B009D2">
        <w:trPr>
          <w:trHeight w:val="240"/>
        </w:trPr>
        <w:tc>
          <w:tcPr>
            <w:tcW w:w="1863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009D2" w:rsidRDefault="004F63B1">
            <w:pPr>
              <w:spacing w:line="360" w:lineRule="auto"/>
              <w:jc w:val="center"/>
              <w:rPr>
                <w:rFonts w:ascii="Arial" w:eastAsia="宋体" w:hAnsi="Arial" w:cs="Arial"/>
                <w:sz w:val="22"/>
              </w:rPr>
            </w:pPr>
            <w:r>
              <w:rPr>
                <w:rFonts w:ascii="Arial" w:eastAsia="宋体" w:hAnsi="Arial" w:cs="Arial"/>
                <w:sz w:val="22"/>
              </w:rPr>
              <w:t>理财产品费用</w:t>
            </w:r>
          </w:p>
        </w:tc>
        <w:tc>
          <w:tcPr>
            <w:tcW w:w="706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009D2" w:rsidRDefault="004F63B1">
            <w:pPr>
              <w:spacing w:line="360" w:lineRule="auto"/>
              <w:rPr>
                <w:rFonts w:ascii="Arial" w:eastAsia="宋体" w:hAnsi="Arial" w:cs="Arial"/>
                <w:sz w:val="22"/>
              </w:rPr>
            </w:pPr>
            <w:r>
              <w:rPr>
                <w:rFonts w:ascii="Arial" w:eastAsia="宋体" w:hAnsi="Arial" w:cs="Arial"/>
                <w:sz w:val="22"/>
              </w:rPr>
              <w:t>该份额当前适用以下产品固定管理费率、销售服务费率和托管费率：</w:t>
            </w:r>
          </w:p>
          <w:p w:rsidR="00B009D2" w:rsidRDefault="004F63B1">
            <w:pPr>
              <w:spacing w:line="360" w:lineRule="auto"/>
              <w:rPr>
                <w:rFonts w:ascii="Arial" w:eastAsia="宋体" w:hAnsi="Arial" w:cs="Arial"/>
                <w:sz w:val="22"/>
              </w:rPr>
            </w:pPr>
            <w:r>
              <w:rPr>
                <w:rFonts w:ascii="Arial" w:eastAsia="宋体" w:hAnsi="Arial" w:cs="Arial" w:hint="eastAsia"/>
                <w:sz w:val="22"/>
              </w:rPr>
              <w:t>固定管理费率：</w:t>
            </w:r>
            <w:r>
              <w:rPr>
                <w:rFonts w:ascii="Arial" w:eastAsia="宋体" w:hAnsi="Arial" w:cs="Arial" w:hint="eastAsia"/>
                <w:sz w:val="22"/>
              </w:rPr>
              <w:t>0.1500%</w:t>
            </w:r>
          </w:p>
          <w:p w:rsidR="00B009D2" w:rsidRDefault="004F63B1">
            <w:pPr>
              <w:spacing w:line="360" w:lineRule="auto"/>
              <w:rPr>
                <w:rFonts w:ascii="Arial" w:eastAsia="宋体" w:hAnsi="Arial" w:cs="Arial"/>
                <w:sz w:val="22"/>
              </w:rPr>
            </w:pPr>
            <w:r>
              <w:rPr>
                <w:rFonts w:ascii="Arial" w:eastAsia="宋体" w:hAnsi="Arial" w:cs="Arial" w:hint="eastAsia"/>
                <w:sz w:val="22"/>
              </w:rPr>
              <w:t>托管费率：</w:t>
            </w:r>
            <w:r>
              <w:rPr>
                <w:rFonts w:ascii="Arial" w:eastAsia="宋体" w:hAnsi="Arial" w:cs="Arial" w:hint="eastAsia"/>
                <w:sz w:val="22"/>
              </w:rPr>
              <w:t>0.0200%</w:t>
            </w:r>
          </w:p>
          <w:p w:rsidR="00B009D2" w:rsidRDefault="004F63B1">
            <w:pPr>
              <w:spacing w:line="360" w:lineRule="auto"/>
              <w:rPr>
                <w:rFonts w:ascii="Arial" w:eastAsia="宋体" w:hAnsi="Arial" w:cs="Arial"/>
                <w:sz w:val="22"/>
              </w:rPr>
            </w:pPr>
            <w:r>
              <w:rPr>
                <w:rFonts w:ascii="Arial" w:eastAsia="宋体" w:hAnsi="Arial" w:cs="Arial" w:hint="eastAsia"/>
                <w:sz w:val="22"/>
              </w:rPr>
              <w:t>销售服务费率：</w:t>
            </w:r>
            <w:r>
              <w:rPr>
                <w:rFonts w:ascii="Arial" w:eastAsia="宋体" w:hAnsi="Arial" w:cs="Arial" w:hint="eastAsia"/>
                <w:sz w:val="22"/>
              </w:rPr>
              <w:t>0.1500%</w:t>
            </w:r>
          </w:p>
          <w:p w:rsidR="00B009D2" w:rsidRDefault="004F63B1">
            <w:pPr>
              <w:spacing w:line="360" w:lineRule="auto"/>
              <w:rPr>
                <w:rFonts w:ascii="Arial" w:eastAsia="宋体" w:hAnsi="Arial" w:cs="Arial"/>
                <w:sz w:val="22"/>
              </w:rPr>
            </w:pPr>
            <w:r>
              <w:rPr>
                <w:rFonts w:ascii="Arial" w:eastAsia="宋体" w:hAnsi="Arial" w:cs="Arial" w:hint="eastAsia"/>
                <w:sz w:val="22"/>
              </w:rPr>
              <w:t>后续产品费率如有进一步调整，请以最新费率调整公告为准。</w:t>
            </w:r>
          </w:p>
        </w:tc>
      </w:tr>
    </w:tbl>
    <w:p w:rsidR="00B009D2" w:rsidRDefault="004F63B1">
      <w:pPr>
        <w:widowControl/>
        <w:jc w:val="left"/>
        <w:rPr>
          <w:rFonts w:ascii="Arial" w:eastAsia="宋体" w:hAnsi="Arial" w:cs="Arial"/>
          <w:b/>
          <w:bCs/>
          <w:color w:val="000000" w:themeColor="text1"/>
          <w:kern w:val="0"/>
          <w:sz w:val="24"/>
          <w:szCs w:val="24"/>
        </w:rPr>
      </w:pPr>
      <w:r>
        <w:rPr>
          <w:rFonts w:ascii="Arial" w:eastAsia="宋体" w:hAnsi="Arial" w:cs="Arial"/>
          <w:sz w:val="22"/>
        </w:rPr>
        <w:t>投资者成功申购产品代表同意上述事项。如有投资者对上述事项有异议，也可在产品说明书约定的开放时间内进行赎回。</w:t>
      </w:r>
    </w:p>
    <w:p w:rsidR="00B009D2" w:rsidRDefault="00B009D2">
      <w:pPr>
        <w:widowControl/>
        <w:jc w:val="left"/>
        <w:rPr>
          <w:rFonts w:ascii="Arial" w:eastAsia="宋体" w:hAnsi="Arial" w:cs="Arial"/>
          <w:color w:val="000000"/>
          <w:szCs w:val="21"/>
        </w:rPr>
      </w:pPr>
    </w:p>
    <w:p w:rsidR="00B009D2" w:rsidRDefault="00B009D2">
      <w:pPr>
        <w:pStyle w:val="Default"/>
        <w:spacing w:line="360" w:lineRule="auto"/>
        <w:ind w:firstLineChars="200" w:firstLine="482"/>
        <w:rPr>
          <w:rFonts w:ascii="Arial" w:hAnsi="Arial" w:cs="Arial"/>
          <w:b/>
        </w:rPr>
      </w:pPr>
    </w:p>
    <w:sectPr w:rsidR="00B009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3B1" w:rsidRDefault="004F63B1"/>
  </w:endnote>
  <w:endnote w:type="continuationSeparator" w:id="0">
    <w:p w:rsidR="004F63B1" w:rsidRDefault="004F63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3B1" w:rsidRDefault="004F63B1"/>
  </w:footnote>
  <w:footnote w:type="continuationSeparator" w:id="0">
    <w:p w:rsidR="004F63B1" w:rsidRDefault="004F63B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57322"/>
    <w:multiLevelType w:val="multilevel"/>
    <w:tmpl w:val="28057322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683"/>
    <w:rsid w:val="0001089A"/>
    <w:rsid w:val="00010B2B"/>
    <w:rsid w:val="00011F01"/>
    <w:rsid w:val="0001397B"/>
    <w:rsid w:val="000249F9"/>
    <w:rsid w:val="0002766F"/>
    <w:rsid w:val="000417BB"/>
    <w:rsid w:val="000453BB"/>
    <w:rsid w:val="00051656"/>
    <w:rsid w:val="00055AF6"/>
    <w:rsid w:val="00065A9E"/>
    <w:rsid w:val="000668CD"/>
    <w:rsid w:val="00082F0E"/>
    <w:rsid w:val="00092BB0"/>
    <w:rsid w:val="00092DB5"/>
    <w:rsid w:val="000A67F7"/>
    <w:rsid w:val="000B0198"/>
    <w:rsid w:val="000C01A7"/>
    <w:rsid w:val="000D1612"/>
    <w:rsid w:val="000E439C"/>
    <w:rsid w:val="000E48D1"/>
    <w:rsid w:val="000F13C6"/>
    <w:rsid w:val="000F493E"/>
    <w:rsid w:val="000F5F8F"/>
    <w:rsid w:val="00102A55"/>
    <w:rsid w:val="00111680"/>
    <w:rsid w:val="00124A74"/>
    <w:rsid w:val="00125BB7"/>
    <w:rsid w:val="00126777"/>
    <w:rsid w:val="00145E68"/>
    <w:rsid w:val="00150FAE"/>
    <w:rsid w:val="00154752"/>
    <w:rsid w:val="00167C11"/>
    <w:rsid w:val="00176F6A"/>
    <w:rsid w:val="001820D0"/>
    <w:rsid w:val="001871B4"/>
    <w:rsid w:val="00192AD0"/>
    <w:rsid w:val="00195841"/>
    <w:rsid w:val="00195F02"/>
    <w:rsid w:val="001A0FA2"/>
    <w:rsid w:val="001A69A2"/>
    <w:rsid w:val="001C10A0"/>
    <w:rsid w:val="001C72DB"/>
    <w:rsid w:val="001D0C25"/>
    <w:rsid w:val="001D5594"/>
    <w:rsid w:val="001E04F4"/>
    <w:rsid w:val="001F1A46"/>
    <w:rsid w:val="002144B2"/>
    <w:rsid w:val="00214AF4"/>
    <w:rsid w:val="00235DA7"/>
    <w:rsid w:val="00245720"/>
    <w:rsid w:val="002476FD"/>
    <w:rsid w:val="00252B3D"/>
    <w:rsid w:val="00256316"/>
    <w:rsid w:val="0025715C"/>
    <w:rsid w:val="0027292C"/>
    <w:rsid w:val="00275EE5"/>
    <w:rsid w:val="00276B29"/>
    <w:rsid w:val="00284A33"/>
    <w:rsid w:val="002873FA"/>
    <w:rsid w:val="00290BD5"/>
    <w:rsid w:val="00292B6D"/>
    <w:rsid w:val="00296441"/>
    <w:rsid w:val="002A0464"/>
    <w:rsid w:val="002A1ACF"/>
    <w:rsid w:val="002A38FF"/>
    <w:rsid w:val="002A6D0D"/>
    <w:rsid w:val="002C6AB1"/>
    <w:rsid w:val="002D1737"/>
    <w:rsid w:val="002D791D"/>
    <w:rsid w:val="002E37AB"/>
    <w:rsid w:val="002E50DC"/>
    <w:rsid w:val="002E61FF"/>
    <w:rsid w:val="002E75BC"/>
    <w:rsid w:val="002F6A45"/>
    <w:rsid w:val="0030728E"/>
    <w:rsid w:val="00307CE6"/>
    <w:rsid w:val="00321089"/>
    <w:rsid w:val="00324DD6"/>
    <w:rsid w:val="00325950"/>
    <w:rsid w:val="00345F03"/>
    <w:rsid w:val="00346D74"/>
    <w:rsid w:val="0035383D"/>
    <w:rsid w:val="00365E5A"/>
    <w:rsid w:val="003731FB"/>
    <w:rsid w:val="00373FA7"/>
    <w:rsid w:val="00377204"/>
    <w:rsid w:val="00392068"/>
    <w:rsid w:val="00396B5A"/>
    <w:rsid w:val="003A3DA9"/>
    <w:rsid w:val="003A7783"/>
    <w:rsid w:val="003B4D7A"/>
    <w:rsid w:val="003B61B7"/>
    <w:rsid w:val="003C39C8"/>
    <w:rsid w:val="003C489F"/>
    <w:rsid w:val="003C69E7"/>
    <w:rsid w:val="003D29AF"/>
    <w:rsid w:val="003E33D2"/>
    <w:rsid w:val="003E77F7"/>
    <w:rsid w:val="003F1650"/>
    <w:rsid w:val="003F1E3D"/>
    <w:rsid w:val="003F6EE9"/>
    <w:rsid w:val="00413068"/>
    <w:rsid w:val="00431B45"/>
    <w:rsid w:val="0044569F"/>
    <w:rsid w:val="00450D3B"/>
    <w:rsid w:val="00473B4B"/>
    <w:rsid w:val="00480713"/>
    <w:rsid w:val="00490502"/>
    <w:rsid w:val="0049237F"/>
    <w:rsid w:val="004A7ECD"/>
    <w:rsid w:val="004B433D"/>
    <w:rsid w:val="004B788D"/>
    <w:rsid w:val="004C3FB1"/>
    <w:rsid w:val="004C4A32"/>
    <w:rsid w:val="004D6E68"/>
    <w:rsid w:val="004E4BB5"/>
    <w:rsid w:val="004E7139"/>
    <w:rsid w:val="004E7F6B"/>
    <w:rsid w:val="004F2871"/>
    <w:rsid w:val="004F63B1"/>
    <w:rsid w:val="004F7A6B"/>
    <w:rsid w:val="00511B8D"/>
    <w:rsid w:val="005215B0"/>
    <w:rsid w:val="00522E92"/>
    <w:rsid w:val="00540665"/>
    <w:rsid w:val="00544D2B"/>
    <w:rsid w:val="00545318"/>
    <w:rsid w:val="005453B6"/>
    <w:rsid w:val="00551FB8"/>
    <w:rsid w:val="00554A64"/>
    <w:rsid w:val="0055565E"/>
    <w:rsid w:val="00561809"/>
    <w:rsid w:val="005619B4"/>
    <w:rsid w:val="00563818"/>
    <w:rsid w:val="00583827"/>
    <w:rsid w:val="005850AB"/>
    <w:rsid w:val="00592988"/>
    <w:rsid w:val="005A4930"/>
    <w:rsid w:val="005C12A3"/>
    <w:rsid w:val="005C13F8"/>
    <w:rsid w:val="005C21E6"/>
    <w:rsid w:val="005E7B52"/>
    <w:rsid w:val="005F4FC0"/>
    <w:rsid w:val="005F7F2D"/>
    <w:rsid w:val="00605D77"/>
    <w:rsid w:val="00607FD7"/>
    <w:rsid w:val="0061184E"/>
    <w:rsid w:val="006201E1"/>
    <w:rsid w:val="00632054"/>
    <w:rsid w:val="00634BCF"/>
    <w:rsid w:val="006355BC"/>
    <w:rsid w:val="00635FCF"/>
    <w:rsid w:val="00646EC5"/>
    <w:rsid w:val="00650A1E"/>
    <w:rsid w:val="00652D30"/>
    <w:rsid w:val="00654E3D"/>
    <w:rsid w:val="00671CA7"/>
    <w:rsid w:val="0067779B"/>
    <w:rsid w:val="00677DCD"/>
    <w:rsid w:val="00686D53"/>
    <w:rsid w:val="006943FD"/>
    <w:rsid w:val="006A0A4E"/>
    <w:rsid w:val="006A3628"/>
    <w:rsid w:val="006A4F27"/>
    <w:rsid w:val="006B1628"/>
    <w:rsid w:val="006B349D"/>
    <w:rsid w:val="006B6BB0"/>
    <w:rsid w:val="006D1565"/>
    <w:rsid w:val="006D5553"/>
    <w:rsid w:val="006E34E3"/>
    <w:rsid w:val="006E763D"/>
    <w:rsid w:val="006F3CA3"/>
    <w:rsid w:val="0070007B"/>
    <w:rsid w:val="00730B40"/>
    <w:rsid w:val="00737507"/>
    <w:rsid w:val="00743C79"/>
    <w:rsid w:val="007530CC"/>
    <w:rsid w:val="00754D27"/>
    <w:rsid w:val="0075579C"/>
    <w:rsid w:val="00787FB8"/>
    <w:rsid w:val="007943C5"/>
    <w:rsid w:val="007B4D05"/>
    <w:rsid w:val="007B5929"/>
    <w:rsid w:val="007B5E63"/>
    <w:rsid w:val="007B651D"/>
    <w:rsid w:val="007D3453"/>
    <w:rsid w:val="007D368B"/>
    <w:rsid w:val="007D3AEB"/>
    <w:rsid w:val="007E45A7"/>
    <w:rsid w:val="007F0D25"/>
    <w:rsid w:val="007F2EE9"/>
    <w:rsid w:val="007F3FD4"/>
    <w:rsid w:val="00805A7A"/>
    <w:rsid w:val="0082296E"/>
    <w:rsid w:val="008254E7"/>
    <w:rsid w:val="00826946"/>
    <w:rsid w:val="0083132F"/>
    <w:rsid w:val="008503E8"/>
    <w:rsid w:val="00851DD4"/>
    <w:rsid w:val="00851F64"/>
    <w:rsid w:val="0085301C"/>
    <w:rsid w:val="008566E1"/>
    <w:rsid w:val="008614DC"/>
    <w:rsid w:val="00865E75"/>
    <w:rsid w:val="00871C12"/>
    <w:rsid w:val="00872F95"/>
    <w:rsid w:val="00873129"/>
    <w:rsid w:val="00882C34"/>
    <w:rsid w:val="008857E7"/>
    <w:rsid w:val="00891BD6"/>
    <w:rsid w:val="008A06D0"/>
    <w:rsid w:val="008A5664"/>
    <w:rsid w:val="008D0A23"/>
    <w:rsid w:val="008D56BE"/>
    <w:rsid w:val="008E5FA7"/>
    <w:rsid w:val="0090094C"/>
    <w:rsid w:val="00901FC2"/>
    <w:rsid w:val="00902134"/>
    <w:rsid w:val="0090534F"/>
    <w:rsid w:val="00907084"/>
    <w:rsid w:val="00920ABB"/>
    <w:rsid w:val="0094624D"/>
    <w:rsid w:val="00947A75"/>
    <w:rsid w:val="00956C0A"/>
    <w:rsid w:val="0095739A"/>
    <w:rsid w:val="00957C13"/>
    <w:rsid w:val="0096244F"/>
    <w:rsid w:val="0097242F"/>
    <w:rsid w:val="00975E76"/>
    <w:rsid w:val="009813B0"/>
    <w:rsid w:val="009911B8"/>
    <w:rsid w:val="009A2976"/>
    <w:rsid w:val="009A53E3"/>
    <w:rsid w:val="009A7602"/>
    <w:rsid w:val="009B6397"/>
    <w:rsid w:val="009C235E"/>
    <w:rsid w:val="009D055B"/>
    <w:rsid w:val="009D0932"/>
    <w:rsid w:val="009D2B84"/>
    <w:rsid w:val="009D455F"/>
    <w:rsid w:val="009E42C5"/>
    <w:rsid w:val="009F4E3D"/>
    <w:rsid w:val="00A0228B"/>
    <w:rsid w:val="00A03A07"/>
    <w:rsid w:val="00A0457E"/>
    <w:rsid w:val="00A072C6"/>
    <w:rsid w:val="00A0744F"/>
    <w:rsid w:val="00A255CA"/>
    <w:rsid w:val="00A37C55"/>
    <w:rsid w:val="00A40683"/>
    <w:rsid w:val="00A4163D"/>
    <w:rsid w:val="00A41AB6"/>
    <w:rsid w:val="00A42583"/>
    <w:rsid w:val="00A45CE5"/>
    <w:rsid w:val="00A4710C"/>
    <w:rsid w:val="00A62557"/>
    <w:rsid w:val="00A628E2"/>
    <w:rsid w:val="00A71697"/>
    <w:rsid w:val="00A85330"/>
    <w:rsid w:val="00AA056F"/>
    <w:rsid w:val="00AA69E9"/>
    <w:rsid w:val="00AB1A21"/>
    <w:rsid w:val="00AB3175"/>
    <w:rsid w:val="00AC0C17"/>
    <w:rsid w:val="00AC19F5"/>
    <w:rsid w:val="00AC1A9B"/>
    <w:rsid w:val="00AC1BCB"/>
    <w:rsid w:val="00AC23E7"/>
    <w:rsid w:val="00AC587F"/>
    <w:rsid w:val="00AD12AE"/>
    <w:rsid w:val="00AD76D1"/>
    <w:rsid w:val="00AF52BC"/>
    <w:rsid w:val="00B009D2"/>
    <w:rsid w:val="00B03343"/>
    <w:rsid w:val="00B03F06"/>
    <w:rsid w:val="00B05781"/>
    <w:rsid w:val="00B15DDE"/>
    <w:rsid w:val="00B21680"/>
    <w:rsid w:val="00B21DC1"/>
    <w:rsid w:val="00B37D0A"/>
    <w:rsid w:val="00B54650"/>
    <w:rsid w:val="00B571DE"/>
    <w:rsid w:val="00B80067"/>
    <w:rsid w:val="00B80170"/>
    <w:rsid w:val="00B85DF4"/>
    <w:rsid w:val="00B913F4"/>
    <w:rsid w:val="00BE04E1"/>
    <w:rsid w:val="00BE2BE9"/>
    <w:rsid w:val="00BE2D71"/>
    <w:rsid w:val="00BE744A"/>
    <w:rsid w:val="00C00F0F"/>
    <w:rsid w:val="00C06E60"/>
    <w:rsid w:val="00C15DCD"/>
    <w:rsid w:val="00C2219B"/>
    <w:rsid w:val="00C232E7"/>
    <w:rsid w:val="00C272A3"/>
    <w:rsid w:val="00C307E1"/>
    <w:rsid w:val="00C342BD"/>
    <w:rsid w:val="00C41795"/>
    <w:rsid w:val="00C6726A"/>
    <w:rsid w:val="00C70650"/>
    <w:rsid w:val="00C915DE"/>
    <w:rsid w:val="00C94B04"/>
    <w:rsid w:val="00CB07A8"/>
    <w:rsid w:val="00CC26E5"/>
    <w:rsid w:val="00CC50B5"/>
    <w:rsid w:val="00CC5D69"/>
    <w:rsid w:val="00CC76FE"/>
    <w:rsid w:val="00CD1A05"/>
    <w:rsid w:val="00CD2995"/>
    <w:rsid w:val="00CD6382"/>
    <w:rsid w:val="00CE0BBD"/>
    <w:rsid w:val="00CE56B0"/>
    <w:rsid w:val="00CF34C4"/>
    <w:rsid w:val="00CF38FF"/>
    <w:rsid w:val="00D02B0E"/>
    <w:rsid w:val="00D217D1"/>
    <w:rsid w:val="00D26EF1"/>
    <w:rsid w:val="00D41DC9"/>
    <w:rsid w:val="00D42669"/>
    <w:rsid w:val="00D667E2"/>
    <w:rsid w:val="00D7667A"/>
    <w:rsid w:val="00D804F6"/>
    <w:rsid w:val="00D83CCC"/>
    <w:rsid w:val="00D863D3"/>
    <w:rsid w:val="00D97C8C"/>
    <w:rsid w:val="00DA05CA"/>
    <w:rsid w:val="00DA5DB7"/>
    <w:rsid w:val="00DB0525"/>
    <w:rsid w:val="00DC7A89"/>
    <w:rsid w:val="00DD047B"/>
    <w:rsid w:val="00DD4DC2"/>
    <w:rsid w:val="00DD5DA0"/>
    <w:rsid w:val="00DE0B50"/>
    <w:rsid w:val="00DE4095"/>
    <w:rsid w:val="00E01486"/>
    <w:rsid w:val="00E06556"/>
    <w:rsid w:val="00E076D3"/>
    <w:rsid w:val="00E100E7"/>
    <w:rsid w:val="00E10950"/>
    <w:rsid w:val="00E15112"/>
    <w:rsid w:val="00E1643B"/>
    <w:rsid w:val="00E322FE"/>
    <w:rsid w:val="00E3422E"/>
    <w:rsid w:val="00E35159"/>
    <w:rsid w:val="00E5082C"/>
    <w:rsid w:val="00E52982"/>
    <w:rsid w:val="00E675F6"/>
    <w:rsid w:val="00E730D2"/>
    <w:rsid w:val="00E901E2"/>
    <w:rsid w:val="00E96724"/>
    <w:rsid w:val="00EA115F"/>
    <w:rsid w:val="00EA6141"/>
    <w:rsid w:val="00EB60A5"/>
    <w:rsid w:val="00EB624B"/>
    <w:rsid w:val="00EC738E"/>
    <w:rsid w:val="00ED19FD"/>
    <w:rsid w:val="00ED1E8E"/>
    <w:rsid w:val="00ED68A5"/>
    <w:rsid w:val="00EE4F4F"/>
    <w:rsid w:val="00EF377B"/>
    <w:rsid w:val="00F00504"/>
    <w:rsid w:val="00F04B2F"/>
    <w:rsid w:val="00F10613"/>
    <w:rsid w:val="00F13EB7"/>
    <w:rsid w:val="00F168A3"/>
    <w:rsid w:val="00F308B4"/>
    <w:rsid w:val="00F34ACA"/>
    <w:rsid w:val="00F5394E"/>
    <w:rsid w:val="00F61E42"/>
    <w:rsid w:val="00F66F17"/>
    <w:rsid w:val="00F76DA5"/>
    <w:rsid w:val="00F862DF"/>
    <w:rsid w:val="00F9527C"/>
    <w:rsid w:val="00FA4A55"/>
    <w:rsid w:val="00FC3F37"/>
    <w:rsid w:val="00FD07B3"/>
    <w:rsid w:val="00FD7FDA"/>
    <w:rsid w:val="00FE422D"/>
    <w:rsid w:val="00FE6405"/>
    <w:rsid w:val="00FF1FED"/>
    <w:rsid w:val="00FF48B9"/>
    <w:rsid w:val="01CE7CA2"/>
    <w:rsid w:val="02B3342F"/>
    <w:rsid w:val="23B36CAC"/>
    <w:rsid w:val="313A1850"/>
    <w:rsid w:val="35EA2274"/>
    <w:rsid w:val="5280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4CA8B5D2-010A-4E7B-B66A-ACD91F27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sz w:val="24"/>
      <w:szCs w:val="24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m.pinga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225</Words>
  <Characters>1284</Characters>
  <Application>Microsoft Office Word</Application>
  <DocSecurity>4</DocSecurity>
  <Lines>10</Lines>
  <Paragraphs>3</Paragraphs>
  <ScaleCrop>false</ScaleCrop>
  <Company>PAIG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可又停</dc:creator>
  <cp:lastModifiedBy>SYSOPS00240130</cp:lastModifiedBy>
  <cp:revision>2</cp:revision>
  <dcterms:created xsi:type="dcterms:W3CDTF">2024-12-09T02:08:00Z</dcterms:created>
  <dcterms:modified xsi:type="dcterms:W3CDTF">2024-12-09T02:08:00Z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2052-11.8.2.12287</vt:lpwstr>
  </property>
  <property fmtid="{D5CDD505-2E9C-101B-9397-08002B2CF9AE}" pid="3" name="ICV">
    <vt:lpwstr>F8A27D793A294EE6A0C8337AB2350CBB</vt:lpwstr>
  </property>
</Properties>
</file>