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附件</w:t>
      </w:r>
      <w:r>
        <w:rPr>
          <w:rFonts w:ascii="宋体" w:hAnsi="宋体"/>
          <w:sz w:val="24"/>
          <w:highlight w:val="none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center"/>
        <w:textAlignment w:val="auto"/>
        <w:outlineLvl w:val="0"/>
        <w:rPr>
          <w:rFonts w:ascii="仿宋_GB2312" w:eastAsia="仿宋_GB2312"/>
          <w:b/>
          <w:color w:val="000000"/>
          <w:sz w:val="28"/>
          <w:szCs w:val="28"/>
          <w:highlight w:val="none"/>
        </w:rPr>
      </w:pPr>
      <w:r>
        <w:rPr>
          <w:rFonts w:hint="eastAsia" w:ascii="黑体" w:eastAsia="黑体"/>
          <w:b/>
          <w:sz w:val="32"/>
          <w:szCs w:val="32"/>
          <w:highlight w:val="none"/>
        </w:rPr>
        <w:t>投 资 者 权 益 须 知</w:t>
      </w:r>
    </w:p>
    <w:p>
      <w:pPr>
        <w:spacing w:line="460" w:lineRule="exact"/>
        <w:ind w:firstLine="562" w:firstLineChars="200"/>
        <w:rPr>
          <w:rFonts w:ascii="仿宋_GB2312" w:eastAsia="仿宋_GB2312"/>
          <w:b/>
          <w:color w:val="000000"/>
          <w:sz w:val="28"/>
          <w:szCs w:val="28"/>
          <w:highlight w:val="none"/>
        </w:rPr>
      </w:pPr>
    </w:p>
    <w:p>
      <w:pPr>
        <w:spacing w:line="460" w:lineRule="exact"/>
        <w:ind w:firstLine="562" w:firstLineChars="200"/>
        <w:outlineLvl w:val="0"/>
        <w:rPr>
          <w:rFonts w:ascii="仿宋_GB2312" w:eastAsia="仿宋_GB2312"/>
          <w:b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b/>
          <w:color w:val="000000"/>
          <w:sz w:val="28"/>
          <w:szCs w:val="28"/>
          <w:highlight w:val="none"/>
        </w:rPr>
        <w:t>一、</w:t>
      </w:r>
      <w:r>
        <w:rPr>
          <w:rFonts w:hint="eastAsia" w:ascii="仿宋_GB2312" w:eastAsia="仿宋_GB2312"/>
          <w:b/>
          <w:color w:val="000000"/>
          <w:sz w:val="28"/>
          <w:szCs w:val="28"/>
          <w:highlight w:val="none"/>
          <w:lang w:val="en-US" w:eastAsia="zh-CN"/>
        </w:rPr>
        <w:t>办理理财产品的</w:t>
      </w:r>
      <w:r>
        <w:rPr>
          <w:rFonts w:hint="eastAsia" w:ascii="仿宋_GB2312" w:eastAsia="仿宋_GB2312"/>
          <w:b/>
          <w:color w:val="000000"/>
          <w:sz w:val="28"/>
          <w:szCs w:val="28"/>
          <w:highlight w:val="none"/>
        </w:rPr>
        <w:t>流程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一）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提供与有效身份证件户名一致的本人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银行储蓄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卡，作为“授权指定账户”用于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本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理财产品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资金的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划转及兑付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；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二）接受并完成代销机构对您的风险承受能力评估，并根据风险评估结果选择合适的理财产品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；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三）仔细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阅读并确认产品说明书、风险揭示书、投资者权益须知、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投资协议书、代理销售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协议书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以及其他有关文件（如有），签署相关销售文件，并办理购买手续。</w:t>
      </w:r>
    </w:p>
    <w:p>
      <w:pPr>
        <w:spacing w:line="460" w:lineRule="exact"/>
        <w:ind w:firstLine="562" w:firstLineChars="200"/>
        <w:outlineLvl w:val="9"/>
        <w:rPr>
          <w:rFonts w:ascii="仿宋_GB2312" w:eastAsia="仿宋_GB2312"/>
          <w:b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b/>
          <w:color w:val="000000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eastAsia="仿宋_GB2312"/>
          <w:b/>
          <w:color w:val="000000"/>
          <w:sz w:val="28"/>
          <w:szCs w:val="28"/>
          <w:highlight w:val="none"/>
        </w:rPr>
        <w:t>、风险承受能力评估流程、评级具体含义以及适合购买的理财产品</w:t>
      </w:r>
    </w:p>
    <w:p>
      <w:pPr>
        <w:spacing w:line="460" w:lineRule="exact"/>
        <w:ind w:firstLine="560" w:firstLineChars="200"/>
        <w:outlineLvl w:val="1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（一）风险承受能力评估流程</w:t>
      </w:r>
    </w:p>
    <w:p>
      <w:pPr>
        <w:spacing w:line="460" w:lineRule="exact"/>
        <w:ind w:firstLine="560" w:firstLineChars="200"/>
        <w:outlineLvl w:val="2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1、您首次购买理财产品时风险评估流程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（1）填写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代销机构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个人客户风险评估问卷，得出投资风险评估结果（即客户类型）及适合度匹配结果。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（2）对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代销机构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个人客户风险评估结果确认书进行确认。</w:t>
      </w:r>
    </w:p>
    <w:p>
      <w:pPr>
        <w:spacing w:line="460" w:lineRule="exact"/>
        <w:ind w:firstLine="560" w:firstLineChars="200"/>
        <w:outlineLvl w:val="2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2、风险评估有效期内再次评估流程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在风险评估有效期内（风险评估后一年以内），若您再次购买理财产品，如您的财务状况无变化无需重新进行风险评估，仅需在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代销机构线下营业场所/电子渠道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对风险评估结果与产品适合度匹配进行确认即可；如您的财务状况发生变化需要重新进行风险评估，则需重新填写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代销机构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个人客户风险评估问卷，得出投资风险评估结果（即客户类型）及适合度匹配结果，并对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代销机构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个人客户风险评估结果确认书进行确认。</w:t>
      </w:r>
    </w:p>
    <w:p>
      <w:pPr>
        <w:spacing w:line="460" w:lineRule="exact"/>
        <w:ind w:firstLine="560" w:firstLineChars="200"/>
        <w:outlineLvl w:val="2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3、风险评估有效期过后再次评估流程</w:t>
      </w:r>
    </w:p>
    <w:p>
      <w:pPr>
        <w:spacing w:line="460" w:lineRule="exact"/>
        <w:ind w:firstLine="562" w:firstLineChars="200"/>
        <w:rPr>
          <w:rFonts w:ascii="仿宋_GB2312" w:eastAsia="仿宋_GB2312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</w:rPr>
        <w:t>在风险评估有效期过后（风险评估一年以后），若您再次购买理财产品，需填写</w:t>
      </w: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  <w:lang w:val="en-US" w:eastAsia="zh-CN"/>
        </w:rPr>
        <w:t>代销机构</w:t>
      </w: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</w:rPr>
        <w:t>个人客户风险评估问卷，得出投资风险评估结果（即客户类型）及适合度匹配结果并对</w:t>
      </w: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  <w:lang w:val="en-US" w:eastAsia="zh-CN"/>
        </w:rPr>
        <w:t>代销机构</w:t>
      </w: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</w:rPr>
        <w:t>个人客户风险评估结果确认书进行确认。</w:t>
      </w:r>
    </w:p>
    <w:p>
      <w:pPr>
        <w:spacing w:line="460" w:lineRule="exact"/>
        <w:ind w:firstLine="560" w:firstLineChars="200"/>
        <w:outlineLvl w:val="1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（二）评级具体含义以及适合购买的理财产品</w:t>
      </w:r>
    </w:p>
    <w:p>
      <w:pPr>
        <w:spacing w:line="460" w:lineRule="exact"/>
        <w:ind w:firstLine="560" w:firstLineChars="200"/>
        <w:rPr>
          <w:rFonts w:hint="eastAsia"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代销机构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对客户类型及可以购买的产品类型分为以下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类</w:t>
      </w:r>
      <w:r>
        <w:rPr>
          <w:rFonts w:hint="eastAsia" w:ascii="仿宋_GB2312" w:eastAsia="仿宋_GB2312"/>
          <w:sz w:val="28"/>
          <w:szCs w:val="28"/>
          <w:highlight w:val="none"/>
        </w:rPr>
        <w:t>：</w:t>
      </w:r>
    </w:p>
    <w:p>
      <w:pPr>
        <w:spacing w:line="460" w:lineRule="exact"/>
        <w:ind w:firstLine="560" w:firstLineChars="200"/>
        <w:rPr>
          <w:rFonts w:hint="eastAsia" w:ascii="仿宋_GB2312" w:eastAsia="仿宋_GB2312"/>
          <w:sz w:val="28"/>
          <w:szCs w:val="28"/>
          <w:highlight w:val="none"/>
        </w:rPr>
      </w:pPr>
    </w:p>
    <w:tbl>
      <w:tblPr>
        <w:tblStyle w:val="3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1492"/>
        <w:gridCol w:w="1624"/>
        <w:gridCol w:w="1620"/>
        <w:gridCol w:w="1620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905" w:type="dxa"/>
            <w:tcBorders>
              <w:tl2br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产品风险等级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投资者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风险类型</w:t>
            </w:r>
          </w:p>
        </w:tc>
        <w:tc>
          <w:tcPr>
            <w:tcW w:w="149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低风险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（一级风险，R1）</w:t>
            </w:r>
          </w:p>
        </w:tc>
        <w:tc>
          <w:tcPr>
            <w:tcW w:w="162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  <w:lang w:val="en-US" w:eastAsia="zh-CN"/>
              </w:rPr>
              <w:t>较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低风险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（二级风险，R2）</w:t>
            </w:r>
          </w:p>
        </w:tc>
        <w:tc>
          <w:tcPr>
            <w:tcW w:w="16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  <w:lang w:val="en-US" w:eastAsia="zh-CN"/>
              </w:rPr>
              <w:t>中等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风险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（三级风险，R3）</w:t>
            </w:r>
          </w:p>
        </w:tc>
        <w:tc>
          <w:tcPr>
            <w:tcW w:w="162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较高风险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（四级风险，R4）</w:t>
            </w:r>
          </w:p>
        </w:tc>
        <w:tc>
          <w:tcPr>
            <w:tcW w:w="15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高风险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（五级风险，R5）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60" w:lineRule="auto"/>
              <w:jc w:val="center"/>
              <w:textAlignment w:val="baseline"/>
              <w:outlineLvl w:val="0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  <w:t>进取型</w:t>
            </w:r>
          </w:p>
        </w:tc>
        <w:tc>
          <w:tcPr>
            <w:tcW w:w="14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515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  <w:t>适合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5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  <w:t>成长型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515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不适合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5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  <w:t>平衡型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0" w:type="dxa"/>
            <w:shd w:val="clear" w:color="auto" w:fill="E6E6E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不适合</w:t>
            </w:r>
          </w:p>
        </w:tc>
        <w:tc>
          <w:tcPr>
            <w:tcW w:w="1515" w:type="dxa"/>
            <w:shd w:val="clear" w:color="auto" w:fill="E6E6E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不适合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5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  <w:t>稳健型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0" w:type="dxa"/>
            <w:shd w:val="clear" w:color="auto" w:fill="E6E6E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不适合</w:t>
            </w:r>
          </w:p>
        </w:tc>
        <w:tc>
          <w:tcPr>
            <w:tcW w:w="1620" w:type="dxa"/>
            <w:shd w:val="clear" w:color="auto" w:fill="E6E6E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不适合</w:t>
            </w:r>
          </w:p>
        </w:tc>
        <w:tc>
          <w:tcPr>
            <w:tcW w:w="1515" w:type="dxa"/>
            <w:shd w:val="clear" w:color="auto" w:fill="E6E6E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不适合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5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  <w:t>保守型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适合</w:t>
            </w:r>
          </w:p>
        </w:tc>
        <w:tc>
          <w:tcPr>
            <w:tcW w:w="1624" w:type="dxa"/>
            <w:shd w:val="clear" w:color="auto" w:fill="E6E6E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不适合</w:t>
            </w:r>
          </w:p>
        </w:tc>
        <w:tc>
          <w:tcPr>
            <w:tcW w:w="1620" w:type="dxa"/>
            <w:shd w:val="clear" w:color="auto" w:fill="E6E6E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不适合</w:t>
            </w:r>
          </w:p>
        </w:tc>
        <w:tc>
          <w:tcPr>
            <w:tcW w:w="1620" w:type="dxa"/>
            <w:shd w:val="clear" w:color="auto" w:fill="E6E6E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不适合</w:t>
            </w:r>
          </w:p>
        </w:tc>
        <w:tc>
          <w:tcPr>
            <w:tcW w:w="1515" w:type="dxa"/>
            <w:shd w:val="clear" w:color="auto" w:fill="E6E6E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不适合</w:t>
            </w:r>
          </w:p>
        </w:tc>
      </w:tr>
    </w:tbl>
    <w:p>
      <w:pPr>
        <w:spacing w:before="156" w:beforeLines="50" w:line="460" w:lineRule="exact"/>
        <w:ind w:firstLine="562" w:firstLineChars="200"/>
        <w:outlineLvl w:val="0"/>
        <w:rPr>
          <w:rFonts w:ascii="仿宋_GB2312" w:eastAsia="仿宋_GB2312"/>
          <w:b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b/>
          <w:color w:val="000000"/>
          <w:sz w:val="28"/>
          <w:szCs w:val="28"/>
          <w:highlight w:val="none"/>
        </w:rPr>
        <w:t>四、信息披露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eastAsia="仿宋_GB2312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b w:val="0"/>
          <w:bCs w:val="0"/>
          <w:color w:val="000000"/>
          <w:sz w:val="28"/>
          <w:szCs w:val="28"/>
          <w:highlight w:val="none"/>
          <w:lang w:val="en-US" w:eastAsia="zh-CN"/>
        </w:rPr>
        <w:t>本理财产品信息披露将通过代理销售机构、上银理财的信息披露渠道（包括但不限于代理销售机构官方网站、电子销售渠道及上银理财官方网站等）进行。</w:t>
      </w:r>
      <w:r>
        <w:rPr>
          <w:rFonts w:hint="eastAsia" w:ascii="仿宋_GB2312" w:eastAsia="仿宋_GB2312"/>
          <w:b w:val="0"/>
          <w:bCs w:val="0"/>
          <w:color w:val="000000"/>
          <w:sz w:val="28"/>
          <w:szCs w:val="28"/>
          <w:highlight w:val="none"/>
        </w:rPr>
        <w:t>理财产品相关信息的</w:t>
      </w:r>
      <w:r>
        <w:rPr>
          <w:rFonts w:hint="eastAsia" w:ascii="仿宋_GB2312" w:eastAsia="仿宋_GB2312"/>
          <w:b w:val="0"/>
          <w:bCs w:val="0"/>
          <w:color w:val="000000"/>
          <w:sz w:val="28"/>
          <w:szCs w:val="28"/>
          <w:highlight w:val="none"/>
          <w:lang w:val="en-US" w:eastAsia="zh-CN"/>
        </w:rPr>
        <w:t>具体</w:t>
      </w:r>
      <w:r>
        <w:rPr>
          <w:rFonts w:hint="eastAsia" w:ascii="仿宋_GB2312" w:eastAsia="仿宋_GB2312"/>
          <w:b w:val="0"/>
          <w:bCs w:val="0"/>
          <w:color w:val="000000"/>
          <w:sz w:val="28"/>
          <w:szCs w:val="28"/>
          <w:highlight w:val="none"/>
        </w:rPr>
        <w:t>披露方式、渠道和频率，</w:t>
      </w:r>
      <w:r>
        <w:rPr>
          <w:rFonts w:hint="eastAsia" w:ascii="仿宋_GB2312" w:eastAsia="仿宋_GB2312"/>
          <w:b w:val="0"/>
          <w:bCs w:val="0"/>
          <w:color w:val="000000"/>
          <w:sz w:val="28"/>
          <w:szCs w:val="28"/>
          <w:highlight w:val="none"/>
          <w:lang w:val="en-US" w:eastAsia="zh-CN"/>
        </w:rPr>
        <w:t>以</w:t>
      </w:r>
      <w:r>
        <w:rPr>
          <w:rFonts w:hint="eastAsia" w:ascii="仿宋_GB2312" w:eastAsia="仿宋_GB2312"/>
          <w:b w:val="0"/>
          <w:bCs w:val="0"/>
          <w:color w:val="000000"/>
          <w:sz w:val="28"/>
          <w:szCs w:val="28"/>
          <w:highlight w:val="none"/>
          <w:lang w:eastAsia="zh-CN"/>
        </w:rPr>
        <w:t>上银理财</w:t>
      </w:r>
      <w:r>
        <w:rPr>
          <w:rFonts w:hint="eastAsia" w:ascii="仿宋_GB2312" w:eastAsia="仿宋_GB2312"/>
          <w:b w:val="0"/>
          <w:bCs w:val="0"/>
          <w:color w:val="000000"/>
          <w:sz w:val="28"/>
          <w:szCs w:val="28"/>
          <w:highlight w:val="none"/>
        </w:rPr>
        <w:t>提供的产品说明书中相关“信息披露”约定</w:t>
      </w:r>
      <w:r>
        <w:rPr>
          <w:rFonts w:hint="eastAsia" w:ascii="仿宋_GB2312" w:eastAsia="仿宋_GB2312"/>
          <w:b w:val="0"/>
          <w:bCs w:val="0"/>
          <w:color w:val="000000"/>
          <w:sz w:val="28"/>
          <w:szCs w:val="28"/>
          <w:highlight w:val="none"/>
          <w:lang w:val="en-US" w:eastAsia="zh-CN"/>
        </w:rPr>
        <w:t>为准</w:t>
      </w:r>
      <w:r>
        <w:rPr>
          <w:rFonts w:hint="eastAsia" w:ascii="仿宋_GB2312" w:eastAsia="仿宋_GB2312"/>
          <w:b w:val="0"/>
          <w:bCs w:val="0"/>
          <w:color w:val="000000"/>
          <w:sz w:val="28"/>
          <w:szCs w:val="28"/>
          <w:highlight w:val="none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460" w:lineRule="exact"/>
        <w:ind w:firstLine="562" w:firstLineChars="200"/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  <w:lang w:val="en-US" w:eastAsia="zh-CN"/>
        </w:rPr>
        <w:t>投诉与建议</w:t>
      </w:r>
    </w:p>
    <w:p>
      <w:pPr>
        <w:numPr>
          <w:ilvl w:val="0"/>
          <w:numId w:val="0"/>
        </w:numPr>
        <w:adjustRightInd w:val="0"/>
        <w:snapToGrid w:val="0"/>
        <w:spacing w:line="460" w:lineRule="exact"/>
        <w:rPr>
          <w:rFonts w:hint="default" w:ascii="仿宋_GB2312" w:eastAsia="仿宋_GB2312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eastAsia="仿宋_GB2312"/>
          <w:b w:val="0"/>
          <w:bCs w:val="0"/>
          <w:color w:val="000000"/>
          <w:sz w:val="28"/>
          <w:szCs w:val="28"/>
          <w:highlight w:val="none"/>
          <w:lang w:val="en-US" w:eastAsia="zh-CN"/>
        </w:rPr>
        <w:t>如您对本产品有任何意见或建议，可通过代理销售机构营业网点工作人员，拨打客户服务热线以及代理销售机构官方网站进行反映，将由专人接听、记录您的意见或建议，并由各方协商共同解决。</w:t>
      </w:r>
    </w:p>
    <w:p>
      <w:pPr>
        <w:adjustRightInd w:val="0"/>
        <w:snapToGrid w:val="0"/>
        <w:spacing w:line="460" w:lineRule="exact"/>
        <w:ind w:firstLine="562" w:firstLineChars="200"/>
        <w:rPr>
          <w:rFonts w:hint="default" w:ascii="仿宋_GB2312" w:eastAsia="仿宋_GB2312"/>
          <w:b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  <w:lang w:val="en-US" w:eastAsia="zh-CN"/>
        </w:rPr>
        <w:t>六、联络方式</w:t>
      </w:r>
    </w:p>
    <w:p>
      <w:pPr>
        <w:adjustRightInd w:val="0"/>
        <w:snapToGrid w:val="0"/>
        <w:spacing w:line="460" w:lineRule="exact"/>
        <w:ind w:firstLine="562" w:firstLineChars="200"/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  <w:highlight w:val="none"/>
          <w:lang w:val="en-US" w:eastAsia="zh-CN"/>
        </w:rPr>
        <w:t>（一）代销机构的联络方式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仿宋_GB2312" w:hAnsi="宋体" w:eastAsia="仿宋_GB2312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代销机构联络方式详见代销机构提供的相关协议。</w:t>
      </w:r>
    </w:p>
    <w:p>
      <w:pPr>
        <w:adjustRightInd w:val="0"/>
        <w:snapToGrid w:val="0"/>
        <w:spacing w:line="460" w:lineRule="exact"/>
        <w:ind w:firstLine="562" w:firstLineChars="200"/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sz w:val="28"/>
          <w:szCs w:val="28"/>
          <w:highlight w:val="none"/>
          <w:lang w:val="en-US" w:eastAsia="zh-CN"/>
        </w:rPr>
        <w:t>（二）上银理财的联络方式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default" w:ascii="仿宋_GB2312" w:hAnsi="宋体" w:eastAsia="仿宋_GB2312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1、上银理财地址：中国上海市黄浦区中山南路666号2幢2号实际楼层2层、3层</w:t>
      </w:r>
    </w:p>
    <w:p>
      <w:pPr>
        <w:ind w:firstLine="560" w:firstLineChars="200"/>
        <w:rPr>
          <w:rFonts w:hint="eastAsia" w:ascii="仿宋_GB2312" w:hAnsi="宋体" w:eastAsia="仿宋_GB2312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2、上银理财官方网站：【https://www.boscwm.cn/】</w:t>
      </w:r>
    </w:p>
    <w:p>
      <w:pPr>
        <w:rPr>
          <w:rFonts w:hint="eastAsia" w:ascii="仿宋_GB2312" w:hAnsi="宋体" w:eastAsia="仿宋_GB2312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@.蜮.艀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AC2909"/>
    <w:multiLevelType w:val="singleLevel"/>
    <w:tmpl w:val="70AC290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22114"/>
    <w:rsid w:val="01B95638"/>
    <w:rsid w:val="08280F37"/>
    <w:rsid w:val="08E924EB"/>
    <w:rsid w:val="09BF5F03"/>
    <w:rsid w:val="0A2F7385"/>
    <w:rsid w:val="15D77B0D"/>
    <w:rsid w:val="18C76175"/>
    <w:rsid w:val="1D505096"/>
    <w:rsid w:val="202A117D"/>
    <w:rsid w:val="2100618E"/>
    <w:rsid w:val="2114362C"/>
    <w:rsid w:val="237B414A"/>
    <w:rsid w:val="23ED19CF"/>
    <w:rsid w:val="26BC5BD7"/>
    <w:rsid w:val="2A2F45F6"/>
    <w:rsid w:val="2DD71FC2"/>
    <w:rsid w:val="2FE42745"/>
    <w:rsid w:val="2FE74EB6"/>
    <w:rsid w:val="304024A1"/>
    <w:rsid w:val="32680574"/>
    <w:rsid w:val="3E5408F8"/>
    <w:rsid w:val="46E26704"/>
    <w:rsid w:val="474912EC"/>
    <w:rsid w:val="48F401DF"/>
    <w:rsid w:val="498E6A9B"/>
    <w:rsid w:val="4BAC2D6D"/>
    <w:rsid w:val="594C6C88"/>
    <w:rsid w:val="5E4F3865"/>
    <w:rsid w:val="600450CB"/>
    <w:rsid w:val="62D713CB"/>
    <w:rsid w:val="663E364A"/>
    <w:rsid w:val="6A0E1DCE"/>
    <w:rsid w:val="6D491D29"/>
    <w:rsid w:val="6E5179B9"/>
    <w:rsid w:val="702E5B24"/>
    <w:rsid w:val="7CFC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snapToGrid w:val="0"/>
      <w:ind w:firstLine="360" w:firstLineChars="150"/>
      <w:jc w:val="left"/>
    </w:pPr>
    <w:rPr>
      <w:sz w:val="24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@.蜮.艀." w:eastAsia="宋体@.蜮.艀." w:cs="宋体@.蜮.艀.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1192</Words>
  <Characters>1294</Characters>
  <Lines>0</Lines>
  <Paragraphs>0</Paragraphs>
  <TotalTime>58</TotalTime>
  <ScaleCrop>false</ScaleCrop>
  <LinksUpToDate>false</LinksUpToDate>
  <CharactersWithSpaces>1304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2023-12-07T04:45:00Z</dcterms:created>
  <dc:creator>L319388</dc:creator>
  <cp:lastModifiedBy>周 翔</cp:lastModifiedBy>
  <dcterms:modified xsi:type="dcterms:W3CDTF">2025-03-17T08:32:26Z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