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【Z7007124000362】</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【2024.01】</w:t>
      </w:r>
    </w:p>
    <w:p>
      <w:pPr>
        <w:ind w:firstLine="720"/>
        <w:jc w:val="center"/>
        <w:rPr>
          <w:rFonts w:ascii="黑体" w:hAnsi="黑体" w:eastAsia="黑体"/>
          <w:b/>
          <w:bCs/>
          <w:sz w:val="36"/>
          <w:u w:val="none"/>
        </w:rPr>
      </w:pPr>
    </w:p>
    <w:p>
      <w:pPr>
        <w:pStyle w:val="2"/>
        <w:spacing w:after="0" w:line="360" w:lineRule="auto"/>
        <w:jc w:val="center"/>
        <w:rPr>
          <w:rFonts w:ascii="黑体" w:hAnsi="黑体" w:eastAsia="黑体" w:cs="黑体"/>
          <w:color w:val="auto"/>
          <w:sz w:val="36"/>
          <w:szCs w:val="36"/>
          <w:u w:val="none"/>
        </w:rPr>
      </w:pPr>
      <w:r>
        <w:rPr>
          <w:rFonts w:hint="eastAsia" w:ascii="黑体" w:hAnsi="黑体" w:eastAsia="黑体" w:cs="黑体"/>
          <w:sz w:val="32"/>
          <w:szCs w:val="32"/>
          <w:u w:val="none"/>
          <w:lang w:eastAsia="zh-CN"/>
        </w:rPr>
        <w:t>【上银理财“易享利”系列开放式(3个月持有期)理财产品WPEK24M0308期】</w:t>
      </w:r>
    </w:p>
    <w:p>
      <w:pPr>
        <w:ind w:firstLine="0"/>
        <w:jc w:val="center"/>
        <w:outlineLvl w:val="0"/>
        <w:rPr>
          <w:rFonts w:hint="eastAsia" w:ascii="黑体" w:hAnsi="黑体" w:eastAsia="黑体" w:cs="黑体"/>
          <w:b/>
          <w:bCs/>
          <w:color w:val="auto"/>
          <w:kern w:val="44"/>
          <w:sz w:val="32"/>
          <w:szCs w:val="32"/>
          <w:u w:val="none"/>
        </w:rPr>
      </w:pPr>
      <w:r>
        <w:rPr>
          <w:rFonts w:hint="eastAsia" w:ascii="黑体" w:hAnsi="黑体" w:eastAsia="黑体" w:cs="黑体"/>
          <w:b/>
          <w:bCs/>
          <w:color w:val="auto"/>
          <w:kern w:val="44"/>
          <w:sz w:val="32"/>
          <w:szCs w:val="32"/>
          <w:u w:val="none"/>
        </w:rPr>
        <w:t>风险揭示书</w:t>
      </w:r>
    </w:p>
    <w:p>
      <w:pPr>
        <w:ind w:firstLine="720"/>
        <w:jc w:val="center"/>
        <w:outlineLvl w:val="0"/>
        <w:rPr>
          <w:rFonts w:ascii="黑体" w:hAnsi="黑体" w:eastAsia="黑体"/>
          <w:b/>
          <w:bCs/>
          <w:sz w:val="28"/>
          <w:u w:val="none"/>
        </w:rPr>
      </w:pPr>
      <w:r>
        <w:rPr>
          <w:rFonts w:hint="eastAsia" w:ascii="黑体" w:hAnsi="黑体" w:eastAsia="黑体"/>
          <w:b/>
          <w:bCs/>
          <w:color w:val="auto"/>
          <w:sz w:val="28"/>
          <w:u w:val="none"/>
        </w:rPr>
        <w:t>（产品代码</w:t>
      </w:r>
      <w:r>
        <w:rPr>
          <w:rFonts w:ascii="黑体" w:hAnsi="黑体" w:eastAsia="黑体"/>
          <w:b/>
          <w:bCs/>
          <w:color w:val="auto"/>
          <w:sz w:val="28"/>
          <w:u w:val="none"/>
        </w:rPr>
        <w:t>：</w:t>
      </w:r>
      <w:r>
        <w:rPr>
          <w:rFonts w:hint="eastAsia" w:ascii="黑体" w:hAnsi="黑体" w:eastAsia="黑体"/>
          <w:b/>
          <w:bCs/>
          <w:color w:val="auto"/>
          <w:sz w:val="28"/>
          <w:u w:val="none"/>
          <w:lang w:eastAsia="zh-CN"/>
        </w:rPr>
        <w:t>【WPEK24M0308】</w:t>
      </w:r>
      <w:r>
        <w:rPr>
          <w:rFonts w:hint="eastAsia" w:ascii="黑体" w:hAnsi="黑体" w:eastAsia="黑体"/>
          <w:b/>
          <w:bCs/>
          <w:sz w:val="28"/>
          <w:u w:val="none"/>
        </w:rPr>
        <w:t>）</w:t>
      </w:r>
    </w:p>
    <w:p>
      <w:pPr>
        <w:snapToGrid w:val="0"/>
        <w:spacing w:line="360" w:lineRule="auto"/>
        <w:rPr>
          <w:rFonts w:hint="eastAsia" w:ascii="楷体" w:hAnsi="楷体" w:eastAsia="楷体" w:cs="楷体"/>
          <w:b/>
          <w:bCs/>
          <w:szCs w:val="21"/>
          <w:u w:val="none"/>
        </w:rPr>
      </w:pPr>
      <w:r>
        <w:rPr>
          <w:rFonts w:hint="eastAsia" w:ascii="楷体" w:hAnsi="楷体" w:eastAsia="楷体" w:cs="楷体"/>
          <w:b/>
          <w:bCs/>
          <w:szCs w:val="21"/>
          <w:u w:val="none"/>
        </w:rPr>
        <w:t>尊敬的客户：</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由于理财资金管理运用过程中，可能会面临多种风险因素，因此，根据金融监管部门相关监管规定的要求，在您选择购买本理财产品前，请仔细阅读以下重要内容：</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一、风险揭示</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color w:val="C00000"/>
          <w:szCs w:val="21"/>
          <w:u w:val="none"/>
        </w:rPr>
        <w:t>理财非存款、产品有风险、投资须谨慎。</w:t>
      </w:r>
      <w:r>
        <w:rPr>
          <w:rFonts w:hint="eastAsia" w:ascii="楷体" w:hAnsi="楷体" w:eastAsia="楷体" w:cs="楷体"/>
          <w:b/>
          <w:bCs/>
          <w:szCs w:val="21"/>
          <w:u w:val="none"/>
        </w:rPr>
        <w:t>理财产品管理人承诺以诚实信用、勤勉尽责的原则管理和运用理财产品资产，但不保证理财产品一定盈利，也不保证本金安全和最低收益。本《风险揭示书》旨在揭示本理财产品可能面临的各种风险，投资者应当认真阅读本《风险揭示书》，充分认识以下风</w:t>
      </w:r>
      <w:r>
        <w:rPr>
          <w:rFonts w:hint="eastAsia" w:ascii="楷体" w:hAnsi="楷体" w:eastAsia="楷体" w:cs="楷体"/>
          <w:b/>
          <w:bCs/>
          <w:spacing w:val="20"/>
          <w:sz w:val="21"/>
          <w:szCs w:val="21"/>
          <w:u w:val="none"/>
        </w:rPr>
        <w:t>险：</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（一）本金及理财收益风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不保障本金且不保证理财收益。投资者的本金和理财收益（如有，下同）可能会因理财产品所投资的资产的运作情况、市场变动而蒙受重大损失。投资者应充分认识投资风险，谨慎投资。本理财产品收益来源于理财产品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w:t>
      </w:r>
      <w:r>
        <w:rPr>
          <w:rFonts w:hint="eastAsia" w:ascii="楷体" w:hAnsi="楷体" w:eastAsia="楷体" w:cs="楷体"/>
          <w:b/>
          <w:bCs/>
          <w:szCs w:val="21"/>
          <w:u w:val="none"/>
        </w:rPr>
        <w:t>由此产生的本金及理财收益损失的风险由投资者自行承担。在发生资产违约且无法正常处置等最不利情况下投资者将可能损失全部本金。</w:t>
      </w:r>
    </w:p>
    <w:p>
      <w:pPr>
        <w:snapToGrid w:val="0"/>
        <w:spacing w:line="360" w:lineRule="auto"/>
        <w:ind w:firstLine="422" w:firstLineChars="200"/>
        <w:rPr>
          <w:rFonts w:ascii="楷体_GB2312" w:hAnsi="宋体" w:eastAsia="楷体_GB2312"/>
          <w:b/>
          <w:bCs/>
          <w:szCs w:val="21"/>
          <w:u w:val="none"/>
        </w:rPr>
      </w:pPr>
      <w:r>
        <w:rPr>
          <w:rFonts w:hint="eastAsia" w:ascii="楷体" w:hAnsi="楷体" w:eastAsia="楷体" w:cs="楷体"/>
          <w:b/>
          <w:bCs/>
          <w:szCs w:val="21"/>
          <w:u w:val="none"/>
        </w:rPr>
        <w:t>（二）信用风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本理财产品部分资产可能投资于标准化债权资产、权益类资产等，因此有可能由于发行主体或交易对手信用状况恶化导致交易违约，致使本理财产品到期实际收益不足业绩比较基准，</w:t>
      </w:r>
      <w:r>
        <w:rPr>
          <w:rFonts w:hint="eastAsia" w:ascii="楷体" w:hAnsi="楷体" w:eastAsia="楷体" w:cs="楷体"/>
          <w:b/>
          <w:bCs/>
          <w:szCs w:val="21"/>
          <w:u w:val="none"/>
        </w:rPr>
        <w:t>该种情况下，管理人将按照投资实际收益情况，并以资产变现实际收到的资金为限支付投资人收益，投资人将自行承担由此而导致的理财收益减少乃至本金损失的风险。</w:t>
      </w:r>
      <w:r>
        <w:rPr>
          <w:rFonts w:hint="eastAsia" w:ascii="楷体" w:hAnsi="楷体" w:eastAsia="楷体" w:cs="楷体"/>
          <w:b w:val="0"/>
          <w:bCs w:val="0"/>
          <w:szCs w:val="21"/>
          <w:u w:val="none"/>
        </w:rPr>
        <w:t>本理财产品运作过程中，投资管理人将密切关注投资组合信用风险变化，根据债务人等信用等级的调整及时调整投资组合，尽最大努力管理信用风险。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（三）市场风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在理财产品合同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（四）管理人风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由于管理人（包括本理财产品的投资管理人、所投资的信托计划/资管计划/基金的受托人/管理人（如有）、相关投资顾问（如有）等，下同）受经验、技能等因素的限制，会影响其对信息的获取和对经济形势、金融市场价格走势的判断，如管理人判断有误、获取信息不全、或对投资工具使用不当等，可能导致本理财产品项下的理财资金遭受损失。如信托计划/资管计划/基金的受托人/管理人（如有）、相关投资顾问（如有）、所投资基金或资管计划的代理销售机构（如有）等及其内部作业、人员管理及系统操作不当或失误，或违背相关合同约定、未严格执行风险控制措施、处理事务不当等，可能导致本理财产品项下的理财资金遭受损失。</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（五）政策风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本理财产品是针对当前的相关法规和政策设计的，如国家宏观政策以及市场相关法规政策等发生变化，可能影响本理财产品的受理、投资、偿还等的正常进行，</w:t>
      </w:r>
      <w:r>
        <w:rPr>
          <w:rFonts w:hint="eastAsia" w:ascii="楷体" w:hAnsi="楷体" w:eastAsia="楷体" w:cs="楷体"/>
          <w:b/>
          <w:bCs/>
          <w:szCs w:val="21"/>
          <w:u w:val="none"/>
        </w:rPr>
        <w:t>导致本理财产品收益降低甚至本金损失。</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（六）理财产品不成立风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自本理财产品开始认购至理财产品原定成立日之前，理财产品认购总金额未达到最低发行规模（如有约定），或国家宏观政策以及市场相关法规政策发生变化，或市场发生剧烈波动，或出现其他使得本理财产品无法正常成立或正常运作的情况，经管理人合理判断难以按照本</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规定向投资者提供本理财产品，管理人有权宣布本理财产品不成立。</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（七）延期风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如因理财产品所投资的标的资产因市场风险、流动性风险、信用风险等原因造成产品不能按时还本付息，理财期限将相应延长。如管理人延长理财产品期限，将通过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“信息披露”约定的信息披露渠道向投资者发布信息公告。</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szCs w:val="21"/>
          <w:u w:val="none"/>
        </w:rPr>
        <w:t>（八）投</w:t>
      </w:r>
      <w:r>
        <w:rPr>
          <w:rFonts w:hint="eastAsia" w:ascii="楷体" w:hAnsi="楷体" w:eastAsia="楷体" w:cs="楷体"/>
          <w:b/>
          <w:bCs/>
          <w:color w:val="auto"/>
          <w:szCs w:val="21"/>
          <w:u w:val="none"/>
        </w:rPr>
        <w:t>资者资金流动性风</w:t>
      </w:r>
      <w:r>
        <w:rPr>
          <w:rFonts w:hint="eastAsia" w:ascii="楷体" w:hAnsi="楷体" w:eastAsia="楷体" w:cs="楷体"/>
          <w:b/>
          <w:bCs/>
          <w:spacing w:val="20"/>
          <w:sz w:val="21"/>
          <w:szCs w:val="21"/>
          <w:u w:val="none"/>
        </w:rPr>
        <w:t>险：</w:t>
      </w:r>
      <w:r>
        <w:rPr>
          <w:rFonts w:hint="eastAsia" w:ascii="楷体" w:hAnsi="楷体" w:eastAsia="楷体" w:cs="楷体"/>
          <w:b/>
          <w:bCs/>
          <w:color w:val="auto"/>
          <w:szCs w:val="21"/>
          <w:u w:val="none"/>
        </w:rPr>
        <w:t>本理财产品</w:t>
      </w:r>
      <w:r>
        <w:rPr>
          <w:rFonts w:hint="eastAsia" w:ascii="楷体" w:hAnsi="楷体" w:eastAsia="楷体" w:cs="楷体"/>
          <w:b/>
          <w:bCs/>
          <w:color w:val="auto"/>
          <w:szCs w:val="21"/>
          <w:u w:val="none"/>
          <w:lang w:val="en-US" w:eastAsia="zh-CN"/>
        </w:rPr>
        <w:t>期限为【10年】</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【在理财产品存续期内，除投资封闭期外每一自然日为产品开放日】，</w:t>
      </w:r>
      <w:r>
        <w:rPr>
          <w:rFonts w:hint="eastAsia" w:ascii="楷体" w:hAnsi="楷体" w:eastAsia="楷体" w:cs="楷体"/>
          <w:b/>
          <w:bCs/>
          <w:color w:val="auto"/>
          <w:szCs w:val="21"/>
          <w:lang w:val="en-US" w:eastAsia="zh-CN"/>
        </w:rPr>
        <w:t>投资者可在产品开放日内办理申购，</w:t>
      </w:r>
      <w:r>
        <w:rPr>
          <w:rFonts w:hint="eastAsia" w:ascii="楷体" w:hAnsi="楷体" w:eastAsia="楷体" w:cs="楷体"/>
          <w:b/>
          <w:bCs/>
          <w:color w:val="auto"/>
          <w:szCs w:val="21"/>
          <w:u w:val="none"/>
          <w:lang w:val="en-US" w:eastAsia="zh-CN"/>
        </w:rPr>
        <w:t>但</w:t>
      </w:r>
      <w:r>
        <w:rPr>
          <w:rFonts w:hint="eastAsia" w:ascii="楷体" w:hAnsi="楷体" w:eastAsia="楷体" w:cs="楷体"/>
          <w:b/>
          <w:bCs/>
          <w:color w:val="auto"/>
          <w:szCs w:val="21"/>
          <w:u w:val="none"/>
        </w:rPr>
        <w:t>只能在持有本理财产品相应份额达到</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rPr>
        <w:t>个自然日的最短持有期后</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由于最短持有期结束日若为非</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则自动顺延至下一</w:t>
      </w:r>
      <w:r>
        <w:rPr>
          <w:rFonts w:hint="eastAsia" w:ascii="楷体" w:hAnsi="楷体" w:eastAsia="楷体" w:cs="楷体"/>
          <w:b/>
          <w:bCs/>
          <w:color w:val="auto"/>
          <w:szCs w:val="21"/>
          <w:u w:val="none"/>
          <w:lang w:eastAsia="zh-CN"/>
        </w:rPr>
        <w:t>【交易日】</w:t>
      </w:r>
      <w:r>
        <w:rPr>
          <w:rFonts w:hint="eastAsia" w:ascii="楷体" w:hAnsi="楷体" w:eastAsia="楷体" w:cs="楷体"/>
          <w:b/>
          <w:bCs/>
          <w:color w:val="auto"/>
          <w:szCs w:val="21"/>
          <w:u w:val="none"/>
          <w:lang w:val="en-US" w:eastAsia="zh-CN"/>
        </w:rPr>
        <w:t>等原因，每个最短持有期实际上可能长于</w:t>
      </w:r>
      <w:r>
        <w:rPr>
          <w:rFonts w:hint="eastAsia" w:ascii="楷体" w:hAnsi="楷体" w:eastAsia="楷体" w:cs="楷体"/>
          <w:b/>
          <w:bCs/>
          <w:color w:val="auto"/>
          <w:szCs w:val="21"/>
          <w:u w:val="none"/>
          <w:lang w:eastAsia="zh-CN"/>
        </w:rPr>
        <w:t>【90】</w:t>
      </w:r>
      <w:r>
        <w:rPr>
          <w:rFonts w:hint="eastAsia" w:ascii="楷体" w:hAnsi="楷体" w:eastAsia="楷体" w:cs="楷体"/>
          <w:b/>
          <w:bCs/>
          <w:color w:val="auto"/>
          <w:szCs w:val="21"/>
          <w:u w:val="none"/>
          <w:lang w:val="en-US" w:eastAsia="zh-CN"/>
        </w:rPr>
        <w:t>个自然日</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，才能在</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产品说明书</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规定的开放日内办理赎回。</w:t>
      </w:r>
      <w:r>
        <w:rPr>
          <w:rFonts w:hint="eastAsia" w:ascii="楷体" w:hAnsi="楷体" w:eastAsia="楷体" w:cs="楷体"/>
          <w:b w:val="0"/>
          <w:bCs w:val="0"/>
          <w:color w:val="auto"/>
          <w:szCs w:val="21"/>
          <w:u w:val="none"/>
        </w:rPr>
        <w:t>在理财产品存续期内，若理财产品任一开放日净赎回</w:t>
      </w:r>
      <w:r>
        <w:rPr>
          <w:rFonts w:hint="eastAsia" w:ascii="楷体" w:hAnsi="楷体" w:eastAsia="楷体" w:cs="楷体"/>
          <w:b w:val="0"/>
          <w:bCs w:val="0"/>
          <w:color w:val="auto"/>
          <w:szCs w:val="21"/>
          <w:u w:val="none"/>
          <w:lang w:val="en-US" w:eastAsia="zh-CN"/>
        </w:rPr>
        <w:t>申请份</w:t>
      </w:r>
      <w:r>
        <w:rPr>
          <w:rFonts w:hint="eastAsia" w:ascii="楷体" w:hAnsi="楷体" w:eastAsia="楷体" w:cs="楷体"/>
          <w:b w:val="0"/>
          <w:bCs w:val="0"/>
          <w:color w:val="auto"/>
          <w:szCs w:val="21"/>
          <w:u w:val="none"/>
        </w:rPr>
        <w:t>额（赎回申请份额总数扣除申购申请份额总数）超过本理财产品上一</w:t>
      </w:r>
      <w:r>
        <w:rPr>
          <w:rFonts w:hint="eastAsia" w:ascii="楷体" w:hAnsi="楷体" w:eastAsia="楷体" w:cs="楷体"/>
          <w:b w:val="0"/>
          <w:bCs w:val="0"/>
          <w:color w:val="auto"/>
          <w:szCs w:val="21"/>
          <w:u w:val="none"/>
          <w:lang w:val="en-US" w:eastAsia="zh-CN"/>
        </w:rPr>
        <w:t>【交易日】</w:t>
      </w:r>
      <w:r>
        <w:rPr>
          <w:rFonts w:hint="eastAsia" w:ascii="楷体" w:hAnsi="楷体" w:eastAsia="楷体" w:cs="楷体"/>
          <w:b w:val="0"/>
          <w:bCs w:val="0"/>
          <w:color w:val="auto"/>
          <w:szCs w:val="21"/>
          <w:u w:val="none"/>
        </w:rPr>
        <w:t>日终份额的10%时，即为发生巨额赎回。</w:t>
      </w:r>
      <w:r>
        <w:rPr>
          <w:rFonts w:hint="eastAsia" w:ascii="楷体" w:hAnsi="楷体" w:eastAsia="楷体" w:cs="楷体"/>
          <w:b/>
          <w:bCs/>
          <w:color w:val="auto"/>
          <w:szCs w:val="21"/>
          <w:u w:val="none"/>
        </w:rPr>
        <w:t>出现巨额赎回时，管理人有权依照理财产品当时的资产组合状况选择全额赎回、部分赎回或延缓支付，由此可能影响投资者的资金流动性安排，带来流动性风险。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（九）提前终止风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管理人有权但无义务在理财产品到期日之前终止本理财产品，如管理人在特定情况下在理财产品预计到期日之前终止理财产品，则该理财产品的实际理财期可能短于预计存续期限。如果理财产品提前到期</w:t>
      </w:r>
      <w:r>
        <w:rPr>
          <w:rFonts w:hint="eastAsia" w:ascii="楷体" w:hAnsi="楷体" w:eastAsia="楷体" w:cs="楷体"/>
          <w:szCs w:val="21"/>
          <w:lang w:eastAsia="zh-CN"/>
        </w:rPr>
        <w:t>，投资者将面临再投资机会风险。</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（十）信息传递风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产品认购期和</w:t>
      </w:r>
      <w:r>
        <w:rPr>
          <w:rFonts w:hint="eastAsia" w:ascii="楷体" w:hAnsi="楷体" w:eastAsia="楷体" w:cs="楷体"/>
          <w:b w:val="0"/>
          <w:bCs w:val="0"/>
          <w:szCs w:val="21"/>
          <w:u w:val="none"/>
        </w:rPr>
        <w:t>存续期间，</w:t>
      </w:r>
      <w:r>
        <w:rPr>
          <w:rFonts w:hint="eastAsia" w:ascii="楷体" w:hAnsi="楷体" w:eastAsia="楷体" w:cs="楷体"/>
          <w:b w:val="0"/>
          <w:bCs w:val="0"/>
          <w:szCs w:val="21"/>
          <w:u w:val="none"/>
          <w:lang w:val="en-US" w:eastAsia="zh-CN"/>
        </w:rPr>
        <w:t>将通过产品管理人官方网站或</w:t>
      </w:r>
      <w:r>
        <w:rPr>
          <w:rFonts w:hint="eastAsia" w:ascii="楷体" w:hAnsi="楷体" w:eastAsia="楷体" w:cs="楷体"/>
          <w:b w:val="0"/>
          <w:bCs w:val="0"/>
          <w:szCs w:val="21"/>
          <w:u w:val="none"/>
        </w:rPr>
        <w:t>销售机构的信息披露渠道（包括但不限于销售机构的营业网点、门户网站、电子销售渠道等）</w:t>
      </w:r>
      <w:r>
        <w:rPr>
          <w:rFonts w:hint="eastAsia" w:ascii="楷体" w:hAnsi="楷体" w:eastAsia="楷体" w:cs="楷体"/>
          <w:b w:val="0"/>
          <w:bCs w:val="0"/>
          <w:szCs w:val="21"/>
          <w:u w:val="none"/>
          <w:lang w:val="en-US" w:eastAsia="zh-CN"/>
        </w:rPr>
        <w:t>进行</w:t>
      </w:r>
      <w:r>
        <w:rPr>
          <w:rFonts w:hint="eastAsia" w:ascii="楷体" w:hAnsi="楷体" w:eastAsia="楷体" w:cs="楷体"/>
          <w:b w:val="0"/>
          <w:bCs w:val="0"/>
          <w:szCs w:val="21"/>
          <w:u w:val="none"/>
        </w:rPr>
        <w:t>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的信息披露。投资者应定期通过约定的相关渠道获知有关本理财产品相关信息。若因客户未及时通过前述方式查询相关信息，或由于通讯故障、系统故障、重大疫情或其他不可抗力等因素的影响，使得客户无法及时了解产品信息，不能及时了解理财产品的盈亏状况，并可能将丧失提前退出及再投资的机会，由此导致的风险和责任由客户自行承担。另外，客户预留在管理人的有效联系方式发生变更的，应及时通知管理人，如客户未及时告知管理人联系方式变更的，管理人将可能在需要时无法与客户及时取得联系，并可能会由此影响客户的投资决策，由此产生的责任和风险由客户自行承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（十一）不可抗力及意外事件风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b w:val="0"/>
          <w:bCs w:val="0"/>
          <w:szCs w:val="21"/>
          <w:u w:val="none"/>
        </w:rPr>
        <w:t>由于不可抗力及/或国家政策变化、IT 系统故障、通讯系统故障、电力系统故障、金融危机、投资市场停止交易、重大疫情等非管理人所能控制的原因，可能对理财产品的产品成立、投资运作、资金返还、信息披露、公告通知造成影响，可能导致产品收益降低乃至本金遭受损失。对于由不可抗力及意外事件风险导致的损失，</w:t>
      </w:r>
      <w:r>
        <w:rPr>
          <w:rFonts w:hint="eastAsia" w:ascii="楷体" w:hAnsi="楷体" w:eastAsia="楷体" w:cs="楷体"/>
          <w:b/>
          <w:bCs/>
          <w:szCs w:val="21"/>
          <w:u w:val="none"/>
        </w:rPr>
        <w:t>投资者须自行承担，</w:t>
      </w:r>
      <w:r>
        <w:rPr>
          <w:rFonts w:hint="eastAsia" w:ascii="楷体" w:hAnsi="楷体" w:eastAsia="楷体" w:cs="楷体"/>
          <w:b w:val="0"/>
          <w:bCs w:val="0"/>
          <w:szCs w:val="21"/>
          <w:u w:val="none"/>
        </w:rPr>
        <w:t>管理人对此不承担责任。</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（十二）税收风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净值或实际收益降低，从而降低产品投资人的收益水平。</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（十三）估值风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本理财产品按《产品说明书》的估值方法进行估值</w:t>
      </w:r>
      <w:r>
        <w:rPr>
          <w:rFonts w:hint="eastAsia" w:ascii="楷体" w:hAnsi="楷体" w:eastAsia="楷体" w:cs="楷体"/>
          <w:b w:val="0"/>
          <w:bCs w:val="0"/>
          <w:szCs w:val="21"/>
          <w:u w:val="none"/>
          <w:lang w:eastAsia="zh-CN"/>
        </w:rPr>
        <w:t>，</w:t>
      </w:r>
      <w:r>
        <w:rPr>
          <w:rFonts w:hint="eastAsia" w:ascii="楷体" w:hAnsi="楷体" w:eastAsia="楷体" w:cs="楷体"/>
          <w:b/>
          <w:bCs/>
          <w:szCs w:val="21"/>
          <w:u w:val="none"/>
        </w:rPr>
        <w:t>理财产品估值与实际变现价值可能发生偏离，投资者应知晓该风险。</w:t>
      </w:r>
      <w:r>
        <w:rPr>
          <w:rFonts w:hint="eastAsia" w:ascii="楷体" w:hAnsi="楷体" w:eastAsia="楷体" w:cs="楷体"/>
          <w:b w:val="0"/>
          <w:bCs w:val="0"/>
          <w:szCs w:val="21"/>
          <w:u w:val="none"/>
        </w:rPr>
        <w:t>管理人估值仅作为参考，管理人不承担第三方再次使用该估值引发的其他风险。</w:t>
      </w:r>
    </w:p>
    <w:p>
      <w:pPr>
        <w:snapToGrid w:val="0"/>
        <w:spacing w:line="360" w:lineRule="auto"/>
        <w:ind w:firstLine="422" w:firstLineChars="200"/>
        <w:rPr>
          <w:rFonts w:hint="eastAsia" w:ascii="楷体" w:hAnsi="楷体" w:eastAsia="楷体" w:cs="楷体"/>
          <w:sz w:val="21"/>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四</w:t>
      </w:r>
      <w:r>
        <w:rPr>
          <w:rFonts w:hint="eastAsia" w:ascii="楷体" w:hAnsi="楷体" w:eastAsia="楷体" w:cs="楷体"/>
          <w:b/>
          <w:bCs/>
          <w:szCs w:val="21"/>
          <w:u w:val="none"/>
        </w:rPr>
        <w:t>）</w:t>
      </w:r>
      <w:r>
        <w:rPr>
          <w:rFonts w:hint="eastAsia" w:ascii="楷体" w:hAnsi="楷体" w:eastAsia="楷体" w:cs="楷体"/>
          <w:b/>
          <w:bCs/>
          <w:szCs w:val="21"/>
          <w:u w:val="none"/>
          <w:lang w:val="en-US" w:eastAsia="zh-CN"/>
        </w:rPr>
        <w:t>代销</w:t>
      </w:r>
      <w:r>
        <w:rPr>
          <w:rFonts w:hint="eastAsia" w:ascii="楷体" w:hAnsi="楷体" w:eastAsia="楷体" w:cs="楷体"/>
          <w:b/>
          <w:bCs/>
          <w:szCs w:val="21"/>
          <w:u w:val="none"/>
        </w:rPr>
        <w:t>风</w:t>
      </w:r>
      <w:r>
        <w:rPr>
          <w:rFonts w:hint="eastAsia" w:ascii="楷体" w:hAnsi="楷体" w:eastAsia="楷体" w:cs="楷体"/>
          <w:b/>
          <w:bCs/>
          <w:spacing w:val="20"/>
          <w:sz w:val="21"/>
          <w:szCs w:val="21"/>
          <w:u w:val="none"/>
        </w:rPr>
        <w:t>险</w:t>
      </w:r>
      <w:r>
        <w:rPr>
          <w:rFonts w:hint="eastAsia" w:ascii="楷体" w:hAnsi="楷体" w:eastAsia="楷体" w:cs="楷体"/>
          <w:b/>
          <w:bCs/>
          <w:spacing w:val="20"/>
          <w:sz w:val="21"/>
          <w:szCs w:val="21"/>
          <w:u w:val="none"/>
          <w:lang w:eastAsia="zh-CN"/>
        </w:rPr>
        <w:t>：</w:t>
      </w:r>
      <w:r>
        <w:rPr>
          <w:rFonts w:hint="eastAsia" w:ascii="楷体" w:hAnsi="楷体" w:eastAsia="楷体" w:cs="楷体"/>
          <w:b/>
          <w:bCs/>
          <w:szCs w:val="21"/>
          <w:u w:val="none"/>
          <w:lang w:val="en-US" w:eastAsia="zh-CN"/>
        </w:rPr>
        <w:t xml:space="preserve"> </w:t>
      </w:r>
      <w:r>
        <w:rPr>
          <w:rFonts w:hint="eastAsia" w:ascii="楷体" w:hAnsi="楷体" w:eastAsia="楷体" w:cs="楷体"/>
          <w:sz w:val="21"/>
          <w:szCs w:val="21"/>
          <w:u w:val="none"/>
        </w:rPr>
        <w:t>本理财产品若通过非产品管理人自有渠道进行销售的属于代理销售，认购/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 决，但前述约定不免除因代理销售机构过错依法应由代理销售机构承担的责任。</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五</w:t>
      </w:r>
      <w:r>
        <w:rPr>
          <w:rFonts w:hint="eastAsia" w:ascii="楷体" w:hAnsi="楷体" w:eastAsia="楷体" w:cs="楷体"/>
          <w:b/>
          <w:bCs/>
          <w:szCs w:val="21"/>
          <w:u w:val="none"/>
        </w:rPr>
        <w:t>）</w:t>
      </w:r>
      <w:r>
        <w:rPr>
          <w:rFonts w:hint="eastAsia" w:ascii="楷体" w:hAnsi="楷体" w:eastAsia="楷体" w:cs="楷体"/>
          <w:b/>
          <w:bCs/>
          <w:color w:val="auto"/>
          <w:szCs w:val="21"/>
          <w:highlight w:val="none"/>
          <w:u w:val="none"/>
          <w:lang w:val="en-US" w:eastAsia="zh-CN"/>
        </w:rPr>
        <w:t>不同理财产品份额类别存在差异的风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sz w:val="21"/>
          <w:szCs w:val="21"/>
          <w:u w:val="none"/>
        </w:rPr>
        <w:t>理财产品管理人可根据投资者购买理财产品的金额、</w:t>
      </w:r>
      <w:r>
        <w:rPr>
          <w:rFonts w:hint="eastAsia" w:ascii="楷体" w:hAnsi="楷体" w:eastAsia="楷体" w:cs="楷体"/>
          <w:sz w:val="21"/>
          <w:szCs w:val="21"/>
          <w:u w:val="none"/>
          <w:lang w:val="en-US" w:eastAsia="zh-CN"/>
        </w:rPr>
        <w:t>投资者类型、</w:t>
      </w:r>
      <w:r>
        <w:rPr>
          <w:rFonts w:hint="eastAsia" w:ascii="楷体" w:hAnsi="楷体" w:eastAsia="楷体" w:cs="楷体"/>
          <w:sz w:val="21"/>
          <w:szCs w:val="21"/>
          <w:u w:val="none"/>
        </w:rPr>
        <w:t>销售渠道等因素，对理财投资者所持有的理财产品设置不同理财产品份额类别。不同类别的理财产品份额</w:t>
      </w:r>
      <w:r>
        <w:rPr>
          <w:rFonts w:hint="eastAsia" w:ascii="楷体" w:hAnsi="楷体" w:eastAsia="楷体" w:cs="楷体"/>
          <w:sz w:val="21"/>
          <w:szCs w:val="21"/>
          <w:u w:val="none"/>
          <w:lang w:val="en-US" w:eastAsia="zh-CN"/>
        </w:rPr>
        <w:t>可能</w:t>
      </w:r>
      <w:r>
        <w:rPr>
          <w:rFonts w:hint="eastAsia" w:ascii="楷体" w:hAnsi="楷体" w:eastAsia="楷体" w:cs="楷体"/>
          <w:sz w:val="21"/>
          <w:szCs w:val="21"/>
          <w:u w:val="none"/>
        </w:rPr>
        <w:t>在</w:t>
      </w:r>
      <w:r>
        <w:rPr>
          <w:rFonts w:hint="eastAsia" w:ascii="楷体" w:hAnsi="楷体" w:eastAsia="楷体" w:cs="楷体"/>
          <w:sz w:val="21"/>
          <w:szCs w:val="21"/>
          <w:u w:val="none"/>
          <w:lang w:val="en-US" w:eastAsia="zh-CN"/>
        </w:rPr>
        <w:t>产品</w:t>
      </w:r>
      <w:r>
        <w:rPr>
          <w:rFonts w:hint="eastAsia" w:ascii="楷体" w:hAnsi="楷体" w:eastAsia="楷体" w:cs="楷体"/>
          <w:sz w:val="21"/>
          <w:szCs w:val="21"/>
          <w:u w:val="none"/>
        </w:rPr>
        <w:t>销售名称、销售代码、销售</w:t>
      </w:r>
      <w:r>
        <w:rPr>
          <w:rFonts w:hint="eastAsia" w:ascii="楷体" w:hAnsi="楷体" w:eastAsia="楷体" w:cs="楷体"/>
          <w:sz w:val="21"/>
          <w:szCs w:val="21"/>
          <w:u w:val="none"/>
          <w:lang w:val="en-US" w:eastAsia="zh-CN"/>
        </w:rPr>
        <w:t>机构</w:t>
      </w:r>
      <w:r>
        <w:rPr>
          <w:rFonts w:hint="eastAsia" w:ascii="楷体" w:hAnsi="楷体" w:eastAsia="楷体" w:cs="楷体"/>
          <w:sz w:val="21"/>
          <w:szCs w:val="21"/>
          <w:u w:val="none"/>
        </w:rPr>
        <w:t>、</w:t>
      </w:r>
      <w:r>
        <w:rPr>
          <w:rFonts w:hint="eastAsia" w:ascii="楷体" w:hAnsi="楷体" w:eastAsia="楷体" w:cs="楷体"/>
          <w:sz w:val="21"/>
          <w:szCs w:val="21"/>
          <w:u w:val="none"/>
          <w:lang w:val="en-US" w:eastAsia="zh-CN"/>
        </w:rPr>
        <w:t>发售对象、费率设置等</w:t>
      </w:r>
      <w:r>
        <w:rPr>
          <w:rFonts w:hint="eastAsia" w:ascii="楷体" w:hAnsi="楷体" w:eastAsia="楷体" w:cs="楷体"/>
          <w:sz w:val="21"/>
          <w:szCs w:val="21"/>
          <w:u w:val="none"/>
        </w:rPr>
        <w:t>方面存在差异。</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六</w:t>
      </w:r>
      <w:r>
        <w:rPr>
          <w:rFonts w:hint="eastAsia" w:ascii="楷体" w:hAnsi="楷体" w:eastAsia="楷体" w:cs="楷体"/>
          <w:b/>
          <w:bCs/>
          <w:szCs w:val="21"/>
          <w:u w:val="none"/>
        </w:rPr>
        <w:t>）《产品说明书》修改风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如出于维持产品正常运营的需要且在不实质损害投资者利益的前提下，或因国家法律法规、监管规定发生变化，管理人有权在法律法规、监管规定允许的范围内对《产品说明书》进行修订。管理人决定对《产品说明书》进行修订的，</w:t>
      </w:r>
      <w:bookmarkStart w:id="0" w:name="_Hlk99539335"/>
      <w:r>
        <w:rPr>
          <w:rFonts w:hint="eastAsia" w:ascii="楷体" w:hAnsi="楷体" w:eastAsia="楷体" w:cs="楷体"/>
          <w:b w:val="0"/>
          <w:bCs w:val="0"/>
          <w:szCs w:val="21"/>
          <w:u w:val="none"/>
        </w:rPr>
        <w:t>将提前</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个工作日根据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“信息披露”约定的信息披露方式进行公告。</w:t>
      </w:r>
      <w:bookmarkEnd w:id="0"/>
      <w:r>
        <w:rPr>
          <w:rFonts w:hint="eastAsia" w:ascii="楷体" w:hAnsi="楷体" w:eastAsia="楷体" w:cs="楷体"/>
          <w:b w:val="0"/>
          <w:bCs w:val="0"/>
          <w:szCs w:val="21"/>
          <w:u w:val="none"/>
        </w:rPr>
        <w:t>其中，对于投资者利益产生实质影响的事项（如对投资范围、投资品种、投资比例进行调整等），客户如对补充或修改后的</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有异议，可在公告相应内容的业务调整生效前赎回本理财产品（此种情况下管理人将可能开放特殊赎回期间，具体以届时管理人的公告为准），</w:t>
      </w:r>
      <w:r>
        <w:rPr>
          <w:rFonts w:hint="eastAsia" w:ascii="楷体" w:hAnsi="楷体" w:eastAsia="楷体" w:cs="楷体"/>
          <w:b/>
          <w:bCs/>
          <w:szCs w:val="21"/>
          <w:u w:val="none"/>
        </w:rPr>
        <w:t>逾期未赎回的视为同意。</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rPr>
        <w:t>（十</w:t>
      </w:r>
      <w:r>
        <w:rPr>
          <w:rFonts w:hint="eastAsia" w:ascii="楷体" w:hAnsi="楷体" w:eastAsia="楷体" w:cs="楷体"/>
          <w:b/>
          <w:bCs/>
          <w:szCs w:val="21"/>
          <w:u w:val="none"/>
          <w:lang w:val="en-US" w:eastAsia="zh-CN"/>
        </w:rPr>
        <w:t>七</w:t>
      </w:r>
      <w:r>
        <w:rPr>
          <w:rFonts w:hint="eastAsia" w:ascii="楷体" w:hAnsi="楷体" w:eastAsia="楷体" w:cs="楷体"/>
          <w:b/>
          <w:bCs/>
          <w:szCs w:val="21"/>
          <w:u w:val="none"/>
        </w:rPr>
        <w:t>）设置建仓期的风</w:t>
      </w:r>
      <w:r>
        <w:rPr>
          <w:rFonts w:hint="eastAsia" w:ascii="楷体" w:hAnsi="楷体" w:eastAsia="楷体" w:cs="楷体"/>
          <w:b/>
          <w:bCs/>
          <w:spacing w:val="20"/>
          <w:sz w:val="21"/>
          <w:szCs w:val="21"/>
          <w:u w:val="none"/>
        </w:rPr>
        <w:t>险：</w:t>
      </w:r>
      <w:r>
        <w:rPr>
          <w:rFonts w:hint="eastAsia" w:ascii="楷体" w:hAnsi="楷体" w:eastAsia="楷体" w:cs="楷体"/>
          <w:b w:val="0"/>
          <w:bCs w:val="0"/>
          <w:szCs w:val="21"/>
          <w:u w:val="none"/>
        </w:rPr>
        <w:t>本理财产品可能设立建仓期机制，建仓期具体安排详见《产品说明书》。在前述建仓期内，本理财产品的投资比例可能无法满足本理财产品约定的投资比例限制，从而可能对本理财产品的投资收益产生相应影响。</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十八）特定投资标的风险</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1.货币市场工具投资风</w:t>
      </w:r>
      <w:r>
        <w:rPr>
          <w:rFonts w:hint="eastAsia" w:ascii="楷体" w:hAnsi="楷体" w:eastAsia="楷体" w:cs="楷体"/>
          <w:b/>
          <w:bCs/>
          <w:spacing w:val="20"/>
          <w:sz w:val="21"/>
          <w:szCs w:val="21"/>
          <w:u w:val="none"/>
          <w:lang w:val="en-US" w:eastAsia="zh-CN"/>
        </w:rPr>
        <w:t>险：</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（1）本理财产品作为资金借出方参与货币市场工具交易时，交易对手可能无法及时偿还全部或部分本金和/或收益，导致理财产品收益下降甚至本金损失。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（2）本理财产品作为资金借入方参与货币市场工具交易时，交易利率可能大于债券投资收益，进而导致理财产品收益下降甚至本金损失。</w:t>
      </w:r>
    </w:p>
    <w:p>
      <w:pPr>
        <w:snapToGrid w:val="0"/>
        <w:spacing w:line="360" w:lineRule="auto"/>
        <w:ind w:firstLine="420" w:firstLineChars="20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（3）本理财产品作为资金借入方参与货币市场工具交易，将增大产品投资总量，放大投资组合风险。资金借入比例越高，风险暴露程度越高，理财产品收益下降甚至本金损失的可能性越大。</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2．标准化债权资产投资风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国家政策、经济周期、利率、汇率等因素可能发生的变化导致的市场风险；债券发行人的经营状况、信用质量降低、或资产支持证券项下的基础资产现金流未能及时完整取得等可能发生的变化导致的信用风险；非公开定向债务融资工具、非公开发行公司债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3. 权益类资产投资风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pPr>
        <w:snapToGrid w:val="0"/>
        <w:spacing w:line="360" w:lineRule="auto"/>
        <w:ind w:firstLine="422" w:firstLineChars="200"/>
        <w:rPr>
          <w:rFonts w:hint="eastAsia" w:ascii="楷体" w:hAnsi="楷体" w:eastAsia="楷体" w:cs="楷体"/>
          <w:b w:val="0"/>
          <w:bCs w:val="0"/>
          <w:szCs w:val="21"/>
          <w:u w:val="none"/>
          <w:lang w:val="en-US" w:eastAsia="zh-CN"/>
        </w:rPr>
      </w:pPr>
      <w:r>
        <w:rPr>
          <w:rFonts w:hint="eastAsia" w:ascii="楷体" w:hAnsi="楷体" w:eastAsia="楷体" w:cs="楷体"/>
          <w:b/>
          <w:bCs/>
          <w:szCs w:val="21"/>
          <w:u w:val="none"/>
          <w:lang w:val="en-US" w:eastAsia="zh-CN"/>
        </w:rPr>
        <w:t>4. 资产管理产品投资风</w:t>
      </w:r>
      <w:r>
        <w:rPr>
          <w:rFonts w:hint="eastAsia" w:ascii="楷体" w:hAnsi="楷体" w:eastAsia="楷体" w:cs="楷体"/>
          <w:b/>
          <w:bCs/>
          <w:spacing w:val="20"/>
          <w:sz w:val="21"/>
          <w:szCs w:val="21"/>
          <w:u w:val="none"/>
          <w:lang w:val="en-US" w:eastAsia="zh-CN"/>
        </w:rPr>
        <w:t>险：</w:t>
      </w:r>
      <w:r>
        <w:rPr>
          <w:rFonts w:hint="eastAsia" w:ascii="楷体" w:hAnsi="楷体" w:eastAsia="楷体" w:cs="楷体"/>
          <w:b w:val="0"/>
          <w:bCs w:val="0"/>
          <w:szCs w:val="21"/>
          <w:u w:val="none"/>
          <w:lang w:val="en-US" w:eastAsia="zh-CN"/>
        </w:rPr>
        <w:t xml:space="preserve">本理财产品投资其他资产管理产品，或通过其他资产管理产品投资时，可能因相关受托人违反法律法规和/或合同约定、未尽职或发生其他情形，造成本理财产品所投资的资产管理产品的财产损失，进而导致本理财产品收益下降甚至本金损失。 </w:t>
      </w:r>
    </w:p>
    <w:p>
      <w:pPr>
        <w:snapToGrid w:val="0"/>
        <w:spacing w:line="360" w:lineRule="auto"/>
        <w:ind w:firstLine="422" w:firstLineChars="200"/>
        <w:outlineLvl w:val="0"/>
        <w:rPr>
          <w:rFonts w:hint="eastAsia" w:ascii="楷体" w:hAnsi="楷体" w:eastAsia="楷体" w:cs="楷体"/>
          <w:b/>
          <w:bCs/>
          <w:szCs w:val="21"/>
          <w:u w:val="none"/>
        </w:rPr>
      </w:pPr>
      <w:r>
        <w:rPr>
          <w:rFonts w:hint="eastAsia" w:ascii="楷体" w:hAnsi="楷体" w:eastAsia="楷体" w:cs="楷体"/>
          <w:b/>
          <w:bCs/>
          <w:szCs w:val="21"/>
          <w:u w:val="none"/>
        </w:rPr>
        <w:t>二、客户提示</w:t>
      </w:r>
    </w:p>
    <w:p>
      <w:pPr>
        <w:snapToGrid w:val="0"/>
        <w:spacing w:line="360" w:lineRule="auto"/>
        <w:ind w:firstLine="413" w:firstLineChars="196"/>
        <w:rPr>
          <w:rFonts w:hint="eastAsia" w:ascii="楷体" w:hAnsi="楷体" w:eastAsia="楷体" w:cs="楷体"/>
          <w:b/>
          <w:bCs/>
          <w:color w:val="C00000"/>
          <w:szCs w:val="21"/>
          <w:u w:val="none"/>
        </w:rPr>
      </w:pPr>
      <w:r>
        <w:rPr>
          <w:rFonts w:hint="eastAsia" w:ascii="楷体" w:hAnsi="楷体" w:eastAsia="楷体" w:cs="楷体"/>
          <w:b/>
          <w:bCs/>
          <w:color w:val="C00000"/>
          <w:szCs w:val="21"/>
          <w:u w:val="none"/>
        </w:rPr>
        <w:t>（一）理财非存款、产品有风险、投资须谨慎。</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（二）</w:t>
      </w:r>
      <w:r>
        <w:rPr>
          <w:rFonts w:hint="eastAsia" w:ascii="楷体" w:hAnsi="楷体" w:eastAsia="楷体" w:cs="楷体"/>
          <w:b/>
          <w:bCs/>
          <w:color w:val="000000"/>
          <w:kern w:val="0"/>
          <w:szCs w:val="21"/>
          <w:u w:val="none"/>
        </w:rPr>
        <w:t>理财产品过往业绩不代表其未来表现，不等于理财产品实际收益。</w:t>
      </w:r>
    </w:p>
    <w:p>
      <w:pPr>
        <w:snapToGrid w:val="0"/>
        <w:spacing w:line="360" w:lineRule="auto"/>
        <w:ind w:firstLine="411" w:firstLineChars="196"/>
        <w:rPr>
          <w:rFonts w:hint="eastAsia" w:ascii="楷体" w:hAnsi="楷体" w:eastAsia="楷体" w:cs="楷体"/>
          <w:b w:val="0"/>
          <w:bCs w:val="0"/>
          <w:szCs w:val="21"/>
          <w:u w:val="none"/>
        </w:rPr>
      </w:pPr>
      <w:r>
        <w:rPr>
          <w:rFonts w:hint="eastAsia" w:ascii="楷体" w:hAnsi="楷体" w:eastAsia="楷体" w:cs="楷体"/>
          <w:b w:val="0"/>
          <w:bCs w:val="0"/>
          <w:szCs w:val="21"/>
          <w:u w:val="none"/>
        </w:rPr>
        <w:t>（三）请您在购买本理财产品前仔细阅读本理财产品</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风险揭示书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及</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代理销售</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投资协议书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和</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投资者</w:t>
      </w:r>
      <w:r>
        <w:rPr>
          <w:rFonts w:hint="eastAsia" w:ascii="楷体" w:hAnsi="楷体" w:eastAsia="楷体" w:cs="楷体"/>
          <w:b w:val="0"/>
          <w:bCs w:val="0"/>
          <w:szCs w:val="21"/>
          <w:u w:val="none"/>
        </w:rPr>
        <w:t>权益须知</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的全部内容，同时向上银理财有限责任公司（以下简称“管理人”）或销售机构了解本理财产品的其它相关信息，详细了解产品的具体情况，并独立作出是否购买本理财产品的决定。</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u w:val="none"/>
        </w:rPr>
        <w:t>（四）请您在购买本理财产品前进行客户风险承受能力评估，如影响您风险承受能力的因素发生变化，请及</w:t>
      </w:r>
      <w:r>
        <w:rPr>
          <w:rFonts w:hint="eastAsia" w:ascii="楷体" w:hAnsi="楷体" w:eastAsia="楷体" w:cs="楷体"/>
          <w:b/>
          <w:bCs/>
          <w:szCs w:val="21"/>
          <w:highlight w:val="none"/>
          <w:u w:val="none"/>
        </w:rPr>
        <w:t>时重新完成风险承受能力评估。</w:t>
      </w:r>
    </w:p>
    <w:p>
      <w:pPr>
        <w:snapToGrid w:val="0"/>
        <w:spacing w:line="360" w:lineRule="auto"/>
        <w:ind w:firstLine="413" w:firstLineChars="196"/>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（五）本理财产品为</w:t>
      </w:r>
      <w:r>
        <w:rPr>
          <w:rFonts w:hint="eastAsia" w:ascii="楷体" w:hAnsi="楷体" w:eastAsia="楷体" w:cs="楷体"/>
          <w:b/>
          <w:bCs/>
          <w:color w:val="auto"/>
          <w:szCs w:val="21"/>
          <w:highlight w:val="none"/>
          <w:u w:val="none"/>
        </w:rPr>
        <w:t>固定收益类</w:t>
      </w:r>
      <w:r>
        <w:rPr>
          <w:rFonts w:hint="eastAsia" w:ascii="楷体" w:hAnsi="楷体" w:eastAsia="楷体" w:cs="楷体"/>
          <w:b/>
          <w:bCs/>
          <w:szCs w:val="21"/>
          <w:highlight w:val="none"/>
          <w:u w:val="none"/>
        </w:rPr>
        <w:t>理财产品，</w:t>
      </w:r>
      <w:r>
        <w:rPr>
          <w:rFonts w:hint="eastAsia" w:ascii="楷体" w:hAnsi="楷体" w:eastAsia="楷体" w:cs="楷体"/>
          <w:b/>
          <w:bCs/>
          <w:color w:val="auto"/>
          <w:szCs w:val="21"/>
          <w:highlight w:val="none"/>
          <w:u w:val="none"/>
          <w:lang w:val="en-US" w:eastAsia="zh-CN"/>
        </w:rPr>
        <w:t>产品</w:t>
      </w:r>
      <w:r>
        <w:rPr>
          <w:rFonts w:hint="eastAsia" w:ascii="楷体" w:hAnsi="楷体" w:eastAsia="楷体" w:cs="楷体"/>
          <w:b/>
          <w:bCs/>
          <w:color w:val="auto"/>
          <w:szCs w:val="21"/>
          <w:highlight w:val="none"/>
          <w:u w:val="none"/>
        </w:rPr>
        <w:t>期限为</w:t>
      </w:r>
      <w:r>
        <w:rPr>
          <w:rFonts w:hint="eastAsia" w:ascii="楷体" w:hAnsi="楷体" w:eastAsia="楷体" w:cs="楷体"/>
          <w:b/>
          <w:bCs/>
          <w:color w:val="auto"/>
          <w:szCs w:val="21"/>
          <w:highlight w:val="none"/>
          <w:u w:val="none"/>
          <w:lang w:eastAsia="zh-CN"/>
        </w:rPr>
        <w:t>【10年】</w:t>
      </w:r>
      <w:r>
        <w:rPr>
          <w:rFonts w:hint="eastAsia" w:ascii="楷体" w:hAnsi="楷体" w:eastAsia="楷体" w:cs="楷体"/>
          <w:b/>
          <w:bCs/>
          <w:color w:val="auto"/>
          <w:szCs w:val="21"/>
          <w:highlight w:val="none"/>
          <w:u w:val="none"/>
        </w:rPr>
        <w:t>（实际</w:t>
      </w:r>
      <w:r>
        <w:rPr>
          <w:rFonts w:hint="eastAsia" w:ascii="楷体" w:hAnsi="楷体" w:eastAsia="楷体" w:cs="楷体"/>
          <w:b/>
          <w:bCs/>
          <w:szCs w:val="21"/>
          <w:highlight w:val="none"/>
          <w:u w:val="none"/>
        </w:rPr>
        <w:t>产品期限将受限于管理人提前终止条款，详见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）。本产品的产品风险评级为</w:t>
      </w:r>
      <w:r>
        <w:rPr>
          <w:rFonts w:hint="eastAsia" w:ascii="楷体" w:hAnsi="楷体" w:eastAsia="楷体" w:cs="楷体"/>
          <w:b/>
          <w:bCs/>
          <w:color w:val="C00000"/>
          <w:szCs w:val="21"/>
          <w:highlight w:val="none"/>
          <w:u w:val="none"/>
        </w:rPr>
        <w:t>中低风险产品（二级风险）</w:t>
      </w:r>
      <w:r>
        <w:rPr>
          <w:rFonts w:hint="eastAsia" w:ascii="楷体" w:hAnsi="楷体" w:eastAsia="楷体" w:cs="楷体"/>
          <w:b/>
          <w:bCs/>
          <w:szCs w:val="21"/>
          <w:highlight w:val="none"/>
          <w:u w:val="none"/>
        </w:rPr>
        <w:t>，本评级为上银理财内部评级，仅供参考，评级分类参见</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napToGrid w:val="0"/>
        <w:spacing w:line="360" w:lineRule="auto"/>
        <w:ind w:firstLine="411" w:firstLineChars="196"/>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本产品适合</w:t>
      </w:r>
      <w:r>
        <w:rPr>
          <w:rFonts w:hint="eastAsia" w:ascii="楷体" w:hAnsi="楷体" w:eastAsia="楷体" w:cs="楷体"/>
          <w:b w:val="0"/>
          <w:bCs w:val="0"/>
          <w:szCs w:val="21"/>
          <w:highlight w:val="none"/>
          <w:u w:val="none"/>
          <w:lang w:val="en-US" w:eastAsia="zh-CN"/>
        </w:rPr>
        <w:t>以下类型投资者：</w:t>
      </w:r>
    </w:p>
    <w:p>
      <w:pPr>
        <w:ind w:left="420" w:firstLine="420" w:firstLineChars="0"/>
        <w:rPr>
          <w:rFonts w:hint="eastAsia" w:ascii="楷体" w:hAnsi="楷体" w:eastAsia="楷体" w:cs="楷体"/>
          <w:b w:val="0"/>
          <w:bCs w:val="0"/>
          <w:color w:val="auto"/>
          <w:u w:val="none"/>
          <w:lang w:val="en-US" w:eastAsia="zh-CN"/>
        </w:rPr>
      </w:pPr>
      <w:bookmarkStart w:id="1" w:name="特殊字符1"/>
      <w:r>
        <w:rPr>
          <w:rFonts w:hint="eastAsia" w:ascii="Wingdings 2" w:hAnsi="Wingdings 2" w:eastAsia="Wingdings 2" w:cs="Wingdings 2"/>
          <w:b w:val="0"/>
          <w:bCs w:val="0"/>
          <w:color w:val="auto"/>
          <w:u w:val="none"/>
          <w:lang w:val="en-US" w:eastAsia="zh-CN"/>
        </w:rPr>
        <w:t>R</w:t>
      </w:r>
      <w:bookmarkEnd w:id="1"/>
      <w:r>
        <w:rPr>
          <w:rFonts w:hint="eastAsia" w:ascii="楷体" w:hAnsi="楷体" w:eastAsia="楷体" w:cs="楷体"/>
          <w:b w:val="0"/>
          <w:bCs w:val="0"/>
          <w:color w:val="auto"/>
          <w:u w:val="none"/>
          <w:lang w:val="en-US" w:eastAsia="zh-CN"/>
        </w:rPr>
        <w:t>【个人投资者】【（客户风险承受能力评级为稳健型,平衡型,成长型,进取型）】</w:t>
      </w:r>
    </w:p>
    <w:p>
      <w:pPr>
        <w:ind w:firstLine="840" w:firstLineChars="400"/>
        <w:rPr>
          <w:rFonts w:hint="eastAsia" w:ascii="楷体" w:hAnsi="楷体" w:eastAsia="楷体" w:cs="楷体"/>
        </w:rPr>
      </w:pPr>
      <w:bookmarkStart w:id="2" w:name="特殊字符2"/>
      <w:r>
        <w:rPr>
          <w:rFonts w:hint="eastAsia" w:ascii="Wingdings 2" w:hAnsi="Wingdings 2" w:eastAsia="Wingdings 2" w:cs="Wingdings 2"/>
          <w:b w:val="0"/>
          <w:bCs w:val="0"/>
          <w:color w:val="auto"/>
          <w:u w:val="none"/>
          <w:lang w:val="en-US" w:eastAsia="zh-CN"/>
        </w:rPr>
        <w:t>£</w:t>
      </w:r>
      <w:bookmarkEnd w:id="2"/>
      <w:r>
        <w:rPr>
          <w:rFonts w:hint="eastAsia" w:ascii="楷体" w:hAnsi="楷体" w:eastAsia="楷体" w:cs="楷体"/>
          <w:b w:val="0"/>
          <w:bCs w:val="0"/>
          <w:color w:val="auto"/>
          <w:u w:val="none"/>
          <w:lang w:val="en-US" w:eastAsia="zh-CN"/>
        </w:rPr>
        <w:t>【机构投资者】</w:t>
      </w:r>
    </w:p>
    <w:p>
      <w:pPr>
        <w:snapToGrid w:val="0"/>
        <w:spacing w:line="360" w:lineRule="auto"/>
        <w:ind w:firstLine="422" w:firstLineChars="200"/>
        <w:rPr>
          <w:rFonts w:hint="eastAsia" w:ascii="楷体" w:hAnsi="楷体" w:eastAsia="楷体" w:cs="楷体"/>
          <w:b/>
          <w:bCs/>
          <w:color w:val="auto"/>
          <w:szCs w:val="21"/>
          <w:u w:val="none"/>
        </w:rPr>
      </w:pPr>
      <w:r>
        <w:rPr>
          <w:rFonts w:hint="eastAsia" w:ascii="楷体" w:hAnsi="楷体" w:eastAsia="楷体" w:cs="楷体"/>
          <w:b/>
          <w:bCs/>
          <w:color w:val="auto"/>
          <w:szCs w:val="21"/>
          <w:highlight w:val="none"/>
          <w:u w:val="none"/>
        </w:rPr>
        <w:t>（六）本理财产品为</w:t>
      </w:r>
      <w:r>
        <w:rPr>
          <w:rFonts w:hint="eastAsia" w:ascii="楷体" w:hAnsi="楷体" w:eastAsia="楷体" w:cs="楷体"/>
          <w:b/>
          <w:bCs/>
          <w:color w:val="C00000"/>
          <w:szCs w:val="21"/>
          <w:highlight w:val="none"/>
          <w:u w:val="none"/>
        </w:rPr>
        <w:t>非保本浮动收益型</w:t>
      </w:r>
      <w:r>
        <w:rPr>
          <w:rFonts w:hint="eastAsia" w:ascii="楷体" w:hAnsi="楷体" w:eastAsia="楷体" w:cs="楷体"/>
          <w:b/>
          <w:bCs/>
          <w:color w:val="auto"/>
          <w:szCs w:val="21"/>
          <w:highlight w:val="none"/>
          <w:u w:val="none"/>
        </w:rPr>
        <w:t>理财产品，不保证本金和收益，您的本金可能会因市场变动及上述风险因素而蒙受损失，您应充分认识投资风险，谨慎投资</w:t>
      </w:r>
      <w:r>
        <w:rPr>
          <w:rFonts w:hint="eastAsia" w:ascii="楷体" w:hAnsi="楷体" w:eastAsia="楷体" w:cs="楷体"/>
          <w:b/>
          <w:bCs/>
          <w:color w:val="auto"/>
          <w:szCs w:val="21"/>
          <w:u w:val="none"/>
        </w:rPr>
        <w:t>。</w:t>
      </w:r>
    </w:p>
    <w:p>
      <w:pPr>
        <w:snapToGrid w:val="0"/>
        <w:spacing w:line="360" w:lineRule="auto"/>
        <w:ind w:firstLine="422" w:firstLineChars="200"/>
        <w:rPr>
          <w:rFonts w:hint="eastAsia" w:ascii="楷体" w:hAnsi="楷体" w:eastAsia="楷体" w:cs="楷体"/>
          <w:b/>
          <w:bCs/>
          <w:color w:val="000000"/>
          <w:kern w:val="0"/>
          <w:u w:val="none"/>
        </w:rPr>
      </w:pPr>
      <w:bookmarkStart w:id="3" w:name="OLE_LINK2"/>
      <w:r>
        <w:rPr>
          <w:rFonts w:hint="eastAsia" w:ascii="楷体" w:hAnsi="楷体" w:eastAsia="楷体" w:cs="楷体"/>
          <w:b/>
          <w:bCs/>
          <w:color w:val="auto"/>
          <w:kern w:val="0"/>
          <w:szCs w:val="21"/>
          <w:u w:val="none"/>
        </w:rPr>
        <w:t>（七）</w:t>
      </w:r>
      <w:bookmarkEnd w:id="3"/>
      <w:r>
        <w:rPr>
          <w:rFonts w:hint="eastAsia" w:ascii="楷体" w:hAnsi="楷体" w:eastAsia="楷体" w:cs="楷体"/>
          <w:b/>
          <w:bCs/>
          <w:color w:val="auto"/>
          <w:kern w:val="0"/>
          <w:szCs w:val="21"/>
          <w:u w:val="none"/>
        </w:rPr>
        <w:t>产品管理人在此特别披</w:t>
      </w:r>
      <w:r>
        <w:rPr>
          <w:rFonts w:hint="eastAsia" w:ascii="楷体" w:hAnsi="楷体" w:eastAsia="楷体" w:cs="楷体"/>
          <w:b/>
          <w:bCs/>
          <w:spacing w:val="23"/>
          <w:sz w:val="21"/>
          <w:szCs w:val="21"/>
          <w:u w:val="none"/>
        </w:rPr>
        <w:t>露：</w:t>
      </w:r>
      <w:r>
        <w:rPr>
          <w:rFonts w:hint="eastAsia" w:ascii="楷体" w:hAnsi="楷体" w:eastAsia="楷体" w:cs="楷体"/>
          <w:b/>
          <w:bCs/>
          <w:color w:val="auto"/>
          <w:szCs w:val="21"/>
          <w:u w:val="none"/>
          <w:lang w:val="en-US" w:eastAsia="zh-CN"/>
        </w:rPr>
        <w:t>【管理人委托上海银行股份有限公司（以下简称“上海银行”）作为本产品的销售机构及托管机构。管理人系由上海银行设立的全资理财子公司，因此，上海银行属于管理人的关联方。尽管管理人将严格遵守法律、行政法规和金融监管部门的规定对关联交易进行审批、备案并进行充分披露，不会以本理财产品与关联方进行不正当交易、利益输送等违反相关监管规定的行为，以尽力降低关联交易风险，但仍存在无法完全排除关联交易可能导致的不利影响和投资风险。】</w:t>
      </w:r>
    </w:p>
    <w:p>
      <w:pPr>
        <w:snapToGrid w:val="0"/>
        <w:spacing w:line="360" w:lineRule="auto"/>
        <w:ind w:firstLine="420" w:firstLineChars="200"/>
        <w:rPr>
          <w:rFonts w:hint="eastAsia" w:ascii="楷体" w:hAnsi="楷体" w:eastAsia="楷体" w:cs="楷体"/>
          <w:b w:val="0"/>
          <w:bCs w:val="0"/>
          <w:color w:val="000000"/>
          <w:kern w:val="0"/>
          <w:szCs w:val="21"/>
          <w:u w:val="none"/>
        </w:rPr>
      </w:pPr>
      <w:r>
        <w:rPr>
          <w:rFonts w:hint="eastAsia" w:ascii="楷体" w:hAnsi="楷体" w:eastAsia="楷体" w:cs="楷体"/>
          <w:b w:val="0"/>
          <w:bCs w:val="0"/>
          <w:color w:val="000000"/>
          <w:kern w:val="0"/>
          <w:szCs w:val="21"/>
          <w:u w:val="none"/>
        </w:rPr>
        <w:t>（八）在购买本理财产品后，请您随时关注本理财产品的信息披露情况，及时获取相关信息。</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九）本《风险揭示书》及相应《投资协议书》、《产品说明书》将共同构成贵我双方理财合同的有效组成部分，本《风险揭示书》中用语的定义与《产品说明书》中的用语定义一致。投资者签署上述合同文本并将资金委托给上银理财运作是投资者真实的意思表示，投资者已知悉并理解理财产品的全部风险，并自愿承担由此带来的一切后果。在您签署本理财产品相关协议前，请仔细阅读上述文件，并向管理人或销售机构了解理财产品具体情况，独立作出认购/申购决定。</w:t>
      </w:r>
    </w:p>
    <w:p>
      <w:pPr>
        <w:snapToGrid w:val="0"/>
        <w:spacing w:line="360" w:lineRule="auto"/>
        <w:ind w:firstLine="413" w:firstLineChars="196"/>
        <w:outlineLvl w:val="0"/>
        <w:rPr>
          <w:rFonts w:hint="eastAsia" w:ascii="楷体" w:hAnsi="楷体" w:eastAsia="楷体" w:cs="楷体"/>
          <w:b/>
          <w:bCs/>
          <w:szCs w:val="21"/>
          <w:u w:val="none"/>
        </w:rPr>
      </w:pPr>
      <w:r>
        <w:rPr>
          <w:rFonts w:hint="eastAsia" w:ascii="楷体" w:hAnsi="楷体" w:eastAsia="楷体" w:cs="楷体"/>
          <w:b/>
          <w:bCs/>
          <w:szCs w:val="21"/>
          <w:u w:val="none"/>
        </w:rPr>
        <w:t>三、最不利投资情形下风险示例</w:t>
      </w: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最不利投资情形风险指在非政策风险、不可抗力风险、客户违约、产品投资运作中出现风险等最不利的情况下，客户到期可兑付金额有可能为零。</w:t>
      </w:r>
    </w:p>
    <w:p>
      <w:pPr>
        <w:snapToGrid w:val="0"/>
        <w:spacing w:line="360" w:lineRule="auto"/>
        <w:ind w:firstLine="413" w:firstLineChars="196"/>
        <w:rPr>
          <w:rFonts w:hint="eastAsia" w:ascii="楷体" w:hAnsi="楷体" w:eastAsia="楷体" w:cs="楷体"/>
          <w:b/>
          <w:bCs/>
          <w:color w:val="auto"/>
          <w:kern w:val="0"/>
          <w:szCs w:val="21"/>
          <w:u w:val="none"/>
        </w:rPr>
      </w:pPr>
      <w:r>
        <w:rPr>
          <w:rFonts w:hint="eastAsia" w:ascii="楷体" w:hAnsi="楷体" w:eastAsia="楷体" w:cs="楷体"/>
          <w:b/>
          <w:bCs/>
          <w:color w:val="auto"/>
          <w:kern w:val="0"/>
          <w:szCs w:val="21"/>
          <w:u w:val="none"/>
        </w:rPr>
        <w:t>管理人郑重提示：在购买理财产品前，您应确保自己完全明白该项投资的性质和所涉及的风险，详细了解和审慎评估该理财产品的资金投资方向、风险类型及收益等基本情况，在慎重考虑后自行决定购买与自身风险承受能力和资产管理需求相匹配的理财产品。</w:t>
      </w:r>
    </w:p>
    <w:p>
      <w:pPr>
        <w:ind w:firstLine="0" w:firstLineChars="0"/>
        <w:jc w:val="right"/>
        <w:rPr>
          <w:rFonts w:hint="eastAsia" w:ascii="楷体" w:hAnsi="楷体" w:eastAsia="楷体" w:cs="楷体"/>
          <w:b/>
          <w:bCs/>
          <w:szCs w:val="21"/>
          <w:u w:val="none"/>
        </w:rPr>
      </w:pPr>
    </w:p>
    <w:p>
      <w:pPr>
        <w:jc w:val="right"/>
        <w:outlineLvl w:val="9"/>
        <w:rPr>
          <w:rFonts w:hint="eastAsia" w:ascii="楷体" w:hAnsi="楷体" w:eastAsia="楷体" w:cs="楷体"/>
          <w:b/>
          <w:bCs/>
          <w:szCs w:val="21"/>
          <w:u w:val="none"/>
        </w:rPr>
      </w:pPr>
      <w:r>
        <w:rPr>
          <w:rFonts w:hint="eastAsia" w:ascii="楷体" w:hAnsi="楷体" w:eastAsia="楷体" w:cs="楷体"/>
          <w:b/>
          <w:bCs/>
          <w:szCs w:val="21"/>
          <w:u w:val="none"/>
        </w:rPr>
        <w:t>提示方：上银理财有限责任公司</w:t>
      </w:r>
    </w:p>
    <w:p>
      <w:pPr>
        <w:rPr>
          <w:rFonts w:hint="eastAsia" w:ascii="楷体_GB2312" w:hAnsi="宋体" w:eastAsia="楷体_GB2312"/>
          <w:b/>
          <w:bCs/>
          <w:szCs w:val="21"/>
          <w:u w:val="none"/>
        </w:rPr>
      </w:pPr>
      <w:r>
        <w:rPr>
          <w:rFonts w:hint="eastAsia" w:ascii="楷体_GB2312" w:hAnsi="宋体" w:eastAsia="楷体_GB2312"/>
          <w:b/>
          <w:bCs/>
          <w:szCs w:val="21"/>
          <w:u w:val="none"/>
        </w:rPr>
        <w:br w:type="page"/>
      </w:r>
    </w:p>
    <w:p>
      <w:pPr>
        <w:ind w:firstLine="422" w:firstLineChars="200"/>
        <w:jc w:val="center"/>
        <w:outlineLvl w:val="0"/>
        <w:rPr>
          <w:rFonts w:ascii="楷体" w:hAnsi="楷体" w:eastAsia="楷体"/>
          <w:b/>
          <w:bCs/>
          <w:u w:val="none"/>
        </w:rPr>
      </w:pPr>
      <w:r>
        <w:rPr>
          <w:rFonts w:hint="eastAsia" w:ascii="楷体" w:hAnsi="楷体" w:eastAsia="楷体"/>
          <w:b/>
          <w:bCs/>
          <w:u w:val="none"/>
        </w:rPr>
        <w:t>客户确认栏</w:t>
      </w:r>
    </w:p>
    <w:p>
      <w:pPr>
        <w:ind w:firstLine="422" w:firstLineChars="200"/>
        <w:rPr>
          <w:rFonts w:ascii="楷体" w:hAnsi="楷体" w:eastAsia="楷体"/>
          <w:b/>
          <w:bCs/>
          <w:u w:val="none"/>
        </w:rPr>
      </w:pPr>
    </w:p>
    <w:p>
      <w:pPr>
        <w:snapToGrid w:val="0"/>
        <w:spacing w:line="360" w:lineRule="auto"/>
        <w:ind w:firstLine="413" w:firstLineChars="196"/>
        <w:rPr>
          <w:rFonts w:hint="eastAsia" w:ascii="楷体" w:hAnsi="楷体" w:eastAsia="楷体" w:cs="楷体"/>
          <w:b/>
          <w:bCs/>
          <w:szCs w:val="21"/>
          <w:u w:val="none"/>
        </w:rPr>
      </w:pPr>
      <w:r>
        <w:rPr>
          <w:rFonts w:hint="eastAsia" w:ascii="楷体" w:hAnsi="楷体" w:eastAsia="楷体" w:cs="楷体"/>
          <w:b/>
          <w:bCs/>
          <w:szCs w:val="21"/>
          <w:u w:val="none"/>
        </w:rPr>
        <w:t>本人/本机构确认本理财产品完全适合本人/本机构的投资目标，投资预期以及风险承受能力及投资经验。本人/本机构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机构及理财产品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本人/本机构确认销售机构相关业务人员对于说明书中有关免除、限制管理人责任的条款，和管理人单方面拥有某些权利的条款已向本人/本机构予以说明。</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本人/本机构</w:t>
      </w:r>
      <w:r>
        <w:rPr>
          <w:rFonts w:ascii="楷体" w:hAnsi="楷体" w:eastAsia="楷体"/>
          <w:b/>
          <w:bCs/>
          <w:u w:val="none"/>
        </w:rPr>
        <w:t>同时</w:t>
      </w:r>
      <w:r>
        <w:rPr>
          <w:rFonts w:hint="eastAsia" w:ascii="楷体" w:hAnsi="楷体" w:eastAsia="楷体"/>
          <w:b/>
          <w:bCs/>
          <w:u w:val="none"/>
        </w:rPr>
        <w:t>确认如下：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※客户风险承受能力评级：（必须由客户填写）</w:t>
      </w:r>
    </w:p>
    <w:p>
      <w:pPr>
        <w:ind w:firstLine="422" w:firstLineChars="200"/>
        <w:rPr>
          <w:rFonts w:ascii="楷体" w:hAnsi="楷体" w:eastAsia="楷体"/>
          <w:b/>
          <w:bCs/>
          <w:u w:val="none"/>
        </w:rPr>
      </w:pPr>
      <w:r>
        <w:rPr>
          <w:rFonts w:hint="eastAsia" w:ascii="楷体" w:hAnsi="楷体" w:eastAsia="楷体"/>
          <w:b/>
          <w:bCs/>
          <w:u w:val="single"/>
        </w:rPr>
        <w:t xml:space="preserve">                              </w:t>
      </w:r>
      <w:r>
        <w:rPr>
          <w:rFonts w:hint="eastAsia" w:ascii="楷体" w:hAnsi="楷体" w:eastAsia="楷体"/>
          <w:b/>
          <w:bCs/>
          <w:u w:val="none"/>
        </w:rPr>
        <w:t>（保守型 / 稳健型 / 平衡型 / 成长型 / 进取型）</w:t>
      </w:r>
    </w:p>
    <w:p>
      <w:pPr>
        <w:ind w:firstLine="422" w:firstLineChars="200"/>
        <w:rPr>
          <w:rFonts w:ascii="楷体" w:hAnsi="楷体" w:eastAsia="楷体"/>
          <w:b/>
          <w:bCs/>
          <w:u w:val="none"/>
        </w:rPr>
      </w:pPr>
    </w:p>
    <w:p>
      <w:pPr>
        <w:ind w:firstLine="422" w:firstLineChars="200"/>
        <w:rPr>
          <w:rFonts w:ascii="楷体" w:hAnsi="楷体" w:eastAsia="楷体"/>
          <w:b/>
          <w:bCs/>
          <w:u w:val="none"/>
        </w:rPr>
      </w:pPr>
      <w:r>
        <w:rPr>
          <w:rFonts w:hint="eastAsia" w:ascii="楷体" w:hAnsi="楷体" w:eastAsia="楷体"/>
          <w:b/>
          <w:bCs/>
          <w:u w:val="none"/>
        </w:rPr>
        <w:t>※客户声明并抄录以下内容：</w:t>
      </w:r>
    </w:p>
    <w:p>
      <w:pPr>
        <w:ind w:firstLine="422" w:firstLineChars="200"/>
        <w:rPr>
          <w:rFonts w:ascii="楷体" w:hAnsi="楷体" w:eastAsia="楷体"/>
          <w:b/>
          <w:bCs/>
          <w:u w:val="none"/>
        </w:rPr>
      </w:pPr>
      <w:r>
        <w:rPr>
          <w:rFonts w:hint="eastAsia" w:ascii="楷体" w:hAnsi="楷体" w:eastAsia="楷体"/>
          <w:b/>
          <w:bCs/>
          <w:u w:val="none"/>
        </w:rPr>
        <w:t>“本人/本机构已经阅读风险揭示，充分了解并清楚知晓</w:t>
      </w:r>
      <w:r>
        <w:rPr>
          <w:rFonts w:ascii="楷体" w:hAnsi="楷体" w:eastAsia="楷体"/>
          <w:b/>
          <w:bCs/>
          <w:u w:val="none"/>
        </w:rPr>
        <w:t>本理财</w:t>
      </w:r>
      <w:r>
        <w:rPr>
          <w:rFonts w:hint="eastAsia" w:ascii="楷体" w:hAnsi="楷体" w:eastAsia="楷体"/>
          <w:b/>
          <w:bCs/>
          <w:u w:val="none"/>
        </w:rPr>
        <w:t>产品</w:t>
      </w:r>
      <w:r>
        <w:rPr>
          <w:rFonts w:ascii="楷体" w:hAnsi="楷体" w:eastAsia="楷体"/>
          <w:b/>
          <w:bCs/>
          <w:u w:val="none"/>
        </w:rPr>
        <w:t>的风险</w:t>
      </w:r>
      <w:r>
        <w:rPr>
          <w:rFonts w:hint="eastAsia" w:ascii="楷体" w:hAnsi="楷体" w:eastAsia="楷体"/>
          <w:b/>
          <w:bCs/>
          <w:u w:val="none"/>
        </w:rPr>
        <w:t>，愿意承担投资风险。”</w:t>
      </w:r>
    </w:p>
    <w:p>
      <w:pPr>
        <w:ind w:firstLine="422" w:firstLineChars="200"/>
        <w:rPr>
          <w:rFonts w:ascii="楷体" w:hAnsi="楷体" w:eastAsia="楷体"/>
          <w:b/>
          <w:bCs/>
          <w:u w:val="single"/>
        </w:rPr>
      </w:pPr>
      <w:r>
        <w:rPr>
          <w:rFonts w:hint="eastAsia" w:ascii="楷体" w:hAnsi="楷体" w:eastAsia="楷体"/>
          <w:b/>
          <w:bCs/>
          <w:u w:val="single"/>
        </w:rPr>
        <w:t xml:space="preserve">                                                                           </w:t>
      </w:r>
    </w:p>
    <w:p>
      <w:pPr>
        <w:rPr>
          <w:rFonts w:ascii="楷体" w:hAnsi="楷体" w:eastAsia="楷体"/>
          <w:b/>
          <w:bCs/>
          <w:u w:val="single"/>
        </w:rPr>
      </w:pPr>
      <w:r>
        <w:rPr>
          <w:rFonts w:hint="eastAsia" w:ascii="楷体" w:hAnsi="楷体" w:eastAsia="楷体"/>
          <w:b/>
          <w:bCs/>
          <w:u w:val="single"/>
        </w:rPr>
        <w:t xml:space="preserve">                                                                               </w:t>
      </w:r>
    </w:p>
    <w:p>
      <w:pPr>
        <w:ind w:firstLine="422" w:firstLineChars="200"/>
        <w:rPr>
          <w:rFonts w:ascii="楷体" w:hAnsi="楷体" w:eastAsia="楷体"/>
          <w:b/>
          <w:bCs/>
          <w:u w:val="none"/>
        </w:rPr>
      </w:pPr>
    </w:p>
    <w:p>
      <w:pPr>
        <w:rPr>
          <w:u w:val="none"/>
        </w:rPr>
      </w:pPr>
      <w:r>
        <w:rPr>
          <w:rFonts w:hint="eastAsia" w:ascii="楷体" w:hAnsi="楷体" w:eastAsia="楷体"/>
          <w:b/>
          <w:bCs/>
          <w:u w:val="none"/>
        </w:rPr>
        <w:t>确认人（签字</w:t>
      </w:r>
      <w:r>
        <w:rPr>
          <w:rFonts w:hint="eastAsia" w:ascii="楷体" w:hAnsi="楷体" w:eastAsia="楷体"/>
          <w:b/>
          <w:bCs/>
          <w:u w:val="none"/>
          <w:lang w:val="en-US" w:eastAsia="zh-CN"/>
        </w:rPr>
        <w:t>/签章</w:t>
      </w:r>
      <w:r>
        <w:rPr>
          <w:rFonts w:hint="eastAsia" w:ascii="楷体" w:hAnsi="楷体" w:eastAsia="楷体"/>
          <w:b/>
          <w:bCs/>
          <w:u w:val="none"/>
        </w:rPr>
        <w:t>）：</w:t>
      </w:r>
      <w:r>
        <w:rPr>
          <w:rFonts w:hint="eastAsia" w:ascii="楷体" w:hAnsi="楷体" w:eastAsia="楷体"/>
          <w:b/>
          <w:bCs/>
          <w:u w:val="single"/>
        </w:rPr>
        <w:t xml:space="preserve">                       </w:t>
      </w:r>
      <w:r>
        <w:rPr>
          <w:rFonts w:hint="eastAsia" w:ascii="楷体" w:hAnsi="楷体" w:eastAsia="楷体"/>
          <w:b/>
          <w:bCs/>
          <w:u w:val="none"/>
        </w:rPr>
        <w:t xml:space="preserve">      日期：</w:t>
      </w:r>
      <w:r>
        <w:rPr>
          <w:rFonts w:hint="eastAsia" w:ascii="楷体" w:hAnsi="楷体" w:eastAsia="楷体"/>
          <w:b/>
          <w:bCs/>
          <w:u w:val="single"/>
        </w:rPr>
        <w:t xml:space="preserve">     </w:t>
      </w:r>
      <w:r>
        <w:rPr>
          <w:rFonts w:hint="eastAsia" w:ascii="楷体" w:hAnsi="楷体" w:eastAsia="楷体"/>
          <w:b/>
          <w:bCs/>
          <w:u w:val="none"/>
        </w:rPr>
        <w:t>年</w:t>
      </w:r>
      <w:r>
        <w:rPr>
          <w:rFonts w:hint="eastAsia" w:ascii="楷体" w:hAnsi="楷体" w:eastAsia="楷体"/>
          <w:b/>
          <w:bCs/>
          <w:u w:val="single"/>
        </w:rPr>
        <w:t xml:space="preserve">     </w:t>
      </w:r>
      <w:r>
        <w:rPr>
          <w:rFonts w:hint="eastAsia" w:ascii="楷体" w:hAnsi="楷体" w:eastAsia="楷体"/>
          <w:b/>
          <w:bCs/>
          <w:u w:val="none"/>
        </w:rPr>
        <w:t>月</w:t>
      </w:r>
      <w:r>
        <w:rPr>
          <w:rFonts w:hint="eastAsia" w:ascii="楷体" w:hAnsi="楷体" w:eastAsia="楷体"/>
          <w:b/>
          <w:bCs/>
          <w:u w:val="single"/>
        </w:rPr>
        <w:t xml:space="preserve">     </w:t>
      </w:r>
      <w:r>
        <w:rPr>
          <w:rFonts w:hint="eastAsia" w:ascii="楷体" w:hAnsi="楷体" w:eastAsia="楷体"/>
          <w:b/>
          <w:bCs/>
          <w:u w:val="none"/>
        </w:rPr>
        <w:t>日</w:t>
      </w:r>
    </w:p>
    <w:p>
      <w:pPr>
        <w:ind w:firstLine="0" w:firstLineChars="0"/>
        <w:rPr>
          <w:rFonts w:hint="eastAsia" w:ascii="楷体_GB2312" w:hAnsi="宋体" w:eastAsia="楷体_GB2312"/>
          <w:b/>
          <w:bCs/>
          <w:szCs w:val="21"/>
          <w:u w:val="none"/>
        </w:rPr>
      </w:pPr>
    </w:p>
    <w:p/>
    <w:p/>
    <w:p>
      <w:pPr>
        <w:ind w:firstLine="0" w:firstLineChars="0"/>
        <w:rPr>
          <w:rFonts w:hint="eastAsia" w:ascii="楷体_GB2312" w:hAnsi="宋体" w:eastAsia="楷体_GB2312"/>
          <w:b/>
          <w:bCs/>
          <w:szCs w:val="21"/>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ind w:firstLine="0" w:firstLineChars="0"/>
        <w:rPr>
          <w:rFonts w:hint="eastAsia" w:ascii="楷体_GB2312" w:hAnsi="宋体" w:eastAsia="楷体_GB2312"/>
          <w:b/>
          <w:bCs/>
          <w:szCs w:val="21"/>
          <w:u w:val="none"/>
        </w:rPr>
      </w:pPr>
    </w:p>
    <w:p/>
    <w:p>
      <w:pPr>
        <w:ind w:firstLine="422" w:firstLineChars="200"/>
        <w:rPr>
          <w:rFonts w:ascii="楷体" w:hAnsi="楷体" w:eastAsia="楷体"/>
          <w:b/>
          <w:bCs/>
        </w:rPr>
      </w:pPr>
    </w:p>
    <w:p/>
    <w:p>
      <w:pPr>
        <w:rPr>
          <w:rFonts w:hint="eastAsia" w:ascii="黑体" w:hAnsi="黑体" w:eastAsia="黑体" w:cs="Arial"/>
          <w:b/>
          <w:bCs/>
          <w:sz w:val="28"/>
          <w:szCs w:val="28"/>
        </w:rPr>
      </w:pPr>
    </w:p>
    <w:p>
      <w:pPr>
        <w:outlineLvl w:val="0"/>
        <w:rPr>
          <w:rFonts w:ascii="黑体" w:hAnsi="黑体" w:eastAsia="黑体" w:cs="Arial"/>
          <w:b/>
          <w:bCs/>
          <w:sz w:val="28"/>
          <w:szCs w:val="28"/>
          <w:u w:val="none"/>
        </w:rPr>
      </w:pPr>
      <w:r>
        <w:rPr>
          <w:rFonts w:hint="eastAsia" w:ascii="黑体" w:hAnsi="黑体" w:eastAsia="黑体" w:cs="Arial"/>
          <w:b/>
          <w:bCs/>
          <w:sz w:val="28"/>
          <w:szCs w:val="28"/>
          <w:u w:val="none"/>
        </w:rPr>
        <w:t>上银理财                 理财非存款、产品有风险、投资须谨慎</w:t>
      </w:r>
    </w:p>
    <w:p>
      <w:pPr>
        <w:rPr>
          <w:rFonts w:ascii="黑体" w:hAnsi="黑体" w:eastAsia="黑体" w:cs="Arial"/>
          <w:b/>
          <w:bCs/>
          <w:sz w:val="20"/>
          <w:szCs w:val="20"/>
          <w:u w:val="none"/>
        </w:rPr>
      </w:pPr>
      <w:r>
        <w:rPr>
          <w:sz w:val="20"/>
          <w:u w:val="none"/>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41910</wp:posOffset>
                </wp:positionV>
                <wp:extent cx="5254625" cy="0"/>
                <wp:effectExtent l="0" t="6350" r="3175" b="6350"/>
                <wp:wrapNone/>
                <wp:docPr id="2" name="直接连接符 2"/>
                <wp:cNvGraphicFramePr/>
                <a:graphic xmlns:a="http://schemas.openxmlformats.org/drawingml/2006/main">
                  <a:graphicData uri="http://schemas.microsoft.com/office/word/2010/wordprocessingShape">
                    <wps:wsp>
                      <wps:cNvCnPr/>
                      <wps:spPr>
                        <a:xfrm>
                          <a:off x="1152525" y="1352550"/>
                          <a:ext cx="525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75pt;margin-top:3.3pt;height:0pt;width:413.75pt;z-index:251659264;mso-width-relative:page;mso-height-relative:page;" filled="f" stroked="t" coordsize="21600,21600" o:gfxdata="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POViXU&#10;AAAABQEAAA8AAAAAAAAAAQAgAAAAIgAAAGRycy9kb3ducmV2LnhtbFBLAQIUABQAAAAIAIdO4kCD&#10;lrwu6wEAAL4DAAAOAAAAAAAAAAEAIAAAACMBAABkcnMvZTJvRG9jLnhtbFBLBQYAAAAABgAGAFkB&#10;AACABQAAAAA=&#10;">
                <v:fill on="f" focussize="0,0"/>
                <v:stroke weight="1pt" color="#000000 [3200]" miterlimit="8" joinstyle="miter"/>
                <v:imagedata o:title=""/>
                <o:lock v:ext="edit" aspectratio="f"/>
              </v:line>
            </w:pict>
          </mc:Fallback>
        </mc:AlternateContent>
      </w: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rPr>
          <w:rFonts w:ascii="黑体" w:hAnsi="黑体" w:eastAsia="黑体" w:cs="Arial"/>
          <w:b/>
          <w:bCs/>
          <w:sz w:val="20"/>
          <w:szCs w:val="20"/>
          <w:u w:val="none"/>
        </w:rPr>
      </w:pPr>
    </w:p>
    <w:p>
      <w:pPr>
        <w:spacing w:line="720" w:lineRule="auto"/>
        <w:jc w:val="center"/>
        <w:rPr>
          <w:rFonts w:ascii="黑体" w:hAnsi="黑体" w:eastAsia="黑体" w:cs="Arial"/>
          <w:b/>
          <w:bCs/>
          <w:color w:val="000000" w:themeColor="text1"/>
          <w:sz w:val="44"/>
          <w:szCs w:val="44"/>
          <w14:textFill>
            <w14:solidFill>
              <w14:schemeClr w14:val="tx1"/>
            </w14:solidFill>
          </w14:textFill>
        </w:rPr>
      </w:pPr>
      <w:r>
        <w:rPr>
          <w:rFonts w:hint="eastAsia" w:ascii="黑体" w:hAnsi="黑体" w:eastAsia="黑体" w:cs="Arial"/>
          <w:b/>
          <w:bCs/>
          <w:color w:val="000000" w:themeColor="text1"/>
          <w:sz w:val="44"/>
          <w:szCs w:val="44"/>
          <w14:textFill>
            <w14:solidFill>
              <w14:schemeClr w14:val="tx1"/>
            </w14:solidFill>
          </w14:textFill>
        </w:rPr>
        <w:t>【上银理财“易享利”系列开放式(3个月持有期)理财产品WPEK24M0308期】</w:t>
      </w:r>
    </w:p>
    <w:p>
      <w:pPr>
        <w:spacing w:line="720" w:lineRule="auto"/>
        <w:jc w:val="center"/>
        <w:outlineLvl w:val="0"/>
        <w:rPr>
          <w:rFonts w:ascii="黑体" w:hAnsi="黑体" w:eastAsia="黑体" w:cs="Arial"/>
          <w:b/>
          <w:bCs/>
          <w:sz w:val="44"/>
          <w:szCs w:val="44"/>
          <w:u w:val="none"/>
        </w:rPr>
      </w:pPr>
      <w:r>
        <w:rPr>
          <w:rFonts w:hint="eastAsia" w:ascii="黑体" w:hAnsi="黑体" w:eastAsia="黑体" w:cs="Arial"/>
          <w:b/>
          <w:bCs/>
          <w:sz w:val="44"/>
          <w:szCs w:val="44"/>
          <w:u w:val="none"/>
        </w:rPr>
        <w:t>产品说明书</w:t>
      </w: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jc w:val="center"/>
        <w:rPr>
          <w:rFonts w:ascii="黑体" w:hAnsi="黑体" w:eastAsia="黑体" w:cs="Arial"/>
          <w:b/>
          <w:bCs/>
          <w:sz w:val="20"/>
          <w:szCs w:val="20"/>
          <w:u w:val="none"/>
        </w:rPr>
      </w:pPr>
    </w:p>
    <w:p>
      <w:pPr>
        <w:spacing w:line="360" w:lineRule="auto"/>
        <w:jc w:val="center"/>
        <w:outlineLvl w:val="0"/>
        <w:rPr>
          <w:rFonts w:ascii="黑体" w:hAnsi="黑体" w:eastAsia="黑体" w:cs="Arial"/>
          <w:b/>
          <w:bCs/>
          <w:sz w:val="24"/>
          <w:szCs w:val="24"/>
          <w:u w:val="none"/>
        </w:rPr>
      </w:pPr>
      <w:r>
        <w:rPr>
          <w:rFonts w:hint="eastAsia" w:ascii="黑体" w:hAnsi="黑体" w:eastAsia="黑体" w:cs="Arial"/>
          <w:b/>
          <w:bCs/>
          <w:sz w:val="24"/>
          <w:szCs w:val="24"/>
          <w:u w:val="none"/>
        </w:rPr>
        <w:t>理财产品管理人：上银理财有限责任公司</w:t>
      </w:r>
    </w:p>
    <w:p>
      <w:pPr>
        <w:spacing w:line="360" w:lineRule="auto"/>
        <w:jc w:val="center"/>
        <w:outlineLvl w:val="0"/>
        <w:rPr>
          <w:rFonts w:hint="eastAsia" w:ascii="黑体" w:hAnsi="黑体" w:eastAsia="黑体" w:cs="Arial"/>
          <w:b/>
          <w:bCs/>
          <w:sz w:val="24"/>
          <w:szCs w:val="24"/>
          <w:u w:val="none"/>
          <w:lang w:val="en-US" w:eastAsia="zh-CN"/>
        </w:rPr>
      </w:pPr>
      <w:r>
        <w:rPr>
          <w:rFonts w:hint="eastAsia" w:ascii="黑体" w:hAnsi="黑体" w:eastAsia="黑体" w:cs="Arial"/>
          <w:b/>
          <w:bCs/>
          <w:sz w:val="24"/>
          <w:szCs w:val="24"/>
          <w:u w:val="none"/>
        </w:rPr>
        <w:t>理财产品托管人：</w:t>
      </w:r>
      <w:r>
        <w:rPr>
          <w:rFonts w:hint="eastAsia" w:ascii="黑体" w:hAnsi="黑体" w:eastAsia="黑体" w:cs="Arial"/>
          <w:b/>
          <w:bCs/>
          <w:color w:val="000000" w:themeColor="text1"/>
          <w:sz w:val="24"/>
          <w:szCs w:val="24"/>
          <w14:textFill>
            <w14:solidFill>
              <w14:schemeClr w14:val="tx1"/>
            </w14:solidFill>
          </w14:textFill>
        </w:rPr>
        <w:t>【上海银行股份有限公司】</w:t>
      </w:r>
    </w:p>
    <w:p>
      <w:pPr>
        <w:tabs>
          <w:tab w:val="left" w:pos="630"/>
        </w:tabs>
        <w:rPr>
          <w:rFonts w:hint="eastAsia" w:ascii="黑体" w:hAnsi="黑体" w:eastAsia="黑体" w:cs="Arial"/>
          <w:b/>
          <w:bCs/>
          <w:sz w:val="20"/>
          <w:szCs w:val="20"/>
          <w:u w:val="none"/>
        </w:rPr>
      </w:pPr>
    </w:p>
    <w:p>
      <w:pPr>
        <w:rPr>
          <w:rFonts w:hint="eastAsia" w:ascii="黑体" w:hAnsi="黑体" w:eastAsia="黑体" w:cs="Arial"/>
          <w:b/>
          <w:bCs/>
          <w:sz w:val="20"/>
          <w:szCs w:val="20"/>
          <w:u w:val="none"/>
        </w:rPr>
      </w:pPr>
      <w:r>
        <w:rPr>
          <w:rFonts w:hint="eastAsia" w:ascii="黑体" w:hAnsi="黑体" w:eastAsia="黑体" w:cs="Arial"/>
          <w:b/>
          <w:bCs/>
          <w:sz w:val="20"/>
          <w:szCs w:val="20"/>
          <w:u w:val="none"/>
        </w:rPr>
        <w:br w:type="page"/>
      </w:r>
    </w:p>
    <w:p>
      <w:pPr>
        <w:tabs>
          <w:tab w:val="left" w:pos="630"/>
        </w:tabs>
        <w:rPr>
          <w:rFonts w:ascii="黑体" w:hAnsi="黑体" w:eastAsia="黑体" w:cs="Arial"/>
          <w:b/>
          <w:bCs/>
          <w:sz w:val="20"/>
          <w:szCs w:val="20"/>
        </w:rPr>
      </w:pPr>
      <w:r>
        <w:rPr>
          <w:rFonts w:hint="eastAsia" w:ascii="黑体" w:hAnsi="黑体" w:eastAsia="黑体" w:cs="Arial"/>
          <w:b/>
          <w:bCs/>
          <w:sz w:val="20"/>
          <w:szCs w:val="20"/>
          <w:highlight w:val="none"/>
          <w:u w:val="none"/>
        </w:rPr>
        <w:t>产品登记编码：</w:t>
      </w:r>
      <w:r>
        <w:rPr>
          <w:rFonts w:hint="eastAsia" w:ascii="黑体" w:hAnsi="黑体" w:eastAsia="黑体" w:cs="Arial"/>
          <w:b/>
          <w:bCs/>
          <w:sz w:val="20"/>
          <w:szCs w:val="20"/>
          <w:lang w:eastAsia="zh-CN"/>
        </w:rPr>
        <w:t>【Z7007124000362】</w:t>
      </w:r>
      <w:r>
        <w:rPr>
          <w:rFonts w:ascii="黑体" w:hAnsi="黑体" w:eastAsia="黑体" w:cs="Arial"/>
          <w:b/>
          <w:bCs/>
          <w:sz w:val="20"/>
          <w:szCs w:val="20"/>
          <w:highlight w:val="none"/>
          <w:u w:val="none"/>
        </w:rPr>
        <w:t xml:space="preserve">                               </w:t>
      </w:r>
      <w:r>
        <w:rPr>
          <w:rFonts w:hint="eastAsia" w:ascii="黑体" w:hAnsi="黑体" w:eastAsia="黑体" w:cs="Arial"/>
          <w:b/>
          <w:bCs/>
          <w:sz w:val="20"/>
          <w:szCs w:val="20"/>
          <w:highlight w:val="none"/>
          <w:u w:val="none"/>
        </w:rPr>
        <w:t>版本号：</w:t>
      </w:r>
      <w:r>
        <w:rPr>
          <w:rFonts w:hint="eastAsia" w:ascii="黑体" w:hAnsi="黑体" w:eastAsia="黑体" w:cs="Arial"/>
          <w:b/>
          <w:bCs/>
          <w:sz w:val="20"/>
          <w:szCs w:val="20"/>
          <w:lang w:eastAsia="zh-CN"/>
        </w:rPr>
        <w:t>【2024.01】</w:t>
      </w:r>
    </w:p>
    <w:p>
      <w:pPr>
        <w:snapToGrid w:val="0"/>
        <w:spacing w:line="360" w:lineRule="auto"/>
        <w:jc w:val="center"/>
        <w:rPr>
          <w:rFonts w:ascii="楷体_GB2312" w:hAnsi="宋体" w:eastAsia="楷体_GB2312"/>
          <w:b/>
          <w:bCs/>
          <w:sz w:val="30"/>
          <w:szCs w:val="30"/>
          <w:u w:val="none"/>
        </w:rPr>
      </w:pPr>
    </w:p>
    <w:p>
      <w:pPr>
        <w:pStyle w:val="2"/>
        <w:spacing w:line="360" w:lineRule="auto"/>
        <w:ind w:firstLine="720"/>
        <w:jc w:val="center"/>
        <w:rPr>
          <w:rFonts w:hint="eastAsia" w:ascii="黑体" w:hAnsi="黑体" w:eastAsia="黑体" w:cs="黑体"/>
          <w:b/>
          <w:bCs/>
          <w:kern w:val="44"/>
          <w:sz w:val="36"/>
          <w:szCs w:val="36"/>
          <w:u w:val="none"/>
          <w:lang w:eastAsia="zh-CN"/>
        </w:rPr>
      </w:pPr>
      <w:r>
        <w:rPr>
          <w:rFonts w:hint="eastAsia" w:ascii="黑体" w:hAnsi="黑体" w:eastAsia="黑体" w:cs="黑体"/>
          <w:b/>
          <w:bCs/>
          <w:kern w:val="44"/>
          <w:sz w:val="36"/>
          <w:szCs w:val="36"/>
          <w:u w:val="none"/>
          <w:lang w:eastAsia="zh-CN"/>
        </w:rPr>
        <w:t>【上银理财“易享利”系列开放式(3个月持有期)理财产品WPEK24M0308期】</w:t>
      </w:r>
    </w:p>
    <w:p>
      <w:pPr>
        <w:pStyle w:val="2"/>
        <w:spacing w:line="360" w:lineRule="auto"/>
        <w:ind w:firstLine="720"/>
        <w:jc w:val="center"/>
        <w:rPr>
          <w:rFonts w:hint="eastAsia" w:ascii="黑体" w:hAnsi="黑体" w:eastAsia="黑体" w:cs="黑体"/>
          <w:b/>
          <w:bCs/>
          <w:kern w:val="44"/>
          <w:sz w:val="36"/>
          <w:szCs w:val="36"/>
          <w:u w:val="none"/>
        </w:rPr>
      </w:pPr>
      <w:r>
        <w:rPr>
          <w:rFonts w:hint="eastAsia" w:ascii="黑体" w:hAnsi="黑体" w:eastAsia="黑体" w:cs="黑体"/>
          <w:b/>
          <w:bCs/>
          <w:kern w:val="44"/>
          <w:sz w:val="36"/>
          <w:szCs w:val="36"/>
          <w:u w:val="none"/>
          <w:lang w:val="en-US" w:eastAsia="zh-CN"/>
        </w:rPr>
        <w:t>产品</w:t>
      </w:r>
      <w:r>
        <w:rPr>
          <w:rFonts w:hint="eastAsia" w:ascii="黑体" w:hAnsi="黑体" w:eastAsia="黑体" w:cs="黑体"/>
          <w:b/>
          <w:bCs/>
          <w:kern w:val="44"/>
          <w:sz w:val="36"/>
          <w:szCs w:val="36"/>
          <w:u w:val="none"/>
        </w:rPr>
        <w:t>说明书</w:t>
      </w:r>
    </w:p>
    <w:p>
      <w:pPr>
        <w:ind w:firstLine="720"/>
        <w:jc w:val="center"/>
        <w:rPr>
          <w:rFonts w:ascii="黑体" w:hAnsi="黑体" w:eastAsia="黑体"/>
          <w:b/>
          <w:bCs/>
          <w:sz w:val="32"/>
          <w:szCs w:val="24"/>
          <w:u w:val="none"/>
        </w:rPr>
      </w:pPr>
      <w:r>
        <w:rPr>
          <w:rFonts w:hint="eastAsia" w:ascii="黑体" w:hAnsi="黑体" w:eastAsia="黑体"/>
          <w:b/>
          <w:bCs/>
          <w:sz w:val="32"/>
          <w:szCs w:val="24"/>
          <w:u w:val="none"/>
        </w:rPr>
        <w:t>（产品代码</w:t>
      </w:r>
      <w:r>
        <w:rPr>
          <w:rFonts w:ascii="黑体" w:hAnsi="黑体" w:eastAsia="黑体"/>
          <w:b/>
          <w:bCs/>
          <w:sz w:val="32"/>
          <w:szCs w:val="24"/>
          <w:u w:val="none"/>
        </w:rPr>
        <w:t>：</w:t>
      </w:r>
      <w:r>
        <w:rPr>
          <w:rFonts w:hint="eastAsia" w:ascii="黑体" w:hAnsi="黑体" w:eastAsia="黑体" w:cs="黑体"/>
          <w:b/>
          <w:bCs/>
          <w:color w:val="000000" w:themeColor="text1"/>
          <w:sz w:val="32"/>
          <w:szCs w:val="32"/>
          <w14:textFill>
            <w14:solidFill>
              <w14:schemeClr w14:val="tx1"/>
            </w14:solidFill>
          </w14:textFill>
        </w:rPr>
        <w:t>【WPEK24M0308】</w:t>
      </w:r>
      <w:r>
        <w:rPr>
          <w:rFonts w:hint="eastAsia" w:ascii="黑体" w:hAnsi="黑体" w:eastAsia="黑体"/>
          <w:b/>
          <w:bCs/>
          <w:sz w:val="32"/>
          <w:szCs w:val="24"/>
          <w:u w:val="none"/>
        </w:rPr>
        <w:t>）</w:t>
      </w:r>
    </w:p>
    <w:p>
      <w:pPr>
        <w:ind w:firstLine="720"/>
        <w:jc w:val="center"/>
        <w:rPr>
          <w:rFonts w:ascii="黑体" w:hAnsi="黑体" w:eastAsia="黑体"/>
          <w:b/>
          <w:bCs/>
          <w:sz w:val="28"/>
          <w:u w:val="none"/>
        </w:rPr>
      </w:pP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一、重要须知</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本理财产品《产品说明书》、《风险揭示书》、《投资协议书》、《销售（代理销售）协议书》和《投资者权益须知》共同构成一份完整且不可分割的理财产品销售文件。其中</w:t>
      </w:r>
      <w:r>
        <w:rPr>
          <w:rFonts w:hint="eastAsia" w:ascii="楷体" w:hAnsi="楷体" w:eastAsia="楷体" w:cs="楷体"/>
          <w:b/>
          <w:bCs/>
          <w:szCs w:val="21"/>
          <w:highlight w:val="none"/>
          <w:u w:val="none"/>
        </w:rPr>
        <w:t>《产品说明书》与《风险揭示书》、《投资协议书》共同组成投资者与管理人之间就本理财产品达成的理财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合同的不可分割之组成部分。</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.本理财产品不等同于银行存款，不保证本金和最低收益，您的本金有可能会因市场变动蒙受损失，您应充分认识投资风险，谨慎投资。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.本理财产品仅向依据中华人民共和国有关法律法规及本《产品说明书》规定可以购买本理财产品的投资者发售。</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.投资者承诺其用于购买理财产品的资金为自有资金，不存在使用贷款、发行债券等筹集的非自有资金投资本理财产品的情形。</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投资者承诺投资本理财产品使用的资金为投资者合法持有，不属于依据联合国、中国政府及其他可适用政府或国际组织制裁（名单）范围，仅为合法目的投资本理财产品；如发生异常情况，投资者将配合销售机构及管理人开展客户身份识别</w:t>
      </w:r>
      <w:r>
        <w:rPr>
          <w:rFonts w:hint="eastAsia" w:ascii="楷体" w:hAnsi="楷体" w:eastAsia="楷体" w:cs="楷体"/>
          <w:b/>
          <w:bCs/>
          <w:color w:val="000000" w:themeColor="text1"/>
          <w:szCs w:val="21"/>
          <w:highlight w:val="none"/>
          <w14:textFill>
            <w14:solidFill>
              <w14:schemeClr w14:val="tx1"/>
            </w14:solidFill>
          </w14:textFill>
        </w:rPr>
        <w:t>及</w:t>
      </w:r>
      <w:r>
        <w:rPr>
          <w:rFonts w:hint="eastAsia" w:ascii="楷体" w:hAnsi="楷体" w:eastAsia="楷体" w:cs="楷体"/>
          <w:b/>
          <w:bCs/>
          <w:color w:val="000000" w:themeColor="text1"/>
          <w:szCs w:val="21"/>
          <w14:textFill>
            <w14:solidFill>
              <w14:schemeClr w14:val="tx1"/>
            </w14:solidFill>
          </w14:textFill>
        </w:rPr>
        <w:t>反洗钱、反恐怖融资以及非居民金融账户涉税信息尽职调查活动</w:t>
      </w:r>
      <w:r>
        <w:rPr>
          <w:rFonts w:hint="eastAsia" w:ascii="楷体" w:hAnsi="楷体" w:eastAsia="楷体" w:cs="楷体"/>
          <w:b/>
          <w:bCs/>
          <w:szCs w:val="21"/>
          <w:u w:val="none"/>
        </w:rPr>
        <w:t>，及时、真实、准确、完整提供身份信息及资金来源等信息。</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6.投资者承诺依照可适用的法律法规投资本理财产品，如销售机构及管理人发现投资 </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者或投资者重要关联方存在洗钱或者被制裁风险，例如提供不实、不完整或者无效的身份 </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或交易信息，未及时更新身份证明文件，投资者或投资者账户、投资者重要关联方出现异 </w:t>
      </w:r>
    </w:p>
    <w:p>
      <w:pPr>
        <w:snapToGrid w:val="0"/>
        <w:spacing w:line="360" w:lineRule="auto"/>
        <w:ind w:firstLine="0" w:firstLineChars="0"/>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常或涉嫌洗钱、恐怖融资，投资者或投资者交易、投资者重要关联方或其交易涉及联合国、 </w:t>
      </w:r>
    </w:p>
    <w:p>
      <w:pPr>
        <w:snapToGrid w:val="0"/>
        <w:spacing w:line="360" w:lineRule="auto"/>
        <w:ind w:firstLine="0" w:firstLineChars="0"/>
        <w:rPr>
          <w:rFonts w:hint="eastAsia" w:ascii="楷体" w:hAnsi="楷体" w:eastAsia="楷体" w:cs="楷体"/>
          <w:b/>
          <w:bCs/>
          <w:szCs w:val="21"/>
          <w:u w:val="none"/>
          <w:lang w:val="en-US" w:eastAsia="zh-CN"/>
        </w:rPr>
      </w:pPr>
      <w:r>
        <w:rPr>
          <w:rFonts w:hint="eastAsia" w:ascii="楷体" w:hAnsi="楷体" w:eastAsia="楷体" w:cs="楷体"/>
          <w:b/>
          <w:bCs/>
          <w:szCs w:val="21"/>
          <w:u w:val="none"/>
          <w:lang w:val="en-US" w:eastAsia="zh-CN"/>
        </w:rPr>
        <w:t xml:space="preserve">中国等国际组织或国家发布的监控名单或者制裁事项，或投资者或投资者重要关联方在使用金融服务中出现其他违反可适用法律法规的情况等，销售机构及管理人有权单方对投资者采取拒绝开户申请、限制交易、停止支付及终止账户业务等一项或多项措施，并可要求投资者配合尽职调查、补充证明文件或者在指定期限内办理销户及其他相关手续。投资者逾期未办理的，则视同自愿销户，此时销售机构及管理人可单方予以销户。销售机构及管理人因投资者出现本条所述的风险情况而采取上述措施所造成的责任和损失由投资者自行承担，给销售机构及管理人造成损失的，投资者应承担相应赔偿责任。其中，“重要关联方”包含“法定代表人、授权签字人、实际控制人、受益所有人、重要投资人、重要被投资人、重要债权人、被控制实体等”。 </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在购买本理财产品前，投资者应仔细阅读本理财产品销售文件，确保自己已详细了解和审慎评估本理财产品的投资方向、风险等级等重要信息，完全理解该项投资的性质和所涉及的风险，并充分、慎重考虑自身的风险承受能力。投资者若对本产品《产品说明书》的内容有任何疑问，请向销售机构咨询。</w:t>
      </w:r>
    </w:p>
    <w:p>
      <w:pPr>
        <w:numPr>
          <w:ilvl w:val="12"/>
          <w:numId w:val="0"/>
        </w:num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投资者认购或申购（如有）本理财产品的资金划出账户应与本理财产品到期或期间赎回（如有）接收资金的账户相同。在本理财产品存续期间，除非经管理人同意，该账户不得变更、注销。如发生投资者账户被有权机关采取司法强制措施的，投资者不得申请对投资者账户予以变更或注销。</w:t>
      </w:r>
    </w:p>
    <w:p>
      <w:pPr>
        <w:snapToGrid w:val="0"/>
        <w:spacing w:line="360" w:lineRule="auto"/>
        <w:ind w:firstLine="422" w:firstLineChars="200"/>
        <w:rPr>
          <w:rFonts w:hint="eastAsia" w:ascii="楷体" w:hAnsi="楷体" w:eastAsia="楷体" w:cs="楷体"/>
          <w:b/>
          <w:bCs/>
          <w:szCs w:val="21"/>
          <w:u w:val="none"/>
          <w:lang w:val="en-US" w:eastAsia="zh-CN"/>
        </w:rPr>
      </w:pPr>
      <w:r>
        <w:rPr>
          <w:rFonts w:hint="eastAsia" w:ascii="楷体" w:hAnsi="楷体" w:eastAsia="楷体" w:cs="楷体"/>
          <w:b/>
          <w:bCs/>
          <w:szCs w:val="21"/>
          <w:highlight w:val="none"/>
          <w:u w:val="none"/>
          <w:lang w:val="en-US" w:eastAsia="zh-CN"/>
        </w:rPr>
        <w:t>9</w:t>
      </w:r>
      <w:r>
        <w:rPr>
          <w:rFonts w:hint="eastAsia" w:ascii="楷体" w:hAnsi="楷体" w:eastAsia="楷体" w:cs="楷体"/>
          <w:b/>
          <w:bCs/>
          <w:szCs w:val="21"/>
          <w:highlight w:val="none"/>
          <w:u w:val="none"/>
        </w:rPr>
        <w:t>.在购买本理财产品后，投资者应随时关注本理财产品的信息披露情况，及时获取相关信息，相关信息通过</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lang w:val="en-US" w:eastAsia="zh-CN"/>
        </w:rPr>
        <w:t>产品说明书</w:t>
      </w:r>
      <w:r>
        <w:rPr>
          <w:rFonts w:hint="eastAsia" w:ascii="楷体" w:hAnsi="楷体" w:eastAsia="楷体" w:cs="楷体"/>
          <w:b/>
          <w:bCs/>
          <w:szCs w:val="21"/>
          <w:highlight w:val="none"/>
          <w:u w:val="none"/>
          <w:lang w:eastAsia="zh-CN"/>
        </w:rPr>
        <w:t>》</w:t>
      </w:r>
      <w:r>
        <w:rPr>
          <w:rFonts w:hint="eastAsia" w:ascii="楷体" w:hAnsi="楷体" w:eastAsia="楷体" w:cs="楷体"/>
          <w:b/>
          <w:bCs/>
          <w:szCs w:val="21"/>
          <w:highlight w:val="none"/>
          <w:u w:val="none"/>
        </w:rPr>
        <w:t>“信息披露”约定的方式披露。</w:t>
      </w:r>
    </w:p>
    <w:p>
      <w:pPr>
        <w:snapToGrid w:val="0"/>
        <w:spacing w:line="360" w:lineRule="auto"/>
        <w:ind w:firstLine="422" w:firstLineChars="200"/>
        <w:rPr>
          <w:rFonts w:hint="eastAsia" w:ascii="楷体" w:hAnsi="楷体" w:eastAsia="楷体" w:cs="楷体"/>
          <w:b/>
          <w:bCs/>
          <w:szCs w:val="21"/>
          <w:highlight w:val="lightGray"/>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.任何业绩比较基准或类似表述均属不具有法律约束力的用语，不代表投资者可能获得的实际收益，亦不构成管理人对本理财产品的任何收益承诺。客户所能获得的最终收益以管理人实际支付的为准。</w:t>
      </w:r>
    </w:p>
    <w:p>
      <w:pPr>
        <w:snapToGrid w:val="0"/>
        <w:spacing w:line="360" w:lineRule="auto"/>
        <w:ind w:firstLine="422" w:firstLineChars="200"/>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11</w:t>
      </w:r>
      <w:r>
        <w:rPr>
          <w:rFonts w:hint="eastAsia" w:ascii="楷体" w:hAnsi="楷体" w:eastAsia="楷体" w:cs="楷体"/>
          <w:b/>
          <w:bCs/>
          <w:szCs w:val="21"/>
          <w:highlight w:val="none"/>
          <w:u w:val="none"/>
        </w:rPr>
        <w:t>.管理人承诺以诚实信用、勤勉尽责为原则，并根据本《产品说明书》所载要求管理和运用理财产品资产。</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lang w:val="en-US" w:eastAsia="zh-CN"/>
        </w:rPr>
        <w:t>12</w:t>
      </w:r>
      <w:r>
        <w:rPr>
          <w:rFonts w:hint="eastAsia" w:ascii="楷体" w:hAnsi="楷体" w:eastAsia="楷体" w:cs="楷体"/>
          <w:b/>
          <w:bCs/>
          <w:szCs w:val="21"/>
          <w:u w:val="none"/>
        </w:rPr>
        <w:t>.管理人对本理财产品的产品风险评级为</w:t>
      </w:r>
      <w:r>
        <w:rPr>
          <w:rFonts w:hint="eastAsia" w:ascii="楷体" w:hAnsi="楷体" w:eastAsia="楷体" w:cs="楷体"/>
          <w:b/>
          <w:bCs/>
          <w:color w:val="C00000"/>
          <w:szCs w:val="21"/>
          <w:u w:val="none"/>
        </w:rPr>
        <w:t>中低风险（二级风险</w:t>
      </w:r>
      <w:r>
        <w:rPr>
          <w:rFonts w:hint="eastAsia" w:ascii="楷体" w:hAnsi="楷体" w:eastAsia="楷体" w:cs="楷体"/>
          <w:b/>
          <w:bCs/>
          <w:color w:val="C00000"/>
          <w:szCs w:val="21"/>
          <w:u w:val="none"/>
          <w:lang w:eastAsia="zh-CN"/>
        </w:rPr>
        <w:t>）</w:t>
      </w:r>
      <w:r>
        <w:rPr>
          <w:rFonts w:hint="eastAsia" w:ascii="楷体" w:hAnsi="楷体" w:eastAsia="楷体" w:cs="楷体"/>
          <w:b/>
          <w:bCs/>
          <w:szCs w:val="21"/>
          <w:u w:val="none"/>
        </w:rPr>
        <w:t>，本理财产品通过销售机构销售的，销售机构应当根据销售机构的方式和方法，独立、审慎地对销售的本理财产品进行销售评级，销售评级与管理人评级结果不一致的，销售机构应当采用对应较高风险等级的评级结果并予以披露，本理财产品评级应当以销售机构最终披露的评级结果为准。本理财</w:t>
      </w:r>
      <w:r>
        <w:rPr>
          <w:rFonts w:hint="eastAsia" w:ascii="楷体" w:hAnsi="楷体" w:eastAsia="楷体" w:cs="楷体"/>
          <w:b/>
          <w:bCs/>
          <w:szCs w:val="21"/>
          <w:u w:val="none"/>
          <w:lang w:val="en-US" w:eastAsia="zh-CN"/>
        </w:rPr>
        <w:t>产品</w:t>
      </w:r>
      <w:r>
        <w:rPr>
          <w:rFonts w:hint="eastAsia" w:ascii="楷体" w:hAnsi="楷体" w:eastAsia="楷体" w:cs="楷体"/>
          <w:b/>
          <w:bCs/>
          <w:szCs w:val="21"/>
          <w:u w:val="none"/>
        </w:rPr>
        <w:t>收益特征为</w:t>
      </w:r>
      <w:r>
        <w:rPr>
          <w:rFonts w:hint="eastAsia" w:ascii="楷体" w:hAnsi="楷体" w:eastAsia="楷体" w:cs="楷体"/>
          <w:b/>
          <w:bCs/>
          <w:color w:val="C00000"/>
          <w:szCs w:val="21"/>
          <w:u w:val="none"/>
        </w:rPr>
        <w:t>非保本浮动收益</w:t>
      </w:r>
      <w:r>
        <w:rPr>
          <w:rFonts w:hint="eastAsia" w:ascii="楷体" w:hAnsi="楷体" w:eastAsia="楷体" w:cs="楷体"/>
          <w:b/>
          <w:bCs/>
          <w:color w:val="C00000"/>
          <w:szCs w:val="21"/>
          <w:u w:val="none"/>
          <w:lang w:val="en-US" w:eastAsia="zh-CN"/>
        </w:rPr>
        <w:t>型</w:t>
      </w:r>
      <w:r>
        <w:rPr>
          <w:rFonts w:hint="eastAsia" w:ascii="楷体" w:hAnsi="楷体" w:eastAsia="楷体" w:cs="楷体"/>
          <w:b/>
          <w:bCs/>
          <w:szCs w:val="21"/>
          <w:u w:val="none"/>
        </w:rPr>
        <w:t>，您的本金有可能会因市场变动蒙受重大损失，您应充分认识投资风险，谨慎投资。</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投资者身份信息、每日交易、持仓等信息。后续监管机构和银行业理财登记托管中心等机构如果提出新的信息报送要求，管理人将按照该等要求执行。投资者签署本理财产品销售文件即视为已经同意管理人将投资者身份信息及每日持仓信息报送相关监管机构。</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根据监管机构要求，本理财产品的投资合作机构（包括但不限于本理财产品所投资的信托计划/资管计划/基金产品的受托人、相关投资顾问等，下同）有可能需要向监管机构报送投资者身份信息、持仓信息等相关信息，管理人将根据上述机构申请，在必要范围内向其提供相关信息，并要求该等投资合作机构履行投资者信息保密义务。投资者签署本理财产品销售文件即视为已经同意管理人在前述范围内向相关方提供投资者身份信息、持仓信息等相关信息。</w:t>
      </w:r>
    </w:p>
    <w:p>
      <w:pPr>
        <w:snapToGrid w:val="0"/>
        <w:spacing w:line="360" w:lineRule="auto"/>
        <w:ind w:firstLine="422" w:firstLineChars="200"/>
        <w:rPr>
          <w:rFonts w:hint="eastAsia" w:ascii="楷体" w:hAnsi="楷体" w:eastAsia="楷体" w:cs="楷体"/>
          <w:b/>
          <w:bCs/>
          <w:szCs w:val="21"/>
          <w:u w:val="none"/>
          <w:lang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r>
        <w:rPr>
          <w:rFonts w:hint="eastAsia" w:ascii="楷体" w:hAnsi="楷体" w:eastAsia="楷体" w:cs="楷体"/>
          <w:b/>
          <w:bCs/>
          <w:szCs w:val="21"/>
          <w:u w:val="none"/>
          <w:lang w:eastAsia="zh-CN"/>
        </w:rPr>
        <w:t>。</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u w:val="none"/>
        </w:rPr>
        <w:t xml:space="preserve"> 本理财产品</w:t>
      </w:r>
      <w:r>
        <w:rPr>
          <w:rFonts w:hint="eastAsia" w:ascii="楷体" w:hAnsi="楷体" w:eastAsia="楷体" w:cs="楷体"/>
          <w:b/>
          <w:bCs/>
          <w:u w:val="none"/>
          <w:lang w:val="en-US" w:eastAsia="zh-CN"/>
        </w:rPr>
        <w:t>合同</w:t>
      </w:r>
      <w:r>
        <w:rPr>
          <w:rFonts w:hint="eastAsia" w:ascii="楷体" w:hAnsi="楷体" w:eastAsia="楷体" w:cs="楷体"/>
          <w:b/>
          <w:bCs/>
          <w:u w:val="none"/>
        </w:rPr>
        <w:t>在法律许可的范围内由管理人负责解释。若客户对上述内容有任何疑问，请联系销售机构</w:t>
      </w:r>
      <w:r>
        <w:rPr>
          <w:rFonts w:hint="eastAsia" w:ascii="楷体" w:hAnsi="楷体" w:eastAsia="楷体" w:cs="楷体"/>
          <w:b/>
          <w:bCs/>
          <w:u w:val="none"/>
          <w:lang w:val="en-US" w:eastAsia="zh-CN"/>
        </w:rPr>
        <w:t>咨询</w:t>
      </w:r>
      <w:r>
        <w:rPr>
          <w:rFonts w:hint="eastAsia" w:ascii="楷体" w:hAnsi="楷体" w:eastAsia="楷体" w:cs="楷体"/>
          <w:b/>
          <w:bCs/>
          <w:u w:val="none"/>
        </w:rPr>
        <w:t>，也可致电销售机构全国统一客户服务热线。</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二、定义解释</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在本《产品说明书》中，除上下文另有明确约定，下列用词将具有如下含义：</w:t>
      </w:r>
    </w:p>
    <w:p>
      <w:pPr>
        <w:pStyle w:val="3"/>
        <w:snapToGrid w:val="0"/>
        <w:spacing w:before="0" w:after="0" w:line="360" w:lineRule="auto"/>
        <w:ind w:firstLine="422" w:firstLineChars="200"/>
        <w:rPr>
          <w:rFonts w:hint="eastAsia" w:ascii="楷体" w:hAnsi="楷体" w:eastAsia="楷体" w:cs="楷体"/>
          <w:sz w:val="21"/>
          <w:szCs w:val="21"/>
          <w:u w:val="none"/>
        </w:rPr>
      </w:pPr>
      <w:r>
        <w:rPr>
          <w:rFonts w:hint="eastAsia" w:ascii="楷体" w:hAnsi="楷体" w:eastAsia="楷体" w:cs="楷体"/>
          <w:sz w:val="21"/>
          <w:szCs w:val="21"/>
          <w:u w:val="none"/>
        </w:rPr>
        <w:t>（一）参与主体</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管理人/投资管理人/理财产品管理</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指上银理财</w:t>
      </w:r>
      <w:r>
        <w:rPr>
          <w:rFonts w:hint="eastAsia" w:ascii="楷体" w:hAnsi="楷体" w:eastAsia="楷体" w:cs="楷体"/>
          <w:b w:val="0"/>
          <w:bCs w:val="0"/>
          <w:szCs w:val="21"/>
          <w:u w:val="none"/>
          <w:lang w:val="en-US" w:eastAsia="zh-CN"/>
        </w:rPr>
        <w:t>有限责任公司（以下简称“上银理财”）</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托管人</w:t>
      </w:r>
      <w:r>
        <w:rPr>
          <w:rFonts w:hint="eastAsia" w:ascii="楷体" w:hAnsi="楷体" w:eastAsia="楷体" w:cs="楷体"/>
          <w:b/>
          <w:bCs/>
          <w:spacing w:val="6"/>
          <w:szCs w:val="21"/>
          <w:u w:val="none"/>
          <w:lang w:val="en-US" w:eastAsia="zh-CN"/>
        </w:rPr>
        <w:t>/产品托管人/理财产品托管</w:t>
      </w:r>
      <w:r>
        <w:rPr>
          <w:rFonts w:hint="eastAsia" w:ascii="楷体" w:hAnsi="楷体" w:eastAsia="楷体" w:cs="楷体"/>
          <w:b/>
          <w:bCs/>
          <w:spacing w:val="23"/>
          <w:sz w:val="21"/>
          <w:szCs w:val="21"/>
          <w:u w:val="none"/>
          <w:lang w:val="en-US" w:eastAsia="zh-CN"/>
        </w:rPr>
        <w:t>人</w:t>
      </w:r>
      <w:r>
        <w:rPr>
          <w:rFonts w:hint="eastAsia" w:ascii="楷体" w:hAnsi="楷体" w:eastAsia="楷体" w:cs="楷体"/>
          <w:b/>
          <w:bCs/>
          <w:spacing w:val="23"/>
          <w:sz w:val="21"/>
          <w:szCs w:val="21"/>
          <w:u w:val="none"/>
        </w:rPr>
        <w:t>：</w:t>
      </w:r>
      <w:r>
        <w:rPr>
          <w:rFonts w:hint="eastAsia" w:ascii="楷体" w:hAnsi="楷体" w:eastAsia="楷体" w:cs="楷体"/>
          <w:b w:val="0"/>
          <w:bCs w:val="0"/>
          <w:szCs w:val="21"/>
          <w:u w:val="none"/>
        </w:rPr>
        <w:t>指</w:t>
      </w:r>
      <w:r>
        <w:rPr>
          <w:rFonts w:hint="eastAsia" w:ascii="楷体" w:hAnsi="楷体" w:eastAsia="楷体" w:cs="楷体"/>
          <w:color w:val="000000" w:themeColor="text1"/>
          <w:szCs w:val="21"/>
          <w14:textFill>
            <w14:solidFill>
              <w14:schemeClr w14:val="tx1"/>
            </w14:solidFill>
          </w14:textFill>
        </w:rPr>
        <w:t>【上海银行股份有限公司】</w:t>
      </w:r>
      <w:r>
        <w:rPr>
          <w:rFonts w:hint="eastAsia" w:ascii="楷体" w:hAnsi="楷体" w:eastAsia="楷体" w:cs="楷体"/>
          <w:b w:val="0"/>
          <w:bCs w:val="0"/>
          <w:szCs w:val="21"/>
          <w:u w:val="none"/>
        </w:rPr>
        <w:t>。</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销售机</w:t>
      </w:r>
      <w:r>
        <w:rPr>
          <w:rFonts w:hint="eastAsia" w:ascii="楷体" w:hAnsi="楷体" w:eastAsia="楷体" w:cs="楷体"/>
          <w:b/>
          <w:bCs/>
          <w:spacing w:val="23"/>
          <w:sz w:val="21"/>
          <w:szCs w:val="21"/>
          <w:u w:val="none"/>
        </w:rPr>
        <w:t>构：</w:t>
      </w:r>
      <w:r>
        <w:rPr>
          <w:rFonts w:hint="eastAsia" w:ascii="楷体" w:hAnsi="楷体" w:eastAsia="楷体" w:cs="楷体"/>
          <w:b w:val="0"/>
          <w:bCs w:val="0"/>
          <w:szCs w:val="21"/>
          <w:u w:val="none"/>
          <w:lang w:val="en-US" w:eastAsia="zh-CN"/>
        </w:rPr>
        <w:t>指管理人指定的销售本理财产品的机构。</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highlight w:val="none"/>
          <w:u w:val="none"/>
        </w:rPr>
        <w:t>指在产品认购期内签署理财产品销售文件并向理财产品管理人交付认购资金以购买理财产品份额的投资者。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申购</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指在产品申购期内签署理财产品销售文件并向理财产品管理人交付申购资金以购买理财产品份额的投资者。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理财产品份额持有人/持有</w:t>
      </w:r>
      <w:r>
        <w:rPr>
          <w:rFonts w:hint="eastAsia" w:ascii="楷体" w:hAnsi="楷体" w:eastAsia="楷体" w:cs="楷体"/>
          <w:b/>
          <w:bCs/>
          <w:spacing w:val="23"/>
          <w:sz w:val="21"/>
          <w:szCs w:val="21"/>
          <w:u w:val="none"/>
        </w:rPr>
        <w:t>人：</w:t>
      </w:r>
      <w:r>
        <w:rPr>
          <w:rFonts w:hint="eastAsia" w:ascii="楷体" w:hAnsi="楷体" w:eastAsia="楷体" w:cs="楷体"/>
          <w:b w:val="0"/>
          <w:bCs w:val="0"/>
          <w:szCs w:val="21"/>
          <w:u w:val="none"/>
        </w:rPr>
        <w:t>指其认购/申购申请经过管理人确认成功，从而持有理财产品份额的投资者。</w:t>
      </w:r>
    </w:p>
    <w:p>
      <w:pPr>
        <w:snapToGrid w:val="0"/>
        <w:spacing w:line="360" w:lineRule="auto"/>
        <w:ind w:firstLine="422" w:firstLineChars="200"/>
        <w:rPr>
          <w:rFonts w:hint="eastAsia" w:ascii="楷体" w:hAnsi="楷体" w:eastAsia="楷体" w:cs="楷体"/>
          <w:b w:val="0"/>
          <w:bCs w:val="0"/>
          <w:color w:val="auto"/>
          <w:szCs w:val="21"/>
          <w:u w:val="none"/>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监管机</w:t>
      </w:r>
      <w:r>
        <w:rPr>
          <w:rFonts w:hint="eastAsia" w:ascii="楷体" w:hAnsi="楷体" w:eastAsia="楷体" w:cs="楷体"/>
          <w:b/>
          <w:bCs/>
          <w:spacing w:val="23"/>
          <w:sz w:val="21"/>
          <w:szCs w:val="21"/>
          <w:u w:val="none"/>
        </w:rPr>
        <w:t>构：</w:t>
      </w:r>
      <w:r>
        <w:rPr>
          <w:rFonts w:hint="eastAsia" w:ascii="楷体" w:hAnsi="楷体" w:eastAsia="楷体" w:cs="楷体"/>
          <w:b w:val="0"/>
          <w:bCs w:val="0"/>
          <w:color w:val="auto"/>
          <w:szCs w:val="21"/>
          <w:u w:val="none"/>
        </w:rPr>
        <w:t>指对管理人（包括本理财产品的管理人、所投资的信托计划/资管计划/基金的管理人/受托人、相关投资顾问（如有）等）实施监督管理的机构，包括但不限于中国人民银行、</w:t>
      </w:r>
      <w:r>
        <w:rPr>
          <w:rFonts w:hint="eastAsia" w:ascii="楷体" w:hAnsi="楷体" w:eastAsia="楷体" w:cs="楷体"/>
          <w:b w:val="0"/>
          <w:bCs w:val="0"/>
          <w:szCs w:val="21"/>
          <w:u w:val="none"/>
        </w:rPr>
        <w:t>国家金融监督管理总局</w:t>
      </w:r>
      <w:r>
        <w:rPr>
          <w:rFonts w:hint="eastAsia" w:ascii="楷体" w:hAnsi="楷体" w:eastAsia="楷体" w:cs="楷体"/>
          <w:b w:val="0"/>
          <w:bCs w:val="0"/>
          <w:color w:val="auto"/>
          <w:szCs w:val="21"/>
          <w:u w:val="none"/>
        </w:rPr>
        <w:t>、中国证券监督管理委员会、外汇管理局、银行业理财登记托管中心等。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（二）法律文件</w:t>
      </w:r>
    </w:p>
    <w:p>
      <w:pPr>
        <w:snapToGrid w:val="0"/>
        <w:spacing w:line="360" w:lineRule="auto"/>
        <w:ind w:firstLine="422" w:firstLineChars="200"/>
        <w:rPr>
          <w:rFonts w:hint="eastAsia" w:ascii="楷体" w:hAnsi="楷体" w:eastAsia="楷体" w:cs="楷体"/>
          <w:b w:val="0"/>
          <w:bCs w:val="0"/>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lang w:val="en-US" w:eastAsia="zh-CN"/>
        </w:rPr>
        <w:t>理财产品</w:t>
      </w:r>
      <w:r>
        <w:rPr>
          <w:rFonts w:hint="eastAsia" w:ascii="楷体" w:hAnsi="楷体" w:eastAsia="楷体" w:cs="楷体"/>
          <w:b/>
          <w:bCs/>
          <w:spacing w:val="6"/>
          <w:szCs w:val="21"/>
          <w:highlight w:val="none"/>
          <w:u w:val="none"/>
        </w:rPr>
        <w:t>销售文件</w:t>
      </w:r>
      <w:r>
        <w:rPr>
          <w:rFonts w:hint="eastAsia" w:ascii="楷体" w:hAnsi="楷体" w:eastAsia="楷体" w:cs="楷体"/>
          <w:b/>
          <w:bCs/>
          <w:spacing w:val="6"/>
          <w:szCs w:val="21"/>
          <w:highlight w:val="none"/>
          <w:u w:val="none"/>
          <w:lang w:val="en-US" w:eastAsia="zh-CN"/>
        </w:rPr>
        <w:t>/销售文</w:t>
      </w:r>
      <w:r>
        <w:rPr>
          <w:rFonts w:hint="eastAsia" w:ascii="楷体" w:hAnsi="楷体" w:eastAsia="楷体" w:cs="楷体"/>
          <w:b/>
          <w:bCs/>
          <w:spacing w:val="23"/>
          <w:sz w:val="21"/>
          <w:szCs w:val="21"/>
          <w:u w:val="none"/>
          <w:lang w:val="en-US" w:eastAsia="zh-CN"/>
        </w:rPr>
        <w:t>件</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rPr>
        <w:t>指《产品说明书》、《风险揭示书》、《投资协议书》、《销售（代理销售）协议书》和《投资者权益须知》的总称。</w:t>
      </w:r>
    </w:p>
    <w:p>
      <w:pPr>
        <w:snapToGrid w:val="0"/>
        <w:spacing w:line="360" w:lineRule="auto"/>
        <w:ind w:firstLine="422" w:firstLineChars="200"/>
        <w:rPr>
          <w:rFonts w:hint="eastAsia" w:ascii="楷体" w:hAnsi="楷体" w:eastAsia="楷体" w:cs="楷体"/>
          <w:b w:val="0"/>
          <w:bCs w:val="0"/>
          <w:u w:val="none"/>
        </w:rPr>
      </w:pP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理财产品合</w:t>
      </w:r>
      <w:r>
        <w:rPr>
          <w:rFonts w:hint="eastAsia" w:ascii="楷体" w:hAnsi="楷体" w:eastAsia="楷体" w:cs="楷体"/>
          <w:b/>
          <w:bCs/>
          <w:spacing w:val="23"/>
          <w:sz w:val="21"/>
          <w:szCs w:val="21"/>
          <w:u w:val="none"/>
        </w:rPr>
        <w:t>同：</w:t>
      </w:r>
      <w:r>
        <w:rPr>
          <w:rFonts w:hint="eastAsia" w:ascii="楷体" w:hAnsi="楷体" w:eastAsia="楷体" w:cs="楷体"/>
          <w:b w:val="0"/>
          <w:bCs w:val="0"/>
          <w:szCs w:val="21"/>
          <w:u w:val="none"/>
        </w:rPr>
        <w:t>指《产品说明书》、《风险揭示书》和《投资协议书》的总称。</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《产品说明书》：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【上银理财“易享利”系列开放式(3个月持有期)理财产品WPEK24M0308期】</w:t>
      </w:r>
      <w:r>
        <w:rPr>
          <w:rFonts w:hint="eastAsia" w:ascii="楷体" w:hAnsi="楷体" w:eastAsia="楷体" w:cs="楷体"/>
          <w:b w:val="0"/>
          <w:bCs w:val="0"/>
          <w:szCs w:val="21"/>
          <w:u w:val="none"/>
        </w:rPr>
        <w:t>产品说明书》，以及对该文件的有效修改或补充。</w:t>
      </w:r>
    </w:p>
    <w:p>
      <w:pPr>
        <w:snapToGrid w:val="0"/>
        <w:spacing w:line="360" w:lineRule="auto"/>
        <w:ind w:firstLine="422" w:firstLineChars="200"/>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4</w:t>
      </w:r>
      <w:r>
        <w:rPr>
          <w:rFonts w:hint="eastAsia" w:ascii="楷体" w:hAnsi="楷体" w:eastAsia="楷体" w:cs="楷体"/>
          <w:b/>
          <w:bCs/>
          <w:szCs w:val="21"/>
          <w:u w:val="none"/>
        </w:rPr>
        <w:t>.</w:t>
      </w:r>
      <w:r>
        <w:rPr>
          <w:rFonts w:hint="eastAsia" w:ascii="楷体" w:hAnsi="楷体" w:eastAsia="楷体" w:cs="楷体"/>
          <w:b/>
          <w:bCs/>
          <w:spacing w:val="6"/>
          <w:szCs w:val="21"/>
          <w:u w:val="none"/>
        </w:rPr>
        <w:t>《风险揭示书》：</w:t>
      </w:r>
      <w:r>
        <w:rPr>
          <w:rFonts w:hint="eastAsia" w:ascii="楷体" w:hAnsi="楷体" w:eastAsia="楷体" w:cs="楷体"/>
          <w:b w:val="0"/>
          <w:bCs w:val="0"/>
          <w:szCs w:val="21"/>
          <w:u w:val="none"/>
        </w:rPr>
        <w:t>指《</w:t>
      </w:r>
      <w:r>
        <w:rPr>
          <w:rFonts w:hint="eastAsia" w:ascii="楷体" w:hAnsi="楷体" w:eastAsia="楷体" w:cs="楷体"/>
          <w:b w:val="0"/>
          <w:bCs w:val="0"/>
          <w:szCs w:val="21"/>
          <w:highlight w:val="none"/>
          <w:u w:val="none"/>
          <w:lang w:val="en-US" w:eastAsia="zh-CN"/>
        </w:rPr>
        <w:t>【上银理财“易享利”系列开放式(3个月持有期)理财产品WPEK24M0308期】</w:t>
      </w:r>
      <w:r>
        <w:rPr>
          <w:rFonts w:hint="eastAsia" w:ascii="楷体" w:hAnsi="楷体" w:eastAsia="楷体" w:cs="楷体"/>
          <w:b w:val="0"/>
          <w:bCs w:val="0"/>
          <w:szCs w:val="21"/>
          <w:u w:val="none"/>
        </w:rPr>
        <w:t>风险揭示书》，以及对该文件的有效修改或补充。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highlight w:val="none"/>
          <w:u w:val="none"/>
        </w:rPr>
        <w:t>《投资协议书》：</w:t>
      </w:r>
      <w:r>
        <w:rPr>
          <w:rFonts w:hint="eastAsia" w:ascii="楷体" w:hAnsi="楷体" w:eastAsia="楷体" w:cs="楷体"/>
          <w:b w:val="0"/>
          <w:bCs w:val="0"/>
          <w:szCs w:val="21"/>
          <w:highlight w:val="none"/>
          <w:u w:val="none"/>
          <w:lang w:val="en-US" w:eastAsia="zh-CN"/>
        </w:rPr>
        <w:t>指</w:t>
      </w:r>
      <w:r>
        <w:rPr>
          <w:rFonts w:hint="eastAsia" w:ascii="楷体" w:hAnsi="楷体" w:eastAsia="楷体" w:cs="楷体"/>
          <w:b w:val="0"/>
          <w:bCs w:val="0"/>
          <w:szCs w:val="21"/>
          <w:highlight w:val="none"/>
          <w:u w:val="none"/>
        </w:rPr>
        <w:t>《上银理财理财产品投资协议书》，以及对该文件的有效修改或补充。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《销售（代理销售）协议书》：</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指由投资者和销售机构签署的，作为本产品销售文件不可分割组成部分的《销售（代理销售）协议书》，以及对该文件的有效修改或补充。</w:t>
      </w:r>
    </w:p>
    <w:p>
      <w:pPr>
        <w:snapToGrid w:val="0"/>
        <w:spacing w:line="360" w:lineRule="auto"/>
        <w:ind w:firstLine="422" w:firstLineChars="200"/>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《投资者权益须知》</w:t>
      </w:r>
      <w:r>
        <w:rPr>
          <w:rFonts w:hint="eastAsia" w:ascii="楷体" w:hAnsi="楷体" w:eastAsia="楷体" w:cs="楷体"/>
          <w:b/>
          <w:bCs/>
          <w:spacing w:val="6"/>
          <w:szCs w:val="21"/>
          <w:u w:val="none"/>
          <w:lang w:eastAsia="zh-CN"/>
        </w:rPr>
        <w:t>：</w:t>
      </w:r>
      <w:r>
        <w:rPr>
          <w:rFonts w:hint="eastAsia" w:ascii="楷体" w:hAnsi="楷体" w:eastAsia="楷体" w:cs="楷体"/>
          <w:b w:val="0"/>
          <w:bCs w:val="0"/>
          <w:szCs w:val="21"/>
          <w:highlight w:val="none"/>
          <w:u w:val="none"/>
          <w:lang w:val="en-US" w:eastAsia="zh-CN"/>
        </w:rPr>
        <w:t>指由投资者和销售机构签署的，作为本产品销售文件不可分割组成部分的《投资者权益须知》，以及对该文件的有效修改或补充。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（三）产品要素</w:t>
      </w:r>
    </w:p>
    <w:p>
      <w:pPr>
        <w:spacing w:line="360" w:lineRule="auto"/>
        <w:ind w:firstLine="422" w:firstLineChars="200"/>
        <w:contextualSpacing/>
        <w:rPr>
          <w:rFonts w:hint="eastAsia" w:ascii="楷体" w:hAnsi="楷体" w:eastAsia="楷体" w:cs="楷体"/>
          <w:b/>
          <w:bCs/>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理财产品/本产品</w:t>
      </w:r>
      <w:r>
        <w:rPr>
          <w:rFonts w:hint="eastAsia" w:ascii="楷体" w:hAnsi="楷体" w:eastAsia="楷体" w:cs="楷体"/>
          <w:b/>
          <w:bCs/>
          <w:spacing w:val="6"/>
          <w:szCs w:val="21"/>
          <w:highlight w:val="none"/>
          <w:u w:val="none"/>
        </w:rPr>
        <w:t>/产</w:t>
      </w:r>
      <w:r>
        <w:rPr>
          <w:rFonts w:hint="eastAsia" w:ascii="楷体" w:hAnsi="楷体" w:eastAsia="楷体" w:cs="楷体"/>
          <w:b/>
          <w:bCs/>
          <w:spacing w:val="23"/>
          <w:sz w:val="21"/>
          <w:szCs w:val="21"/>
          <w:u w:val="none"/>
        </w:rPr>
        <w:t>品：</w:t>
      </w:r>
      <w:r>
        <w:rPr>
          <w:rFonts w:hint="eastAsia" w:ascii="楷体" w:hAnsi="楷体" w:eastAsia="楷体" w:cs="楷体"/>
          <w:b w:val="0"/>
          <w:bCs w:val="0"/>
          <w:szCs w:val="21"/>
          <w:highlight w:val="none"/>
          <w:u w:val="none"/>
          <w:lang w:val="en-US" w:eastAsia="zh-CN"/>
        </w:rPr>
        <w:t>指【上银理财“易享利”系列开放式(3个月持有期)理财产品WPEK24M0308期】。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pacing w:val="6"/>
          <w:szCs w:val="21"/>
          <w:highlight w:val="none"/>
          <w:u w:val="none"/>
          <w:lang w:val="en-US" w:eastAsia="zh-CN"/>
        </w:rPr>
        <w:t>产品风险评</w:t>
      </w:r>
      <w:r>
        <w:rPr>
          <w:rFonts w:hint="eastAsia" w:ascii="楷体" w:hAnsi="楷体" w:eastAsia="楷体" w:cs="楷体"/>
          <w:b/>
          <w:bCs/>
          <w:spacing w:val="23"/>
          <w:sz w:val="21"/>
          <w:szCs w:val="21"/>
          <w:u w:val="none"/>
          <w:lang w:val="en-US" w:eastAsia="zh-CN"/>
        </w:rPr>
        <w:t>级：</w:t>
      </w:r>
      <w:r>
        <w:rPr>
          <w:rFonts w:hint="eastAsia" w:ascii="楷体" w:hAnsi="楷体" w:eastAsia="楷体" w:cs="楷体"/>
          <w:b w:val="0"/>
          <w:bCs w:val="0"/>
          <w:szCs w:val="21"/>
          <w:highlight w:val="none"/>
          <w:u w:val="none"/>
          <w:lang w:val="en-US" w:eastAsia="zh-CN"/>
        </w:rPr>
        <w:t>指管理人内部对本公司发行理财产品的评级结果。上银理财产品风险评级由低到高共分为五级：低风险（一级风险）、中低风险（二级风险）、中等风险（三级风险）、中高风险（四级风险）、高风险（五级风险）。产品通过代理销售机构销售的，代理销售机构将根据代理销售机构的方式和方法，独立、审慎地对代理销售的本理财产品进行销售评级，销售评级与管理人评级结果不一致的，代理销售机构将采用对应较高风险等级的评级结果并予以披露，本理财产品的最终评级以代理销售机构最终披露的评级结果为准。</w:t>
      </w:r>
    </w:p>
    <w:p>
      <w:pPr>
        <w:spacing w:line="360" w:lineRule="auto"/>
        <w:ind w:firstLine="422" w:firstLineChars="200"/>
        <w:contextualSpacing/>
        <w:rPr>
          <w:rFonts w:hint="eastAsia" w:ascii="楷体_GB2312" w:hAnsi="宋体" w:eastAsia="楷体_GB2312"/>
          <w:b w:val="0"/>
          <w:bCs w:val="0"/>
          <w:szCs w:val="21"/>
          <w:highlight w:val="none"/>
          <w:u w:val="none"/>
          <w:lang w:val="en-US" w:eastAsia="zh-CN"/>
        </w:rPr>
      </w:pPr>
      <w:r>
        <w:rPr>
          <w:rFonts w:hint="eastAsia" w:ascii="楷体" w:hAnsi="楷体" w:eastAsia="楷体" w:cs="楷体"/>
          <w:b/>
          <w:bCs/>
          <w:szCs w:val="21"/>
          <w:highlight w:val="none"/>
          <w:u w:val="none"/>
          <w:lang w:val="en-US" w:eastAsia="zh-CN"/>
        </w:rPr>
        <w:t>3</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认购/申购资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指在认购期或申购开放日，认购人/申购人为认购/申购理财产品份额而向管理人交付的货币资金。为免疑义，认购/申购资金不包含认购/申购资金在认购/申购期内所产生的利息。</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理财产品募集资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指认购人按照理财产品合同的约定交付，并经管理人确认认购成功而进入理财产品账户的认购资金的总和。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5</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理财产品资</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指理财产品募集资金，以及管理人管理、运用、处分该等理财产品募集资金而取得且归于理财产品所有的货币资金。</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6</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理财产品费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管理人为成立理财产品及处理理财产品事务目的而支出的所有费用，包括但不限于管理人收取的固定投资管理费、浮动投资管理费（如有）、托管人收取的托管费、销售机构收取的销售管理费、因投资资产而产生的资产服务费（如有）、交易费用（包括但不限于交易佣金、撮合费用等）、理财产品验资费、审计费、保全费、律师费、信息披露费、清算费、执行费用、外包服务费、资产评估费、资产存续期管理所需费用及按照法律法规规章规定和理财产品销售文件约定应由产品承担的费用，具体以实际发生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执行费</w:t>
      </w:r>
      <w:r>
        <w:rPr>
          <w:rFonts w:hint="eastAsia" w:ascii="楷体" w:hAnsi="楷体" w:eastAsia="楷体" w:cs="楷体"/>
          <w:b/>
          <w:bCs/>
          <w:spacing w:val="23"/>
          <w:sz w:val="21"/>
          <w:szCs w:val="21"/>
          <w:u w:val="none"/>
        </w:rPr>
        <w:t>用：</w:t>
      </w:r>
      <w:r>
        <w:rPr>
          <w:rFonts w:hint="eastAsia" w:ascii="楷体" w:hAnsi="楷体" w:eastAsia="楷体" w:cs="楷体"/>
          <w:b w:val="0"/>
          <w:bCs w:val="0"/>
          <w:szCs w:val="21"/>
          <w:highlight w:val="none"/>
          <w:u w:val="none"/>
          <w:lang w:val="en-US" w:eastAsia="zh-CN"/>
        </w:rPr>
        <w:t>指为理财产品利益目的而进行的诉讼或仲裁等法律程序相关的费用，包括但不限于诉讼费、仲裁费、财产保全费、律师费和执行费，以及因诉讼或仲裁之需要而委托中介机构或司法机构进行鉴定、评估等而产生的费用。</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理财产品税</w:t>
      </w:r>
      <w:r>
        <w:rPr>
          <w:rFonts w:hint="eastAsia" w:ascii="楷体" w:hAnsi="楷体" w:eastAsia="楷体" w:cs="楷体"/>
          <w:b/>
          <w:bCs/>
          <w:spacing w:val="23"/>
          <w:sz w:val="21"/>
          <w:szCs w:val="21"/>
          <w:u w:val="none"/>
        </w:rPr>
        <w:t>费：</w:t>
      </w:r>
      <w:r>
        <w:rPr>
          <w:rFonts w:hint="eastAsia" w:ascii="楷体" w:hAnsi="楷体" w:eastAsia="楷体" w:cs="楷体"/>
          <w:b w:val="0"/>
          <w:bCs w:val="0"/>
          <w:szCs w:val="21"/>
          <w:highlight w:val="none"/>
          <w:u w:val="none"/>
          <w:lang w:val="en-US" w:eastAsia="zh-CN"/>
        </w:rPr>
        <w:t>指根据适用法律和理财产品销售文件规定，理财产品应缴纳和承担的税收和有权政府部门向理财产品征收的税费、规费。</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9</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理财产品利</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指投资者因持有理财产品份额，按照销售文件约定取得或有权取得的理财产品管理人分配的理财产品资产。在理财产品对外投资资产正常回收的情况下，该等财产性利益包括投资本金及理财产品收益。</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投资本</w:t>
      </w:r>
      <w:r>
        <w:rPr>
          <w:rFonts w:hint="eastAsia" w:ascii="楷体" w:hAnsi="楷体" w:eastAsia="楷体" w:cs="楷体"/>
          <w:b/>
          <w:bCs/>
          <w:spacing w:val="23"/>
          <w:sz w:val="21"/>
          <w:szCs w:val="21"/>
          <w:u w:val="none"/>
        </w:rPr>
        <w:t>金：</w:t>
      </w:r>
      <w:r>
        <w:rPr>
          <w:rFonts w:hint="eastAsia" w:ascii="楷体" w:hAnsi="楷体" w:eastAsia="楷体" w:cs="楷体"/>
          <w:b w:val="0"/>
          <w:bCs w:val="0"/>
          <w:szCs w:val="21"/>
          <w:highlight w:val="none"/>
          <w:u w:val="none"/>
          <w:lang w:val="en-US" w:eastAsia="zh-CN"/>
        </w:rPr>
        <w:t>就每一投资者而言，指投资者为认购/申购理财产品份额而向理财产品管理人交付的货币资金，即该投资者在本理财产品下的初始投资资金。就每一理财产品份额而言，在本理财产品成立时每一理财产品份额的投资本金为1元。为避免疑义，投资本金的称谓仅为方便计算理财产品利益而创设的，并非对投资者投资本金不受损失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理财产品收</w:t>
      </w:r>
      <w:r>
        <w:rPr>
          <w:rFonts w:hint="eastAsia" w:ascii="楷体" w:hAnsi="楷体" w:eastAsia="楷体" w:cs="楷体"/>
          <w:b/>
          <w:bCs/>
          <w:spacing w:val="23"/>
          <w:sz w:val="21"/>
          <w:szCs w:val="21"/>
          <w:u w:val="none"/>
        </w:rPr>
        <w:t>益：</w:t>
      </w:r>
      <w:r>
        <w:rPr>
          <w:rFonts w:hint="eastAsia" w:ascii="楷体" w:hAnsi="楷体" w:eastAsia="楷体" w:cs="楷体"/>
          <w:b w:val="0"/>
          <w:bCs w:val="0"/>
          <w:szCs w:val="21"/>
          <w:highlight w:val="none"/>
          <w:u w:val="none"/>
          <w:lang w:val="en-US" w:eastAsia="zh-CN"/>
        </w:rPr>
        <w:t>指投资者投资理财产品获得的投资收益，该收益为其获得分配的全部理财产品利益中扣除投资本金的部分。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2</w:t>
      </w:r>
      <w:r>
        <w:rPr>
          <w:rFonts w:hint="eastAsia" w:ascii="楷体" w:hAnsi="楷体" w:eastAsia="楷体" w:cs="楷体"/>
          <w:b/>
          <w:bCs/>
          <w:szCs w:val="21"/>
          <w:u w:val="none"/>
        </w:rPr>
        <w:t>.</w:t>
      </w:r>
      <w:r>
        <w:rPr>
          <w:rFonts w:hint="eastAsia" w:ascii="楷体" w:hAnsi="楷体" w:eastAsia="楷体" w:cs="楷体"/>
          <w:b/>
          <w:bCs/>
          <w:spacing w:val="6"/>
          <w:szCs w:val="21"/>
          <w:u w:val="none"/>
          <w:lang w:val="en-US" w:eastAsia="zh-CN"/>
        </w:rPr>
        <w:t>收益</w:t>
      </w:r>
      <w:r>
        <w:rPr>
          <w:rFonts w:hint="eastAsia" w:ascii="楷体" w:hAnsi="楷体" w:eastAsia="楷体" w:cs="楷体"/>
          <w:b/>
          <w:bCs/>
          <w:spacing w:val="6"/>
          <w:szCs w:val="21"/>
          <w:u w:val="none"/>
        </w:rPr>
        <w:t>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指理财产品管理人向投资者进行理财产品收益分配。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w:t>
      </w:r>
      <w:r>
        <w:rPr>
          <w:rFonts w:hint="eastAsia" w:ascii="楷体" w:hAnsi="楷体" w:eastAsia="楷体" w:cs="楷体"/>
          <w:b/>
          <w:bCs/>
          <w:spacing w:val="6"/>
          <w:szCs w:val="21"/>
          <w:u w:val="none"/>
        </w:rPr>
        <w:t>期间分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指在理财产品终止日（不含当日）前的理财产品收益分配。</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rPr>
        <w:t>1</w:t>
      </w:r>
      <w:r>
        <w:rPr>
          <w:rFonts w:hint="eastAsia" w:ascii="楷体" w:hAnsi="楷体" w:eastAsia="楷体" w:cs="楷体"/>
          <w:b/>
          <w:bCs/>
          <w:szCs w:val="21"/>
          <w:highlight w:val="none"/>
          <w:u w:val="none"/>
          <w:lang w:val="en-US" w:eastAsia="zh-CN"/>
        </w:rPr>
        <w:t>4</w:t>
      </w:r>
      <w:r>
        <w:rPr>
          <w:rFonts w:hint="eastAsia" w:ascii="楷体" w:hAnsi="楷体" w:eastAsia="楷体" w:cs="楷体"/>
          <w:b/>
          <w:bCs/>
          <w:szCs w:val="21"/>
          <w:highlight w:val="none"/>
          <w:u w:val="none"/>
        </w:rPr>
        <w:t>.</w:t>
      </w:r>
      <w:r>
        <w:rPr>
          <w:rFonts w:hint="eastAsia" w:ascii="楷体" w:hAnsi="楷体" w:eastAsia="楷体" w:cs="楷体"/>
          <w:b/>
          <w:bCs/>
          <w:spacing w:val="6"/>
          <w:szCs w:val="21"/>
          <w:highlight w:val="none"/>
          <w:u w:val="none"/>
        </w:rPr>
        <w:t>终止分</w:t>
      </w:r>
      <w:r>
        <w:rPr>
          <w:rFonts w:hint="eastAsia" w:ascii="楷体" w:hAnsi="楷体" w:eastAsia="楷体" w:cs="楷体"/>
          <w:b/>
          <w:bCs/>
          <w:spacing w:val="23"/>
          <w:sz w:val="21"/>
          <w:szCs w:val="21"/>
          <w:u w:val="none"/>
        </w:rPr>
        <w:t>配：</w:t>
      </w:r>
      <w:r>
        <w:rPr>
          <w:rFonts w:hint="eastAsia" w:ascii="楷体" w:hAnsi="楷体" w:eastAsia="楷体" w:cs="楷体"/>
          <w:b w:val="0"/>
          <w:bCs w:val="0"/>
          <w:szCs w:val="21"/>
          <w:highlight w:val="none"/>
          <w:u w:val="none"/>
          <w:lang w:val="en-US" w:eastAsia="zh-CN"/>
        </w:rPr>
        <w:t>指在理财产品终止日当日及之后的理财产品可得资金分配，该等可得资金包括本金和理财收益（如有）。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理财产品份</w:t>
      </w:r>
      <w:r>
        <w:rPr>
          <w:rFonts w:hint="eastAsia" w:ascii="楷体" w:hAnsi="楷体" w:eastAsia="楷体" w:cs="楷体"/>
          <w:b/>
          <w:bCs/>
          <w:spacing w:val="23"/>
          <w:sz w:val="21"/>
          <w:szCs w:val="21"/>
          <w:u w:val="none"/>
        </w:rPr>
        <w:t>额：</w:t>
      </w:r>
      <w:r>
        <w:rPr>
          <w:rFonts w:hint="eastAsia" w:ascii="楷体" w:hAnsi="楷体" w:eastAsia="楷体" w:cs="楷体"/>
          <w:b w:val="0"/>
          <w:bCs w:val="0"/>
          <w:szCs w:val="21"/>
          <w:highlight w:val="none"/>
          <w:u w:val="none"/>
          <w:lang w:val="en-US" w:eastAsia="zh-CN"/>
        </w:rPr>
        <w:t>指管理人依据理财产品销售文件向投资者发行的一种资产受益凭证。理财产品份额持有人基于其所持有的理财产品份额享有理财产品利益，承担理财产品资产风险。</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16.</w:t>
      </w:r>
      <w:r>
        <w:rPr>
          <w:rFonts w:hint="eastAsia" w:ascii="楷体" w:hAnsi="楷体" w:eastAsia="楷体" w:cs="楷体"/>
          <w:b/>
          <w:bCs/>
          <w:spacing w:val="6"/>
          <w:szCs w:val="21"/>
          <w:u w:val="none"/>
        </w:rPr>
        <w:t>理财产品资产净值/理财资产净值/产品资产净</w:t>
      </w:r>
      <w:r>
        <w:rPr>
          <w:rFonts w:hint="eastAsia" w:ascii="楷体" w:hAnsi="楷体" w:eastAsia="楷体" w:cs="楷体"/>
          <w:b/>
          <w:bCs/>
          <w:spacing w:val="23"/>
          <w:sz w:val="21"/>
          <w:szCs w:val="21"/>
          <w:u w:val="none"/>
        </w:rPr>
        <w:t>值</w:t>
      </w:r>
      <w:r>
        <w:rPr>
          <w:rFonts w:hint="eastAsia" w:ascii="楷体" w:hAnsi="楷体" w:eastAsia="楷体" w:cs="楷体"/>
          <w:b/>
          <w:bCs/>
          <w:spacing w:val="23"/>
          <w:sz w:val="21"/>
          <w:szCs w:val="21"/>
          <w:u w:val="none"/>
          <w:lang w:eastAsia="zh-CN"/>
        </w:rPr>
        <w:t>：</w:t>
      </w:r>
      <w:r>
        <w:rPr>
          <w:rFonts w:hint="eastAsia" w:ascii="楷体" w:hAnsi="楷体" w:eastAsia="楷体" w:cs="楷体"/>
          <w:b w:val="0"/>
          <w:bCs w:val="0"/>
          <w:szCs w:val="21"/>
          <w:highlight w:val="none"/>
          <w:u w:val="none"/>
          <w:lang w:val="en-US" w:eastAsia="zh-CN"/>
        </w:rPr>
        <w:t>理财产品资产净值=理财产品资产总值-理财产品负债总值。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17.</w:t>
      </w:r>
      <w:r>
        <w:rPr>
          <w:rFonts w:hint="eastAsia" w:ascii="楷体" w:hAnsi="楷体" w:eastAsia="楷体" w:cs="楷体"/>
          <w:b/>
          <w:bCs/>
          <w:spacing w:val="6"/>
          <w:szCs w:val="21"/>
          <w:u w:val="none"/>
          <w:lang w:val="en-US" w:eastAsia="zh-CN"/>
        </w:rPr>
        <w:t>理财产品资产总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是指理财产品拥有的各类有价证券、银行存款、应收款项及其他资产的价值总和。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18.</w:t>
      </w:r>
      <w:r>
        <w:rPr>
          <w:rFonts w:hint="eastAsia" w:ascii="楷体" w:hAnsi="楷体" w:eastAsia="楷体" w:cs="楷体"/>
          <w:b/>
          <w:bCs/>
          <w:spacing w:val="6"/>
          <w:szCs w:val="21"/>
          <w:u w:val="none"/>
          <w:lang w:val="en-US" w:eastAsia="zh-CN"/>
        </w:rPr>
        <w:t>理财产品负债总</w:t>
      </w:r>
      <w:r>
        <w:rPr>
          <w:rFonts w:hint="eastAsia" w:ascii="楷体" w:hAnsi="楷体" w:eastAsia="楷体" w:cs="楷体"/>
          <w:b/>
          <w:bCs/>
          <w:spacing w:val="23"/>
          <w:sz w:val="21"/>
          <w:szCs w:val="21"/>
          <w:u w:val="none"/>
          <w:lang w:val="en-US" w:eastAsia="zh-CN"/>
        </w:rPr>
        <w:t>值：</w:t>
      </w:r>
      <w:r>
        <w:rPr>
          <w:rFonts w:hint="eastAsia" w:ascii="楷体" w:hAnsi="楷体" w:eastAsia="楷体" w:cs="楷体"/>
          <w:b w:val="0"/>
          <w:bCs w:val="0"/>
          <w:szCs w:val="21"/>
          <w:highlight w:val="none"/>
          <w:u w:val="none"/>
          <w:lang w:val="en-US" w:eastAsia="zh-CN"/>
        </w:rPr>
        <w:t>是指理财产品运作及融资时形成的负债价值总和，包括融资资金本息、应付各项费用、应付税金及其他应付款项等。</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指理财产品份额的单位净值，即每1份理财产品份额以人民币计价的价格。</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20</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lang w:val="en-US" w:eastAsia="zh-CN"/>
        </w:rPr>
        <w:t>理财产品份额累计净</w:t>
      </w:r>
      <w:r>
        <w:rPr>
          <w:rFonts w:hint="eastAsia" w:ascii="楷体" w:hAnsi="楷体" w:eastAsia="楷体" w:cs="楷体"/>
          <w:b/>
          <w:bCs/>
          <w:spacing w:val="23"/>
          <w:sz w:val="21"/>
          <w:szCs w:val="21"/>
          <w:u w:val="none"/>
          <w:lang w:val="en-US" w:eastAsia="zh-CN"/>
        </w:rPr>
        <w:t>值</w:t>
      </w:r>
      <w:r>
        <w:rPr>
          <w:rFonts w:hint="eastAsia" w:ascii="楷体" w:hAnsi="楷体" w:eastAsia="楷体" w:cs="楷体"/>
          <w:b/>
          <w:bCs/>
          <w:spacing w:val="23"/>
          <w:sz w:val="21"/>
          <w:szCs w:val="21"/>
          <w:u w:val="none"/>
        </w:rPr>
        <w:t>：</w:t>
      </w:r>
      <w:r>
        <w:rPr>
          <w:rFonts w:hint="eastAsia" w:ascii="楷体" w:hAnsi="楷体" w:eastAsia="楷体" w:cs="楷体"/>
          <w:b w:val="0"/>
          <w:bCs w:val="0"/>
          <w:szCs w:val="21"/>
          <w:highlight w:val="none"/>
          <w:u w:val="none"/>
          <w:lang w:val="en-US" w:eastAsia="zh-CN"/>
        </w:rPr>
        <w:t>指理财产品份额的单位净值与产品成立后历次累计单位收益分配的总和。</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21</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理财产品估</w:t>
      </w:r>
      <w:r>
        <w:rPr>
          <w:rFonts w:hint="eastAsia" w:ascii="楷体" w:hAnsi="楷体" w:eastAsia="楷体" w:cs="楷体"/>
          <w:b/>
          <w:bCs/>
          <w:spacing w:val="23"/>
          <w:sz w:val="21"/>
          <w:szCs w:val="21"/>
          <w:u w:val="none"/>
        </w:rPr>
        <w:t>值：</w:t>
      </w:r>
      <w:r>
        <w:rPr>
          <w:rFonts w:hint="eastAsia" w:ascii="楷体" w:hAnsi="楷体" w:eastAsia="楷体" w:cs="楷体"/>
          <w:b w:val="0"/>
          <w:bCs w:val="0"/>
          <w:szCs w:val="21"/>
          <w:highlight w:val="none"/>
          <w:u w:val="none"/>
          <w:lang w:val="en-US" w:eastAsia="zh-CN"/>
        </w:rPr>
        <w:t>指评估理财产品资产及负债以确定理财产品份额净值的过程。</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22</w:t>
      </w:r>
      <w:r>
        <w:rPr>
          <w:rFonts w:hint="eastAsia" w:ascii="楷体" w:hAnsi="楷体" w:eastAsia="楷体" w:cs="楷体"/>
          <w:b/>
          <w:bCs/>
          <w:szCs w:val="21"/>
          <w:u w:val="none"/>
        </w:rPr>
        <w:t>.</w:t>
      </w:r>
      <w:r>
        <w:rPr>
          <w:rFonts w:hint="eastAsia" w:ascii="楷体" w:hAnsi="楷体" w:eastAsia="楷体" w:cs="楷体"/>
          <w:b/>
          <w:bCs/>
          <w:spacing w:val="6"/>
          <w:szCs w:val="21"/>
          <w:u w:val="none"/>
        </w:rPr>
        <w:t>业绩比较基</w:t>
      </w:r>
      <w:r>
        <w:rPr>
          <w:rFonts w:hint="eastAsia" w:ascii="楷体" w:hAnsi="楷体" w:eastAsia="楷体" w:cs="楷体"/>
          <w:b/>
          <w:bCs/>
          <w:spacing w:val="23"/>
          <w:sz w:val="21"/>
          <w:szCs w:val="21"/>
          <w:u w:val="none"/>
        </w:rPr>
        <w:t>准：</w:t>
      </w:r>
      <w:r>
        <w:rPr>
          <w:rFonts w:hint="eastAsia" w:ascii="楷体" w:hAnsi="楷体" w:eastAsia="楷体" w:cs="楷体"/>
          <w:b w:val="0"/>
          <w:bCs w:val="0"/>
          <w:szCs w:val="21"/>
          <w:highlight w:val="none"/>
          <w:u w:val="none"/>
          <w:lang w:val="en-US" w:eastAsia="zh-CN"/>
        </w:rPr>
        <w:t>业绩比较基准是管理人基于产品性质、投资策略、过往经验等因素对产品设定的投资目标，业绩比较基准不是预期收益率，不代表产品的未来表现和实际收益，不构成对产品收益的承诺。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23</w:t>
      </w:r>
      <w:r>
        <w:rPr>
          <w:rFonts w:hint="eastAsia" w:ascii="楷体" w:hAnsi="楷体" w:eastAsia="楷体" w:cs="楷体"/>
          <w:b/>
          <w:bCs/>
          <w:szCs w:val="21"/>
          <w:u w:val="none"/>
        </w:rPr>
        <w:t>.</w:t>
      </w:r>
      <w:r>
        <w:rPr>
          <w:rFonts w:hint="eastAsia" w:ascii="楷体" w:hAnsi="楷体" w:eastAsia="楷体" w:cs="楷体"/>
          <w:b/>
          <w:bCs/>
          <w:spacing w:val="6"/>
          <w:szCs w:val="21"/>
          <w:u w:val="none"/>
        </w:rPr>
        <w:t>认</w:t>
      </w:r>
      <w:r>
        <w:rPr>
          <w:rFonts w:hint="eastAsia" w:ascii="楷体" w:hAnsi="楷体" w:eastAsia="楷体" w:cs="楷体"/>
          <w:b/>
          <w:bCs/>
          <w:spacing w:val="23"/>
          <w:sz w:val="21"/>
          <w:szCs w:val="21"/>
          <w:u w:val="none"/>
        </w:rPr>
        <w:t>购：</w:t>
      </w:r>
      <w:r>
        <w:rPr>
          <w:rFonts w:hint="eastAsia" w:ascii="楷体" w:hAnsi="楷体" w:eastAsia="楷体" w:cs="楷体"/>
          <w:b w:val="0"/>
          <w:bCs w:val="0"/>
          <w:szCs w:val="21"/>
          <w:highlight w:val="none"/>
          <w:u w:val="none"/>
          <w:lang w:val="en-US" w:eastAsia="zh-CN"/>
        </w:rPr>
        <w:t>指在理财产品的募集期内，投资者根据《产品说明书》约定申请购买本产品理财产品份额的行为。</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24</w:t>
      </w:r>
      <w:r>
        <w:rPr>
          <w:rFonts w:hint="eastAsia" w:ascii="楷体" w:hAnsi="楷体" w:eastAsia="楷体" w:cs="楷体"/>
          <w:b/>
          <w:bCs/>
          <w:szCs w:val="21"/>
          <w:u w:val="none"/>
        </w:rPr>
        <w:t>.</w:t>
      </w:r>
      <w:r>
        <w:rPr>
          <w:rFonts w:hint="eastAsia" w:ascii="楷体" w:hAnsi="楷体" w:eastAsia="楷体" w:cs="楷体"/>
          <w:b/>
          <w:bCs/>
          <w:spacing w:val="6"/>
          <w:szCs w:val="21"/>
          <w:u w:val="none"/>
        </w:rPr>
        <w:t>申购/赎</w:t>
      </w:r>
      <w:r>
        <w:rPr>
          <w:rFonts w:hint="eastAsia" w:ascii="楷体" w:hAnsi="楷体" w:eastAsia="楷体" w:cs="楷体"/>
          <w:b/>
          <w:bCs/>
          <w:spacing w:val="23"/>
          <w:sz w:val="21"/>
          <w:szCs w:val="21"/>
          <w:u w:val="none"/>
        </w:rPr>
        <w:t>回：</w:t>
      </w:r>
      <w:r>
        <w:rPr>
          <w:rFonts w:hint="eastAsia" w:ascii="楷体" w:hAnsi="楷体" w:eastAsia="楷体" w:cs="楷体"/>
          <w:b w:val="0"/>
          <w:bCs w:val="0"/>
          <w:szCs w:val="21"/>
          <w:highlight w:val="none"/>
          <w:u w:val="none"/>
          <w:lang w:val="en-US" w:eastAsia="zh-CN"/>
        </w:rPr>
        <w:t>指在理财产品的开放日，投资者向销售机构提出对理财产品份额进行购买/卖出的行为。</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25</w:t>
      </w:r>
      <w:r>
        <w:rPr>
          <w:rFonts w:hint="eastAsia" w:ascii="楷体" w:hAnsi="楷体" w:eastAsia="楷体" w:cs="楷体"/>
          <w:b/>
          <w:bCs/>
          <w:szCs w:val="21"/>
          <w:u w:val="none"/>
        </w:rPr>
        <w:t>.</w:t>
      </w:r>
      <w:r>
        <w:rPr>
          <w:rFonts w:hint="eastAsia" w:ascii="楷体" w:hAnsi="楷体" w:eastAsia="楷体" w:cs="楷体"/>
          <w:b/>
          <w:bCs/>
          <w:spacing w:val="6"/>
          <w:szCs w:val="21"/>
          <w:u w:val="none"/>
        </w:rPr>
        <w:t>巨额赎</w:t>
      </w:r>
      <w:r>
        <w:rPr>
          <w:rFonts w:hint="eastAsia" w:ascii="楷体" w:hAnsi="楷体" w:eastAsia="楷体" w:cs="楷体"/>
          <w:b/>
          <w:bCs/>
          <w:spacing w:val="23"/>
          <w:sz w:val="21"/>
          <w:szCs w:val="21"/>
          <w:u w:val="none"/>
        </w:rPr>
        <w:t>回：</w:t>
      </w:r>
      <w:r>
        <w:rPr>
          <w:rFonts w:hint="eastAsia" w:ascii="楷体" w:hAnsi="楷体" w:eastAsia="楷体" w:cs="楷体"/>
          <w:b w:val="0"/>
          <w:bCs w:val="0"/>
          <w:color w:val="auto"/>
          <w:szCs w:val="21"/>
          <w:highlight w:val="none"/>
          <w:u w:val="none"/>
          <w:lang w:val="en-US" w:eastAsia="zh-CN"/>
        </w:rPr>
        <w:t>在理财产品存续期内，若理财产品任一赎回开放日净赎回申请份额（赎回申请份额总数扣除申购申请份额总数）超过本理财产品上一【交易日】日终份额的</w:t>
      </w:r>
      <w:r>
        <w:rPr>
          <w:rFonts w:hint="eastAsia" w:ascii="楷体" w:hAnsi="楷体" w:eastAsia="楷体" w:cs="楷体"/>
          <w:b w:val="0"/>
          <w:bCs w:val="0"/>
          <w:color w:val="auto"/>
          <w:szCs w:val="21"/>
          <w:u w:val="none"/>
        </w:rPr>
        <w:t>10%</w:t>
      </w:r>
      <w:r>
        <w:rPr>
          <w:rFonts w:hint="eastAsia" w:ascii="楷体" w:hAnsi="楷体" w:eastAsia="楷体" w:cs="楷体"/>
          <w:b w:val="0"/>
          <w:bCs w:val="0"/>
          <w:color w:val="auto"/>
          <w:szCs w:val="21"/>
          <w:highlight w:val="none"/>
          <w:u w:val="none"/>
          <w:lang w:val="en-US" w:eastAsia="zh-CN"/>
        </w:rPr>
        <w:t>时，即为发生巨额赎回。</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26.</w:t>
      </w:r>
      <w:r>
        <w:rPr>
          <w:rFonts w:hint="eastAsia" w:ascii="楷体" w:hAnsi="楷体" w:eastAsia="楷体" w:cs="楷体"/>
          <w:b/>
          <w:bCs/>
          <w:color w:val="auto"/>
          <w:spacing w:val="6"/>
          <w:szCs w:val="21"/>
          <w:u w:val="none"/>
          <w:lang w:val="en-US" w:eastAsia="zh-CN"/>
        </w:rPr>
        <w:t>高流动性资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 xml:space="preserve">指现金或者到期日在一年以内的国债、中央银行票据和政策性金融债券。 </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27.</w:t>
      </w:r>
      <w:r>
        <w:rPr>
          <w:rFonts w:hint="eastAsia" w:ascii="楷体" w:hAnsi="楷体" w:eastAsia="楷体" w:cs="楷体"/>
          <w:b/>
          <w:bCs/>
          <w:color w:val="auto"/>
          <w:spacing w:val="6"/>
          <w:szCs w:val="21"/>
          <w:u w:val="none"/>
          <w:lang w:val="en-US" w:eastAsia="zh-CN"/>
        </w:rPr>
        <w:t>流动性受限资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 xml:space="preserve">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 资产支持证券（票据），因发行人债务违约无法进行转让或交易的债券和非金融企业债务融资工具，以及其他流动性受限资产。法律法规或监管机构另有规定的，从其规定。 </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28.</w:t>
      </w:r>
      <w:r>
        <w:rPr>
          <w:rFonts w:hint="eastAsia" w:ascii="楷体" w:hAnsi="楷体" w:eastAsia="楷体" w:cs="楷体"/>
          <w:b/>
          <w:bCs/>
          <w:color w:val="auto"/>
          <w:spacing w:val="6"/>
          <w:szCs w:val="21"/>
          <w:u w:val="none"/>
          <w:lang w:val="en-US" w:eastAsia="zh-CN"/>
        </w:rPr>
        <w:t>7个工作日可变现资</w:t>
      </w:r>
      <w:r>
        <w:rPr>
          <w:rFonts w:hint="eastAsia" w:ascii="楷体" w:hAnsi="楷体" w:eastAsia="楷体" w:cs="楷体"/>
          <w:b/>
          <w:bCs/>
          <w:spacing w:val="23"/>
          <w:sz w:val="21"/>
          <w:szCs w:val="21"/>
          <w:u w:val="none"/>
          <w:lang w:val="en-US" w:eastAsia="zh-CN"/>
        </w:rPr>
        <w:t>产：</w:t>
      </w:r>
      <w:r>
        <w:rPr>
          <w:rFonts w:hint="eastAsia" w:ascii="楷体" w:hAnsi="楷体" w:eastAsia="楷体" w:cs="楷体"/>
          <w:b w:val="0"/>
          <w:bCs w:val="0"/>
          <w:szCs w:val="21"/>
          <w:highlight w:val="none"/>
          <w:u w:val="none"/>
          <w:lang w:val="en-US" w:eastAsia="zh-CN"/>
        </w:rPr>
        <w:t xml:space="preserve">包括可在交易所、银行间市场正常交易的股票、债券、非金融企业债务融资工具、期货及期权合约以及同业存单，7个工作日内到期或可支取的买入返售、银行存款，7个工作日内能够确认收到的各类应收款项等。 </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highlight w:val="none"/>
          <w:u w:val="none"/>
          <w:lang w:val="en-US" w:eastAsia="zh-CN"/>
        </w:rPr>
        <w:t>29.</w:t>
      </w:r>
      <w:r>
        <w:rPr>
          <w:rFonts w:hint="eastAsia" w:ascii="楷体" w:hAnsi="楷体" w:eastAsia="楷体" w:cs="楷体"/>
          <w:b/>
          <w:bCs/>
          <w:color w:val="auto"/>
          <w:spacing w:val="6"/>
          <w:szCs w:val="21"/>
          <w:highlight w:val="none"/>
          <w:u w:val="none"/>
          <w:lang w:val="en-US" w:eastAsia="zh-CN"/>
        </w:rPr>
        <w:t>摆动定价机</w:t>
      </w:r>
      <w:r>
        <w:rPr>
          <w:rFonts w:hint="eastAsia" w:ascii="楷体" w:hAnsi="楷体" w:eastAsia="楷体" w:cs="楷体"/>
          <w:b/>
          <w:bCs/>
          <w:spacing w:val="23"/>
          <w:sz w:val="21"/>
          <w:szCs w:val="21"/>
          <w:u w:val="none"/>
          <w:lang w:val="en-US" w:eastAsia="zh-CN"/>
        </w:rPr>
        <w:t>制：</w:t>
      </w:r>
      <w:r>
        <w:rPr>
          <w:rFonts w:hint="eastAsia" w:ascii="楷体" w:hAnsi="楷体" w:eastAsia="楷体" w:cs="楷体"/>
          <w:b w:val="0"/>
          <w:bCs w:val="0"/>
          <w:szCs w:val="21"/>
          <w:highlight w:val="none"/>
          <w:u w:val="none"/>
          <w:lang w:val="en-US" w:eastAsia="zh-CN"/>
        </w:rPr>
        <w:t>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确保投资者的合法权益不受损害并得到公平对待。</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（四）相关账户</w:t>
      </w:r>
    </w:p>
    <w:p>
      <w:pPr>
        <w:spacing w:line="360" w:lineRule="auto"/>
        <w:ind w:firstLine="446"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pacing w:val="6"/>
          <w:szCs w:val="21"/>
          <w:u w:val="none"/>
        </w:rPr>
        <w:t>理财托管账户/理财产品账</w:t>
      </w:r>
      <w:r>
        <w:rPr>
          <w:rFonts w:hint="eastAsia" w:ascii="楷体" w:hAnsi="楷体" w:eastAsia="楷体" w:cs="楷体"/>
          <w:b/>
          <w:bCs/>
          <w:spacing w:val="23"/>
          <w:sz w:val="21"/>
          <w:szCs w:val="21"/>
          <w:u w:val="none"/>
        </w:rPr>
        <w:t>户：</w:t>
      </w:r>
      <w:r>
        <w:rPr>
          <w:rFonts w:hint="eastAsia" w:ascii="楷体" w:hAnsi="楷体" w:eastAsia="楷体" w:cs="楷体"/>
          <w:b w:val="0"/>
          <w:bCs w:val="0"/>
          <w:szCs w:val="21"/>
          <w:highlight w:val="none"/>
          <w:u w:val="none"/>
          <w:lang w:val="en-US" w:eastAsia="zh-CN"/>
        </w:rPr>
        <w:t>指理财产品管理人以理财产品的名义在托管人处单独开立的资金管理账户，理财产品资金的一切收支活动，均必须通过该账户进行。</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（五）期间与日期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pacing w:val="6"/>
          <w:szCs w:val="21"/>
          <w:u w:val="none"/>
        </w:rPr>
        <w:t>交易</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指上海证券交易所和深圳证券交易所的正常开盘交易日。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2.</w:t>
      </w:r>
      <w:r>
        <w:rPr>
          <w:rFonts w:hint="eastAsia" w:ascii="楷体" w:hAnsi="楷体" w:eastAsia="楷体" w:cs="楷体"/>
          <w:b/>
          <w:bCs/>
          <w:spacing w:val="6"/>
          <w:szCs w:val="21"/>
          <w:u w:val="none"/>
        </w:rPr>
        <w:t>银行工作</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指除中国法定节假日和公休日外的其他日。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highlight w:val="none"/>
          <w:u w:val="none"/>
          <w:lang w:val="en-US" w:eastAsia="zh-CN"/>
        </w:rPr>
        <w:t>3.工作日：</w:t>
      </w:r>
      <w:r>
        <w:rPr>
          <w:rFonts w:hint="eastAsia" w:ascii="楷体" w:hAnsi="楷体" w:eastAsia="楷体" w:cs="楷体"/>
          <w:b w:val="0"/>
          <w:bCs w:val="0"/>
          <w:szCs w:val="21"/>
          <w:highlight w:val="none"/>
          <w:u w:val="none"/>
          <w:lang w:val="en-US" w:eastAsia="zh-CN"/>
        </w:rPr>
        <w:t>指交易日或银行工作日，本《产品说明书》中“工作日”指【交易日】。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自然</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包括正常的工作日和周末休假日，也包括假期。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5</w:t>
      </w:r>
      <w:r>
        <w:rPr>
          <w:rFonts w:hint="eastAsia" w:ascii="楷体" w:hAnsi="楷体" w:eastAsia="楷体" w:cs="楷体"/>
          <w:b/>
          <w:bCs/>
          <w:szCs w:val="21"/>
          <w:u w:val="none"/>
        </w:rPr>
        <w:t>.</w:t>
      </w:r>
      <w:r>
        <w:rPr>
          <w:rFonts w:hint="eastAsia" w:ascii="楷体" w:hAnsi="楷体" w:eastAsia="楷体" w:cs="楷体"/>
          <w:b/>
          <w:bCs/>
          <w:spacing w:val="6"/>
          <w:szCs w:val="21"/>
          <w:u w:val="none"/>
        </w:rPr>
        <w:t>认购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前，理财产品管理人接受理财产品认购的时间。但在该期间内如认购人提交认购申请的认购份额提前达到《产品说明书》所载的发行规模上限的，管理人有权暂停接受认购申请，该情况下产品成立日保持不变。</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6</w:t>
      </w:r>
      <w:r>
        <w:rPr>
          <w:rFonts w:hint="eastAsia" w:ascii="楷体" w:hAnsi="楷体" w:eastAsia="楷体" w:cs="楷体"/>
          <w:b/>
          <w:bCs/>
          <w:szCs w:val="21"/>
          <w:u w:val="none"/>
        </w:rPr>
        <w:t>.</w:t>
      </w:r>
      <w:r>
        <w:rPr>
          <w:rFonts w:hint="eastAsia" w:ascii="楷体" w:hAnsi="楷体" w:eastAsia="楷体" w:cs="楷体"/>
          <w:b/>
          <w:bCs/>
          <w:spacing w:val="6"/>
          <w:szCs w:val="21"/>
          <w:u w:val="none"/>
        </w:rPr>
        <w:t>产品成立</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指达到《产品说明书》约定的成立条件后理财产品成立的日期。</w:t>
      </w:r>
    </w:p>
    <w:p>
      <w:pPr>
        <w:spacing w:line="360" w:lineRule="auto"/>
        <w:ind w:firstLine="422"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理财产品预计到期日/预计到期</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指《产品说明书》约定的预计到期日，</w:t>
      </w:r>
      <w:r>
        <w:rPr>
          <w:rFonts w:hint="eastAsia" w:ascii="楷体" w:hAnsi="楷体" w:eastAsia="楷体" w:cs="楷体"/>
          <w:b w:val="0"/>
          <w:bCs w:val="0"/>
          <w:color w:val="auto"/>
          <w:szCs w:val="21"/>
          <w:highlight w:val="none"/>
          <w:u w:val="none"/>
          <w:lang w:val="en-US" w:eastAsia="zh-CN"/>
        </w:rPr>
        <w:t>如遇非【交易日】顺延至下一个【交易日】。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8</w:t>
      </w:r>
      <w:r>
        <w:rPr>
          <w:rFonts w:hint="eastAsia" w:ascii="楷体" w:hAnsi="楷体" w:eastAsia="楷体" w:cs="楷体"/>
          <w:b/>
          <w:bCs/>
          <w:szCs w:val="21"/>
          <w:u w:val="none"/>
        </w:rPr>
        <w:t>.</w:t>
      </w:r>
      <w:r>
        <w:rPr>
          <w:rFonts w:hint="eastAsia" w:ascii="楷体" w:hAnsi="楷体" w:eastAsia="楷体" w:cs="楷体"/>
          <w:b/>
          <w:bCs/>
          <w:spacing w:val="6"/>
          <w:szCs w:val="21"/>
          <w:u w:val="none"/>
        </w:rPr>
        <w:t>理财产品到期日/终止日：</w:t>
      </w:r>
      <w:r>
        <w:rPr>
          <w:rFonts w:hint="eastAsia" w:ascii="楷体" w:hAnsi="楷体" w:eastAsia="楷体" w:cs="楷体"/>
          <w:b w:val="0"/>
          <w:bCs w:val="0"/>
          <w:szCs w:val="21"/>
          <w:highlight w:val="none"/>
          <w:u w:val="none"/>
          <w:lang w:val="en-US" w:eastAsia="zh-CN"/>
        </w:rPr>
        <w:t>指理财产品实际终止之日，根据实际情况，是指理财产品预计到期日，或管理人根据本《产品说明书》约定宣布本理财产品早于理财产品预计到期日而终止之日或宣布本理财产品延长后的终止之日（含延长后的到期终止之日，以及管理人在延期期限内根据本《产品说明书》约定宣布本理财产品终止之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9</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预计存续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指理财产品成立日起，至理财产品预计到期日的期间。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lang w:val="en-US" w:eastAsia="zh-CN"/>
        </w:rPr>
        <w:t>10</w:t>
      </w:r>
      <w:r>
        <w:rPr>
          <w:rFonts w:hint="eastAsia" w:ascii="楷体" w:hAnsi="楷体" w:eastAsia="楷体" w:cs="楷体"/>
          <w:b/>
          <w:bCs/>
          <w:szCs w:val="21"/>
          <w:u w:val="none"/>
        </w:rPr>
        <w:t>.</w:t>
      </w:r>
      <w:r>
        <w:rPr>
          <w:rFonts w:hint="eastAsia" w:ascii="楷体" w:hAnsi="楷体" w:eastAsia="楷体" w:cs="楷体"/>
          <w:b/>
          <w:bCs/>
          <w:spacing w:val="6"/>
          <w:szCs w:val="21"/>
          <w:u w:val="none"/>
        </w:rPr>
        <w:t>产品存续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指自理财产品成立日起，至理财产品终止日的期间。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1</w:t>
      </w:r>
      <w:r>
        <w:rPr>
          <w:rFonts w:hint="eastAsia" w:ascii="楷体" w:hAnsi="楷体" w:eastAsia="楷体" w:cs="楷体"/>
          <w:b/>
          <w:bCs/>
          <w:szCs w:val="21"/>
          <w:u w:val="none"/>
        </w:rPr>
        <w:t>.</w:t>
      </w:r>
      <w:r>
        <w:rPr>
          <w:rFonts w:hint="eastAsia" w:ascii="楷体" w:hAnsi="楷体" w:eastAsia="楷体" w:cs="楷体"/>
          <w:b/>
          <w:bCs/>
          <w:spacing w:val="6"/>
          <w:szCs w:val="21"/>
          <w:u w:val="none"/>
        </w:rPr>
        <w:t>估值日：</w:t>
      </w:r>
      <w:r>
        <w:rPr>
          <w:rFonts w:hint="eastAsia" w:ascii="楷体" w:hAnsi="楷体" w:eastAsia="楷体" w:cs="楷体"/>
          <w:b w:val="0"/>
          <w:bCs w:val="0"/>
          <w:szCs w:val="21"/>
          <w:highlight w:val="none"/>
          <w:u w:val="none"/>
          <w:lang w:val="en-US" w:eastAsia="zh-CN"/>
        </w:rPr>
        <w:t>指产品管理人对理财产品项下资产进行估值的日期。</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投资封闭</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产品发售后暂停受理申购、赎回业务的一段封闭的时间。</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3</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开放</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指为投资者办理本理财产品份额申购、赎回或其他业务的日期。</w:t>
      </w:r>
    </w:p>
    <w:p>
      <w:pPr>
        <w:spacing w:line="360" w:lineRule="auto"/>
        <w:ind w:left="105" w:leftChars="50" w:firstLine="316" w:firstLineChars="15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4</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确认</w:t>
      </w:r>
      <w:r>
        <w:rPr>
          <w:rFonts w:hint="eastAsia" w:ascii="楷体" w:hAnsi="楷体" w:eastAsia="楷体" w:cs="楷体"/>
          <w:b/>
          <w:bCs/>
          <w:spacing w:val="23"/>
          <w:sz w:val="21"/>
          <w:szCs w:val="21"/>
          <w:u w:val="none"/>
        </w:rPr>
        <w:t>日：</w:t>
      </w:r>
      <w:r>
        <w:rPr>
          <w:rFonts w:hint="eastAsia" w:ascii="楷体" w:hAnsi="楷体" w:eastAsia="楷体" w:cs="楷体"/>
          <w:b w:val="0"/>
          <w:bCs w:val="0"/>
          <w:szCs w:val="21"/>
          <w:highlight w:val="none"/>
          <w:u w:val="none"/>
          <w:lang w:val="en-US" w:eastAsia="zh-CN"/>
        </w:rPr>
        <w:t>产品管理人对投资者的有效申请进行确认的时间。</w:t>
      </w:r>
    </w:p>
    <w:p>
      <w:pPr>
        <w:spacing w:line="360" w:lineRule="auto"/>
        <w:ind w:left="0" w:leftChars="0"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5</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收益分配基</w:t>
      </w:r>
      <w:r>
        <w:rPr>
          <w:rFonts w:hint="eastAsia" w:ascii="楷体" w:hAnsi="楷体" w:eastAsia="楷体" w:cs="楷体"/>
          <w:b/>
          <w:bCs/>
          <w:spacing w:val="23"/>
          <w:sz w:val="21"/>
          <w:szCs w:val="21"/>
          <w:u w:val="none"/>
        </w:rPr>
        <w:t>准日</w:t>
      </w:r>
      <w:r>
        <w:rPr>
          <w:rFonts w:hint="eastAsia" w:ascii="楷体" w:hAnsi="楷体" w:eastAsia="楷体" w:cs="楷体"/>
          <w:b/>
          <w:bCs/>
          <w:color w:val="auto"/>
          <w:spacing w:val="6"/>
          <w:szCs w:val="21"/>
          <w:u w:val="none"/>
        </w:rPr>
        <w:t>：</w:t>
      </w:r>
      <w:r>
        <w:rPr>
          <w:rFonts w:hint="eastAsia" w:ascii="楷体" w:hAnsi="楷体" w:eastAsia="楷体" w:cs="楷体"/>
          <w:b w:val="0"/>
          <w:bCs w:val="0"/>
          <w:szCs w:val="21"/>
          <w:highlight w:val="none"/>
          <w:u w:val="none"/>
          <w:lang w:val="en-US" w:eastAsia="zh-CN"/>
        </w:rPr>
        <w:t>是指可供分配利润的计算截止日。</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rPr>
        <w:t>1</w:t>
      </w:r>
      <w:r>
        <w:rPr>
          <w:rFonts w:hint="eastAsia" w:ascii="楷体" w:hAnsi="楷体" w:eastAsia="楷体" w:cs="楷体"/>
          <w:b/>
          <w:bCs/>
          <w:color w:val="auto"/>
          <w:szCs w:val="21"/>
          <w:u w:val="none"/>
          <w:lang w:val="en-US" w:eastAsia="zh-CN"/>
        </w:rPr>
        <w:t>6</w:t>
      </w:r>
      <w:r>
        <w:rPr>
          <w:rFonts w:hint="eastAsia" w:ascii="楷体" w:hAnsi="楷体" w:eastAsia="楷体" w:cs="楷体"/>
          <w:b/>
          <w:bCs/>
          <w:color w:val="auto"/>
          <w:szCs w:val="21"/>
          <w:u w:val="none"/>
        </w:rPr>
        <w:t>.</w:t>
      </w:r>
      <w:r>
        <w:rPr>
          <w:rFonts w:hint="eastAsia" w:ascii="楷体" w:hAnsi="楷体" w:eastAsia="楷体" w:cs="楷体"/>
          <w:b/>
          <w:bCs/>
          <w:color w:val="auto"/>
          <w:spacing w:val="6"/>
          <w:szCs w:val="21"/>
          <w:u w:val="none"/>
        </w:rPr>
        <w:t>最短持有</w:t>
      </w:r>
      <w:r>
        <w:rPr>
          <w:rFonts w:hint="eastAsia" w:ascii="楷体" w:hAnsi="楷体" w:eastAsia="楷体" w:cs="楷体"/>
          <w:b/>
          <w:bCs/>
          <w:spacing w:val="23"/>
          <w:sz w:val="21"/>
          <w:szCs w:val="21"/>
          <w:u w:val="none"/>
        </w:rPr>
        <w:t>期：</w:t>
      </w:r>
      <w:r>
        <w:rPr>
          <w:rFonts w:hint="eastAsia" w:ascii="楷体" w:hAnsi="楷体" w:eastAsia="楷体" w:cs="楷体"/>
          <w:b w:val="0"/>
          <w:bCs w:val="0"/>
          <w:szCs w:val="21"/>
          <w:highlight w:val="none"/>
          <w:u w:val="none"/>
          <w:lang w:val="en-US" w:eastAsia="zh-CN"/>
        </w:rPr>
        <w:t>即每笔理财产品份额从认/申购对应的成立日/确认日起，到可以提出赎回申请的最短时间限制。</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szCs w:val="21"/>
          <w:u w:val="none"/>
        </w:rPr>
        <w:t>1</w:t>
      </w: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w:t>
      </w:r>
      <w:r>
        <w:rPr>
          <w:rFonts w:hint="eastAsia" w:ascii="楷体" w:hAnsi="楷体" w:eastAsia="楷体" w:cs="楷体"/>
          <w:b/>
          <w:bCs/>
          <w:spacing w:val="6"/>
          <w:szCs w:val="21"/>
          <w:u w:val="none"/>
        </w:rPr>
        <w:t>节假日临时调</w:t>
      </w:r>
      <w:r>
        <w:rPr>
          <w:rFonts w:hint="eastAsia" w:ascii="楷体" w:hAnsi="楷体" w:eastAsia="楷体" w:cs="楷体"/>
          <w:b/>
          <w:bCs/>
          <w:spacing w:val="23"/>
          <w:sz w:val="21"/>
          <w:szCs w:val="21"/>
          <w:u w:val="none"/>
        </w:rPr>
        <w:t>整：</w:t>
      </w:r>
      <w:r>
        <w:rPr>
          <w:rFonts w:hint="eastAsia" w:ascii="楷体" w:hAnsi="楷体" w:eastAsia="楷体" w:cs="楷体"/>
          <w:b w:val="0"/>
          <w:bCs w:val="0"/>
          <w:szCs w:val="21"/>
          <w:highlight w:val="none"/>
          <w:u w:val="none"/>
          <w:lang w:val="en-US" w:eastAsia="zh-CN"/>
        </w:rPr>
        <w:t>如因国家相关主管部门临时调整节假日安排，导致产品原定开放日、估值日等日期安排发生变化的，原则上采用顺延方式对原定日期安排进行调整，如有特殊安排，</w:t>
      </w:r>
      <w:bookmarkStart w:id="4" w:name="_Hlk99533877"/>
      <w:r>
        <w:rPr>
          <w:rFonts w:hint="eastAsia" w:ascii="楷体" w:hAnsi="楷体" w:eastAsia="楷体" w:cs="楷体"/>
          <w:b w:val="0"/>
          <w:bCs w:val="0"/>
          <w:szCs w:val="21"/>
          <w:highlight w:val="none"/>
          <w:u w:val="none"/>
          <w:lang w:val="en-US" w:eastAsia="zh-CN"/>
        </w:rPr>
        <w:t>以管理人通过《产品说明书》“信息披露”约定的信息披露方式披露的调整方式为准。</w:t>
      </w:r>
    </w:p>
    <w:p>
      <w:pPr>
        <w:spacing w:line="360" w:lineRule="auto"/>
        <w:ind w:firstLine="422" w:firstLineChars="200"/>
        <w:contextualSpacing/>
        <w:rPr>
          <w:rFonts w:hint="eastAsia" w:ascii="楷体" w:hAnsi="楷体" w:eastAsia="楷体" w:cs="楷体"/>
          <w:b w:val="0"/>
          <w:bCs w:val="0"/>
          <w:szCs w:val="21"/>
          <w:highlight w:val="none"/>
          <w:u w:val="none"/>
          <w:lang w:val="en-US" w:eastAsia="zh-CN"/>
        </w:rPr>
      </w:pPr>
      <w:r>
        <w:rPr>
          <w:rFonts w:hint="eastAsia" w:ascii="楷体" w:hAnsi="楷体" w:eastAsia="楷体" w:cs="楷体"/>
          <w:b/>
          <w:bCs/>
          <w:color w:val="auto"/>
          <w:szCs w:val="21"/>
          <w:u w:val="none"/>
          <w:lang w:val="en-US" w:eastAsia="zh-CN"/>
        </w:rPr>
        <w:t>18.</w:t>
      </w:r>
      <w:r>
        <w:rPr>
          <w:rFonts w:hint="eastAsia" w:ascii="楷体" w:hAnsi="楷体" w:eastAsia="楷体" w:cs="楷体"/>
          <w:b/>
          <w:bCs/>
          <w:color w:val="auto"/>
          <w:spacing w:val="6"/>
          <w:szCs w:val="21"/>
          <w:u w:val="none"/>
          <w:lang w:val="en-US" w:eastAsia="zh-CN"/>
        </w:rPr>
        <w:t>清算</w:t>
      </w:r>
      <w:r>
        <w:rPr>
          <w:rFonts w:hint="eastAsia" w:ascii="楷体" w:hAnsi="楷体" w:eastAsia="楷体" w:cs="楷体"/>
          <w:b/>
          <w:bCs/>
          <w:spacing w:val="23"/>
          <w:sz w:val="21"/>
          <w:szCs w:val="21"/>
          <w:u w:val="none"/>
          <w:lang w:val="en-US" w:eastAsia="zh-CN"/>
        </w:rPr>
        <w:t>期：</w:t>
      </w:r>
      <w:r>
        <w:rPr>
          <w:rFonts w:hint="eastAsia" w:ascii="楷体" w:hAnsi="楷体" w:eastAsia="楷体" w:cs="楷体"/>
          <w:b w:val="0"/>
          <w:bCs w:val="0"/>
          <w:szCs w:val="21"/>
          <w:highlight w:val="none"/>
          <w:u w:val="none"/>
          <w:lang w:val="en-US" w:eastAsia="zh-CN"/>
        </w:rPr>
        <w:t>指自本理财产品终止日至投资者理财利益到账日之间的期间。</w:t>
      </w:r>
    </w:p>
    <w:bookmarkEnd w:id="4"/>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（六）相关事件用语</w:t>
      </w:r>
    </w:p>
    <w:p>
      <w:pPr>
        <w:spacing w:line="360" w:lineRule="auto"/>
        <w:ind w:firstLine="446" w:firstLineChars="200"/>
        <w:contextualSpacing/>
        <w:rPr>
          <w:rFonts w:hint="eastAsia" w:ascii="楷体" w:hAnsi="楷体" w:eastAsia="楷体" w:cs="楷体"/>
          <w:b w:val="0"/>
          <w:bCs w:val="0"/>
          <w:szCs w:val="21"/>
          <w:u w:val="none"/>
        </w:rPr>
      </w:pPr>
      <w:r>
        <w:rPr>
          <w:rFonts w:hint="eastAsia" w:ascii="楷体" w:hAnsi="楷体" w:eastAsia="楷体" w:cs="楷体"/>
          <w:b/>
          <w:bCs/>
          <w:spacing w:val="6"/>
          <w:szCs w:val="21"/>
          <w:u w:val="none"/>
        </w:rPr>
        <w:t>不可抗力：</w:t>
      </w:r>
      <w:r>
        <w:rPr>
          <w:rFonts w:hint="eastAsia" w:ascii="楷体" w:hAnsi="楷体" w:eastAsia="楷体" w:cs="楷体"/>
          <w:b w:val="0"/>
          <w:bCs w:val="0"/>
          <w:szCs w:val="21"/>
          <w:u w:val="none"/>
        </w:rPr>
        <w:t>指理财产品各方不能预见、不能避免且不能克服的客观情况，该事件妨碍、影响或延误任何一方依相关理财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履行其全部或部分义务。该事件包括但不限于：</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a</w:t>
      </w:r>
      <w:r>
        <w:rPr>
          <w:rFonts w:hint="eastAsia" w:ascii="楷体" w:hAnsi="楷体" w:eastAsia="楷体" w:cs="楷体"/>
          <w:b w:val="0"/>
          <w:bCs w:val="0"/>
          <w:szCs w:val="21"/>
          <w:u w:val="none"/>
        </w:rPr>
        <w:t>.地震、台风、海啸、洪水、火灾、停电、瘟疫；</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b.战争、政变、恐怖主义行动、骚乱、罢工；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c.</w:t>
      </w:r>
      <w:r>
        <w:rPr>
          <w:rFonts w:hint="eastAsia" w:ascii="楷体" w:hAnsi="楷体" w:eastAsia="楷体" w:cs="楷体"/>
          <w:b w:val="0"/>
          <w:bCs w:val="0"/>
          <w:szCs w:val="21"/>
          <w:u w:val="none"/>
          <w:lang w:val="en-US" w:eastAsia="zh-CN"/>
        </w:rPr>
        <w:t>新的</w:t>
      </w:r>
      <w:r>
        <w:rPr>
          <w:rFonts w:hint="eastAsia" w:ascii="楷体" w:hAnsi="楷体" w:eastAsia="楷体" w:cs="楷体"/>
          <w:b w:val="0"/>
          <w:bCs w:val="0"/>
          <w:szCs w:val="21"/>
          <w:u w:val="none"/>
        </w:rPr>
        <w:t>适用法律或国家政策的颁布或实施、对原适用法律或国家政策的新修改；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d.金融管理部门强制要求终止理财产品（该等要求不可归咎于任何一方）；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e.因理财产品各方和/或其关联方运营网络系统遭受黑客攻击、电信部门技术调整或故障等原因而造成的理财产品各方和/或其关联方之服务、营业的中断或者延迟。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（七）其他</w:t>
      </w:r>
    </w:p>
    <w:p>
      <w:pPr>
        <w:spacing w:line="360" w:lineRule="auto"/>
        <w:ind w:firstLine="422" w:firstLineChars="200"/>
        <w:contextualSpacing/>
        <w:rPr>
          <w:rFonts w:hint="eastAsia" w:ascii="楷体_GB2312" w:hAnsi="宋体" w:eastAsia="楷体_GB2312"/>
          <w:b w:val="0"/>
          <w:bCs w:val="0"/>
          <w:szCs w:val="21"/>
          <w:u w:val="none"/>
        </w:rPr>
      </w:pPr>
      <w:r>
        <w:rPr>
          <w:rFonts w:hint="eastAsia" w:ascii="楷体" w:hAnsi="楷体" w:eastAsia="楷体" w:cs="楷体"/>
          <w:b/>
          <w:bCs/>
          <w:szCs w:val="21"/>
          <w:u w:val="none"/>
          <w:lang w:val="en-US" w:eastAsia="zh-CN"/>
        </w:rPr>
        <w:t>1.</w:t>
      </w:r>
      <w:r>
        <w:rPr>
          <w:rFonts w:hint="eastAsia" w:ascii="楷体" w:hAnsi="楷体" w:eastAsia="楷体" w:cs="楷体"/>
          <w:b/>
          <w:bCs/>
          <w:spacing w:val="6"/>
          <w:szCs w:val="21"/>
          <w:u w:val="none"/>
        </w:rPr>
        <w:t>适用法</w:t>
      </w:r>
      <w:r>
        <w:rPr>
          <w:rFonts w:hint="eastAsia" w:ascii="楷体" w:hAnsi="楷体" w:eastAsia="楷体" w:cs="楷体"/>
          <w:b/>
          <w:bCs/>
          <w:spacing w:val="23"/>
          <w:sz w:val="21"/>
          <w:szCs w:val="21"/>
          <w:u w:val="none"/>
        </w:rPr>
        <w:t>律：</w:t>
      </w:r>
      <w:r>
        <w:rPr>
          <w:rFonts w:hint="eastAsia" w:ascii="楷体" w:hAnsi="楷体" w:eastAsia="楷体" w:cs="楷体"/>
          <w:b w:val="0"/>
          <w:bCs w:val="0"/>
          <w:szCs w:val="21"/>
          <w:u w:val="none"/>
        </w:rPr>
        <w:t>指在理财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
        <w:spacing w:before="120" w:after="120" w:line="240" w:lineRule="auto"/>
        <w:rPr>
          <w:rFonts w:ascii="楷体" w:hAnsi="楷体" w:eastAsia="楷体"/>
          <w:sz w:val="28"/>
          <w:szCs w:val="28"/>
          <w:u w:val="none"/>
        </w:rPr>
      </w:pPr>
      <w:r>
        <w:rPr>
          <w:rFonts w:hint="eastAsia" w:ascii="楷体" w:hAnsi="楷体" w:eastAsia="楷体"/>
          <w:sz w:val="28"/>
          <w:szCs w:val="28"/>
          <w:u w:val="none"/>
        </w:rPr>
        <w:t>三</w:t>
      </w:r>
      <w:r>
        <w:rPr>
          <w:rFonts w:ascii="楷体" w:hAnsi="楷体" w:eastAsia="楷体"/>
          <w:sz w:val="28"/>
          <w:szCs w:val="28"/>
          <w:u w:val="none"/>
        </w:rPr>
        <w:t>、</w:t>
      </w:r>
      <w:r>
        <w:rPr>
          <w:rFonts w:hint="eastAsia" w:ascii="楷体" w:hAnsi="楷体" w:eastAsia="楷体"/>
          <w:sz w:val="28"/>
          <w:szCs w:val="28"/>
          <w:u w:val="none"/>
        </w:rPr>
        <w:t>产品概述</w:t>
      </w:r>
    </w:p>
    <w:tbl>
      <w:tblPr>
        <w:tblStyle w:val="13"/>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76"/>
        <w:gridCol w:w="61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cs="Times New Roman"/>
                <w:b/>
                <w:bCs/>
                <w:u w:val="none"/>
              </w:rPr>
            </w:pPr>
            <w:r>
              <w:rPr>
                <w:rFonts w:hint="eastAsia" w:ascii="楷体" w:hAnsi="楷体" w:eastAsia="楷体" w:cs="Times New Roman"/>
                <w:b/>
                <w:bCs/>
                <w:u w:val="none"/>
                <w:lang w:val="en-US" w:eastAsia="zh-CN"/>
              </w:rPr>
              <w:t>理财</w:t>
            </w:r>
            <w:r>
              <w:rPr>
                <w:rFonts w:hint="eastAsia" w:ascii="楷体" w:hAnsi="楷体" w:eastAsia="楷体" w:cs="Times New Roman"/>
                <w:b/>
                <w:bCs/>
                <w:u w:val="none"/>
              </w:rPr>
              <w:t>产品名称</w:t>
            </w:r>
          </w:p>
        </w:tc>
        <w:tc>
          <w:tcPr>
            <w:tcW w:w="6146" w:type="dxa"/>
          </w:tcPr>
          <w:p>
            <w:pPr>
              <w:rPr>
                <w:rFonts w:ascii="楷体" w:hAnsi="楷体" w:eastAsia="楷体"/>
                <w:b w:val="0"/>
                <w:bCs w:val="0"/>
                <w:u w:val="none"/>
              </w:rPr>
            </w:pPr>
            <w:r>
              <w:rPr>
                <w:rFonts w:hint="eastAsia" w:ascii="楷体" w:hAnsi="楷体" w:eastAsia="楷体"/>
                <w:b w:val="0"/>
                <w:bCs w:val="0"/>
                <w:color w:val="auto"/>
                <w:u w:val="none"/>
                <w:lang w:eastAsia="zh-CN"/>
              </w:rPr>
              <w:t>【上银理财“易享利”系列开放式(3个月持有期)理财产品WPEK24M0308期】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Times New Roman"/>
                <w:b/>
                <w:bCs/>
                <w:u w:val="none"/>
                <w:lang w:val="en-US" w:eastAsia="zh-CN"/>
              </w:rPr>
            </w:pPr>
            <w:r>
              <w:rPr>
                <w:rFonts w:hint="eastAsia" w:ascii="楷体" w:hAnsi="楷体" w:eastAsia="楷体" w:cs="Times New Roman"/>
                <w:b/>
                <w:bCs/>
                <w:u w:val="none"/>
              </w:rPr>
              <w:t>产品</w:t>
            </w:r>
            <w:r>
              <w:rPr>
                <w:rFonts w:hint="eastAsia" w:ascii="楷体" w:hAnsi="楷体" w:eastAsia="楷体" w:cs="Times New Roman"/>
                <w:b/>
                <w:bCs/>
                <w:u w:val="none"/>
                <w:lang w:val="en-US" w:eastAsia="zh-CN"/>
              </w:rPr>
              <w:t>销售名称</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【上银理财易享利-90天持有期8号B】</w:t>
            </w:r>
            <w:r>
              <w:rPr>
                <w:rFonts w:hint="eastAsia" w:ascii="楷体" w:hAnsi="楷体" w:eastAsia="楷体"/>
                <w:b w:val="0"/>
                <w:bCs w:val="0"/>
                <w:color w:val="auto"/>
                <w:u w:val="none"/>
                <w:lang w:val="en-US" w:eastAsia="zh-CN"/>
              </w:rPr>
              <w:t>，</w:t>
            </w:r>
          </w:p>
          <w:p>
            <w:pPr>
              <w:rPr>
                <w:rFonts w:hint="eastAsia" w:ascii="楷体" w:hAnsi="楷体" w:eastAsia="楷体"/>
                <w:b w:val="0"/>
                <w:bCs w:val="0"/>
                <w:u w:val="none"/>
                <w:lang w:val="en-US" w:eastAsia="zh-CN"/>
              </w:rPr>
            </w:pPr>
            <w:r>
              <w:rPr>
                <w:rFonts w:hint="eastAsia" w:ascii="楷体" w:hAnsi="楷体" w:eastAsia="楷体"/>
                <w:b w:val="0"/>
                <w:bCs w:val="0"/>
                <w:color w:val="auto"/>
                <w:u w:val="none"/>
                <w:lang w:val="en-US" w:eastAsia="zh-CN"/>
              </w:rPr>
              <w:t>适用于</w:t>
            </w:r>
            <w:r>
              <w:rPr>
                <w:rFonts w:hint="eastAsia" w:ascii="楷体" w:hAnsi="楷体" w:eastAsia="楷体"/>
                <w:b w:val="0"/>
                <w:bCs w:val="0"/>
                <w:color w:val="auto"/>
                <w:u w:val="none"/>
                <w:lang w:eastAsia="zh-CN"/>
              </w:rPr>
              <w:t>【B】</w:t>
            </w:r>
            <w:r>
              <w:rPr>
                <w:rFonts w:hint="eastAsia" w:ascii="楷体" w:hAnsi="楷体" w:eastAsia="楷体"/>
                <w:b w:val="0"/>
                <w:bCs w:val="0"/>
                <w:color w:val="auto"/>
                <w:u w:val="none"/>
                <w:lang w:val="en-US" w:eastAsia="zh-CN"/>
              </w:rPr>
              <w:t>类份额</w:t>
            </w:r>
            <w:r>
              <w:rPr>
                <w:rFonts w:hint="eastAsia" w:ascii="楷体" w:hAnsi="楷体" w:eastAsia="楷体"/>
                <w:b w:val="0"/>
                <w:bCs w:val="0"/>
                <w:u w:val="none"/>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ascii="楷体" w:hAnsi="楷体" w:eastAsia="楷体"/>
                <w:b/>
                <w:bCs/>
                <w:u w:val="none"/>
              </w:rPr>
            </w:pPr>
            <w:r>
              <w:rPr>
                <w:rFonts w:ascii="楷体" w:hAnsi="楷体" w:eastAsia="楷体"/>
                <w:b/>
                <w:bCs/>
                <w:u w:val="none"/>
              </w:rPr>
              <w:t>产品</w:t>
            </w:r>
            <w:r>
              <w:rPr>
                <w:rFonts w:hint="eastAsia" w:ascii="楷体" w:hAnsi="楷体" w:eastAsia="楷体"/>
                <w:b/>
                <w:bCs/>
                <w:u w:val="none"/>
                <w:lang w:val="en-US" w:eastAsia="zh-CN"/>
              </w:rPr>
              <w:t>登记</w:t>
            </w:r>
            <w:r>
              <w:rPr>
                <w:rFonts w:ascii="楷体" w:hAnsi="楷体" w:eastAsia="楷体"/>
                <w:b/>
                <w:bCs/>
                <w:u w:val="none"/>
              </w:rPr>
              <w:t>编码</w:t>
            </w:r>
          </w:p>
        </w:tc>
        <w:tc>
          <w:tcPr>
            <w:tcW w:w="6146" w:type="dxa"/>
            <w:vAlign w:val="center"/>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【Z7007124000362】</w:t>
            </w:r>
          </w:p>
          <w:p>
            <w:pPr>
              <w:jc w:val="both"/>
              <w:rPr>
                <w:rFonts w:ascii="楷体" w:hAnsi="楷体" w:eastAsia="楷体"/>
                <w:b w:val="0"/>
                <w:bCs w:val="0"/>
                <w:color w:val="auto"/>
                <w:u w:val="none"/>
              </w:rPr>
            </w:pPr>
            <w:r>
              <w:rPr>
                <w:rFonts w:hint="eastAsia" w:ascii="楷体" w:hAnsi="楷体" w:eastAsia="楷体"/>
                <w:b w:val="0"/>
                <w:bCs w:val="0"/>
                <w:color w:val="auto"/>
                <w:szCs w:val="22"/>
                <w:u w:val="none"/>
                <w:lang w:val="en-US" w:eastAsia="zh-CN" w:bidi="ar"/>
              </w:rPr>
              <w:t>本理财产品在全国银行业理财信息登记系统对理财产品进行信息登记后，由全国银行业理财信息登记系统发放的唯一性的理财产品编码。投资者可依据登记编码在中国理财网（</w:t>
            </w:r>
            <w:r>
              <w:rPr>
                <w:rFonts w:ascii="楷体" w:hAnsi="楷体" w:eastAsia="楷体"/>
                <w:b w:val="0"/>
                <w:bCs w:val="0"/>
                <w:color w:val="auto"/>
                <w:u w:val="none"/>
              </w:rPr>
              <w:t>www.chinawealth.com.cn</w:t>
            </w:r>
            <w:r>
              <w:rPr>
                <w:rFonts w:hint="eastAsia" w:ascii="楷体" w:hAnsi="楷体" w:eastAsia="楷体"/>
                <w:b w:val="0"/>
                <w:bCs w:val="0"/>
                <w:color w:val="auto"/>
                <w:szCs w:val="22"/>
                <w:u w:val="none"/>
                <w:lang w:val="en-US" w:eastAsia="zh-CN" w:bidi="ar"/>
              </w:rPr>
              <w:t>）查询产品信息。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产品代码</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【WPEK24M0308】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b/>
                <w:bCs/>
                <w:u w:val="none"/>
              </w:rPr>
            </w:pPr>
            <w:r>
              <w:rPr>
                <w:rFonts w:hint="eastAsia" w:ascii="楷体" w:hAnsi="楷体" w:eastAsia="楷体" w:cs="Times New Roman"/>
                <w:b/>
                <w:bCs/>
                <w:u w:val="none"/>
                <w:lang w:val="en-US" w:eastAsia="zh-CN"/>
              </w:rPr>
              <w:t>销售</w:t>
            </w:r>
            <w:r>
              <w:rPr>
                <w:rFonts w:hint="eastAsia" w:ascii="楷体" w:hAnsi="楷体" w:eastAsia="楷体" w:cs="Times New Roman"/>
                <w:b/>
                <w:bCs/>
                <w:u w:val="none"/>
              </w:rPr>
              <w:t>代码</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eastAsia="zh-CN"/>
              </w:rPr>
              <w:t>【B】</w:t>
            </w:r>
            <w:r>
              <w:rPr>
                <w:rFonts w:hint="eastAsia" w:ascii="楷体" w:hAnsi="楷体" w:eastAsia="楷体"/>
                <w:b w:val="0"/>
                <w:bCs w:val="0"/>
                <w:color w:val="auto"/>
                <w:u w:val="none"/>
                <w:lang w:val="en-US" w:eastAsia="zh-CN"/>
              </w:rPr>
              <w:t>类份额，</w:t>
            </w:r>
            <w:r>
              <w:rPr>
                <w:rFonts w:hint="eastAsia" w:ascii="楷体" w:hAnsi="楷体" w:eastAsia="楷体"/>
                <w:b w:val="0"/>
                <w:bCs w:val="0"/>
                <w:color w:val="auto"/>
                <w:u w:val="none"/>
                <w:lang w:eastAsia="zh-CN"/>
              </w:rPr>
              <w:t>【WPEK24M0308B】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u w:val="none"/>
              </w:rPr>
            </w:pPr>
            <w:r>
              <w:rPr>
                <w:rFonts w:hint="eastAsia" w:ascii="楷体" w:hAnsi="楷体" w:eastAsia="楷体"/>
                <w:b/>
                <w:bCs/>
                <w:u w:val="none"/>
                <w:lang w:val="en-US" w:eastAsia="zh-CN"/>
              </w:rPr>
              <w:t>产品份额类别</w:t>
            </w:r>
          </w:p>
        </w:tc>
        <w:tc>
          <w:tcPr>
            <w:tcW w:w="6146" w:type="dxa"/>
            <w:vAlign w:val="top"/>
          </w:tcPr>
          <w:p>
            <w:pPr>
              <w:keepNext w:val="0"/>
              <w:keepLines w:val="0"/>
              <w:widowControl/>
              <w:numPr>
                <w:ilvl w:val="0"/>
                <w:numId w:val="1"/>
              </w:numPr>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本产品根据投资者购买理财产品的金额、投资者类型、</w:t>
            </w:r>
            <w:r>
              <w:rPr>
                <w:rFonts w:hint="eastAsia" w:ascii="楷体" w:hAnsi="楷体" w:eastAsia="楷体" w:cstheme="minorBidi"/>
                <w:b w:val="0"/>
                <w:bCs w:val="0"/>
                <w:kern w:val="2"/>
                <w:sz w:val="21"/>
                <w:szCs w:val="22"/>
                <w:u w:val="none"/>
                <w:lang w:val="en-US" w:eastAsia="zh-CN" w:bidi="ar"/>
              </w:rPr>
              <w:t>销售渠道</w:t>
            </w:r>
            <w:r>
              <w:rPr>
                <w:rFonts w:hint="eastAsia" w:ascii="楷体" w:hAnsi="楷体" w:eastAsia="楷体" w:cstheme="minorBidi"/>
                <w:b w:val="0"/>
                <w:bCs w:val="0"/>
                <w:color w:val="auto"/>
                <w:kern w:val="2"/>
                <w:sz w:val="21"/>
                <w:szCs w:val="22"/>
                <w:u w:val="none"/>
                <w:lang w:val="en-US" w:eastAsia="zh-CN" w:bidi="ar"/>
              </w:rPr>
              <w:t xml:space="preserve">等因素，对投资者所持有的理财产品份额设置不同的理财产品份额类别。 </w:t>
            </w:r>
          </w:p>
          <w:p>
            <w:pPr>
              <w:keepNext w:val="0"/>
              <w:keepLines w:val="0"/>
              <w:widowControl/>
              <w:suppressLineNumbers w:val="0"/>
              <w:jc w:val="left"/>
              <w:rPr>
                <w:rFonts w:hint="eastAsia" w:ascii="楷体" w:hAnsi="楷体" w:eastAsia="楷体"/>
                <w:b w:val="0"/>
                <w:bCs w:val="0"/>
                <w:u w:val="none"/>
              </w:rPr>
            </w:pPr>
            <w:r>
              <w:rPr>
                <w:rFonts w:hint="eastAsia" w:ascii="楷体" w:hAnsi="楷体" w:eastAsia="楷体" w:cstheme="minorBidi"/>
                <w:b w:val="0"/>
                <w:bCs w:val="0"/>
                <w:kern w:val="2"/>
                <w:sz w:val="21"/>
                <w:szCs w:val="22"/>
                <w:u w:val="none"/>
                <w:lang w:val="en-US" w:eastAsia="zh-CN" w:bidi="ar"/>
              </w:rPr>
              <w:t>2、</w:t>
            </w:r>
            <w:r>
              <w:rPr>
                <w:rFonts w:hint="eastAsia" w:ascii="楷体" w:hAnsi="楷体" w:eastAsia="楷体" w:cstheme="minorBidi"/>
                <w:b w:val="0"/>
                <w:bCs w:val="0"/>
                <w:color w:val="auto"/>
                <w:kern w:val="2"/>
                <w:sz w:val="21"/>
                <w:szCs w:val="22"/>
                <w:u w:val="none"/>
                <w:lang w:val="en-US" w:eastAsia="zh-CN" w:bidi="ar"/>
              </w:rPr>
              <w:t>本产品设置不同的理财产品份额，每类理财产品份额</w:t>
            </w:r>
            <w:r>
              <w:rPr>
                <w:rFonts w:hint="eastAsia" w:ascii="楷体" w:hAnsi="楷体" w:eastAsia="楷体" w:cstheme="minorBidi"/>
                <w:b w:val="0"/>
                <w:bCs w:val="0"/>
                <w:kern w:val="2"/>
                <w:sz w:val="21"/>
                <w:szCs w:val="22"/>
                <w:u w:val="none"/>
                <w:lang w:val="en-US" w:eastAsia="zh-CN" w:bidi="ar"/>
              </w:rPr>
              <w:t>以下内容将可能</w:t>
            </w:r>
            <w:r>
              <w:rPr>
                <w:rFonts w:hint="eastAsia" w:ascii="楷体" w:hAnsi="楷体" w:eastAsia="楷体" w:cstheme="minorBidi"/>
                <w:b w:val="0"/>
                <w:bCs w:val="0"/>
                <w:color w:val="auto"/>
                <w:kern w:val="2"/>
                <w:sz w:val="21"/>
                <w:szCs w:val="22"/>
                <w:u w:val="none"/>
                <w:lang w:val="en-US" w:eastAsia="zh-CN" w:bidi="ar"/>
              </w:rPr>
              <w:t xml:space="preserve">单独设置： </w:t>
            </w:r>
          </w:p>
          <w:p>
            <w:pPr>
              <w:keepNext w:val="0"/>
              <w:keepLines w:val="0"/>
              <w:widowControl/>
              <w:suppressLineNumbers w:val="0"/>
              <w:jc w:val="left"/>
              <w:rPr>
                <w:rFonts w:hint="eastAsia" w:ascii="楷体" w:hAnsi="楷体" w:eastAsia="楷体"/>
                <w:b w:val="0"/>
                <w:bCs w:val="0"/>
                <w:color w:val="auto"/>
                <w:u w:val="none"/>
                <w:lang w:bidi="ar"/>
              </w:rPr>
            </w:pPr>
            <w:r>
              <w:rPr>
                <w:rFonts w:hint="eastAsia" w:ascii="楷体" w:hAnsi="楷体" w:eastAsia="楷体" w:cstheme="minorBidi"/>
                <w:b w:val="0"/>
                <w:bCs w:val="0"/>
                <w:color w:val="auto"/>
                <w:kern w:val="2"/>
                <w:sz w:val="21"/>
                <w:szCs w:val="22"/>
                <w:u w:val="none"/>
                <w:lang w:val="en-US" w:eastAsia="zh-CN" w:bidi="ar"/>
              </w:rPr>
              <w:t xml:space="preserve">（1）产品销售名称 </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（2）销售代码</w:t>
            </w:r>
          </w:p>
          <w:p>
            <w:pPr>
              <w:keepNext w:val="0"/>
              <w:keepLines w:val="0"/>
              <w:widowControl/>
              <w:suppressLineNumbers w:val="0"/>
              <w:jc w:val="left"/>
              <w:rPr>
                <w:rFonts w:hint="eastAsia" w:ascii="楷体" w:hAnsi="楷体" w:eastAsia="楷体" w:cstheme="minorBidi"/>
                <w:b w:val="0"/>
                <w:bCs w:val="0"/>
                <w:color w:val="auto"/>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（3）销售机构</w:t>
            </w:r>
          </w:p>
          <w:p>
            <w:pPr>
              <w:keepNext w:val="0"/>
              <w:keepLines w:val="0"/>
              <w:widowControl/>
              <w:suppressLineNumbers w:val="0"/>
              <w:jc w:val="left"/>
              <w:rPr>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（4）发售对象</w:t>
            </w:r>
          </w:p>
          <w:p>
            <w:pPr>
              <w:keepNext w:val="0"/>
              <w:keepLines w:val="0"/>
              <w:widowControl/>
              <w:suppressLineNumbers w:val="0"/>
              <w:jc w:val="left"/>
              <w:rPr>
                <w:rFonts w:hint="eastAsia"/>
                <w:b w:val="0"/>
                <w:bCs w:val="0"/>
                <w:color w:val="auto"/>
                <w:highlight w:val="none"/>
                <w:u w:val="none"/>
                <w:lang w:val="en-US" w:eastAsia="zh-CN"/>
              </w:rPr>
            </w:pPr>
            <w:r>
              <w:rPr>
                <w:rFonts w:hint="eastAsia" w:ascii="楷体" w:hAnsi="楷体" w:eastAsia="楷体" w:cstheme="minorBidi"/>
                <w:b w:val="0"/>
                <w:bCs w:val="0"/>
                <w:color w:val="auto"/>
                <w:kern w:val="2"/>
                <w:sz w:val="21"/>
                <w:szCs w:val="22"/>
                <w:highlight w:val="none"/>
                <w:u w:val="none"/>
                <w:lang w:val="en-US" w:eastAsia="zh-CN" w:bidi="ar"/>
              </w:rPr>
              <w:t>（5）费率设置</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 xml:space="preserve">（6）收费方式 </w:t>
            </w:r>
          </w:p>
          <w:p>
            <w:pPr>
              <w:keepNext w:val="0"/>
              <w:keepLines w:val="0"/>
              <w:widowControl/>
              <w:suppressLineNumbers w:val="0"/>
              <w:jc w:val="left"/>
              <w:rPr>
                <w:rFonts w:hint="default"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（7）业绩比较基准</w:t>
            </w:r>
          </w:p>
          <w:p>
            <w:pPr>
              <w:keepNext w:val="0"/>
              <w:keepLines w:val="0"/>
              <w:widowControl/>
              <w:suppressLineNumbers w:val="0"/>
              <w:jc w:val="left"/>
              <w:rPr>
                <w:rFonts w:hint="eastAsia" w:ascii="楷体" w:hAnsi="楷体" w:eastAsia="楷体"/>
                <w:b w:val="0"/>
                <w:bCs w:val="0"/>
                <w:color w:val="auto"/>
                <w:highlight w:val="none"/>
                <w:u w:val="none"/>
                <w:lang w:bidi="ar"/>
              </w:rPr>
            </w:pPr>
            <w:r>
              <w:rPr>
                <w:rFonts w:hint="eastAsia" w:ascii="楷体" w:hAnsi="楷体" w:eastAsia="楷体" w:cstheme="minorBidi"/>
                <w:b w:val="0"/>
                <w:bCs w:val="0"/>
                <w:color w:val="auto"/>
                <w:kern w:val="2"/>
                <w:sz w:val="21"/>
                <w:szCs w:val="22"/>
                <w:highlight w:val="none"/>
                <w:u w:val="none"/>
                <w:lang w:val="en-US" w:eastAsia="zh-CN" w:bidi="ar"/>
              </w:rPr>
              <w:t xml:space="preserve">（8）销售起点金额及递增金额（认购、申购的起点金额） </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 xml:space="preserve">（9）投资者认购、申购和赎回的数量限制 </w:t>
            </w:r>
          </w:p>
          <w:p>
            <w:pPr>
              <w:keepNext w:val="0"/>
              <w:keepLines w:val="0"/>
              <w:widowControl/>
              <w:suppressLineNumbers w:val="0"/>
              <w:jc w:val="left"/>
              <w:rPr>
                <w:rFonts w:hint="eastAsia" w:ascii="楷体" w:hAnsi="楷体" w:eastAsia="楷体" w:cstheme="minorBidi"/>
                <w:b w:val="0"/>
                <w:bCs w:val="0"/>
                <w:color w:val="auto"/>
                <w:kern w:val="2"/>
                <w:sz w:val="21"/>
                <w:szCs w:val="22"/>
                <w:highlight w:val="none"/>
                <w:u w:val="none"/>
                <w:lang w:val="en-US" w:eastAsia="zh-CN" w:bidi="ar"/>
              </w:rPr>
            </w:pPr>
            <w:r>
              <w:rPr>
                <w:rFonts w:hint="eastAsia" w:ascii="楷体" w:hAnsi="楷体" w:eastAsia="楷体" w:cstheme="minorBidi"/>
                <w:b w:val="0"/>
                <w:bCs w:val="0"/>
                <w:color w:val="auto"/>
                <w:kern w:val="2"/>
                <w:sz w:val="21"/>
                <w:szCs w:val="22"/>
                <w:highlight w:val="none"/>
                <w:u w:val="none"/>
                <w:lang w:val="en-US" w:eastAsia="zh-CN" w:bidi="ar"/>
              </w:rPr>
              <w:t>（10）投资者持有本产品的最高限额、最低限额</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 xml:space="preserve">（11）产品规模上限 </w:t>
            </w:r>
          </w:p>
          <w:p>
            <w:pPr>
              <w:keepNext w:val="0"/>
              <w:keepLines w:val="0"/>
              <w:widowControl/>
              <w:suppressLineNumbers w:val="0"/>
              <w:jc w:val="left"/>
              <w:rPr>
                <w:rFonts w:hint="eastAsia" w:ascii="楷体" w:hAnsi="楷体" w:eastAsia="楷体"/>
                <w:b w:val="0"/>
                <w:bCs w:val="0"/>
                <w:color w:val="auto"/>
                <w:highlight w:val="none"/>
                <w:u w:val="none"/>
              </w:rPr>
            </w:pPr>
            <w:r>
              <w:rPr>
                <w:rFonts w:hint="eastAsia" w:ascii="楷体" w:hAnsi="楷体" w:eastAsia="楷体" w:cstheme="minorBidi"/>
                <w:b w:val="0"/>
                <w:bCs w:val="0"/>
                <w:color w:val="auto"/>
                <w:kern w:val="2"/>
                <w:sz w:val="21"/>
                <w:szCs w:val="22"/>
                <w:highlight w:val="none"/>
                <w:u w:val="none"/>
                <w:lang w:val="en-US" w:eastAsia="zh-CN" w:bidi="ar"/>
              </w:rPr>
              <w:t xml:space="preserve">（12）分别计算和公告产品份额净值 </w:t>
            </w:r>
          </w:p>
          <w:p>
            <w:pPr>
              <w:keepNext w:val="0"/>
              <w:keepLines w:val="0"/>
              <w:widowControl/>
              <w:suppressLineNumbers w:val="0"/>
              <w:jc w:val="left"/>
              <w:rPr>
                <w:rFonts w:hint="eastAsia" w:ascii="楷体" w:hAnsi="楷体" w:eastAsia="楷体" w:cstheme="minorBidi"/>
                <w:b w:val="0"/>
                <w:bCs w:val="0"/>
                <w:kern w:val="2"/>
                <w:sz w:val="21"/>
                <w:szCs w:val="22"/>
                <w:u w:val="none"/>
                <w:lang w:val="en-US" w:eastAsia="zh-CN" w:bidi="ar"/>
              </w:rPr>
            </w:pPr>
            <w:r>
              <w:rPr>
                <w:rFonts w:hint="eastAsia" w:ascii="楷体" w:hAnsi="楷体" w:eastAsia="楷体" w:cstheme="minorBidi"/>
                <w:b w:val="0"/>
                <w:bCs w:val="0"/>
                <w:color w:val="auto"/>
                <w:kern w:val="2"/>
                <w:sz w:val="21"/>
                <w:szCs w:val="22"/>
                <w:u w:val="none"/>
                <w:lang w:val="en-US" w:eastAsia="zh-CN" w:bidi="ar"/>
              </w:rPr>
              <w:t>3</w:t>
            </w:r>
            <w:r>
              <w:rPr>
                <w:rFonts w:hint="eastAsia" w:ascii="楷体" w:hAnsi="楷体" w:eastAsia="楷体" w:cstheme="minorBidi"/>
                <w:b w:val="0"/>
                <w:bCs w:val="0"/>
                <w:kern w:val="2"/>
                <w:sz w:val="21"/>
                <w:szCs w:val="22"/>
                <w:u w:val="none"/>
                <w:lang w:val="en-US" w:eastAsia="zh-CN" w:bidi="ar"/>
              </w:rPr>
              <w:t>、</w:t>
            </w:r>
            <w:r>
              <w:rPr>
                <w:rFonts w:hint="eastAsia" w:ascii="楷体" w:hAnsi="楷体" w:eastAsia="楷体" w:cstheme="minorBidi"/>
                <w:b w:val="0"/>
                <w:bCs w:val="0"/>
                <w:color w:val="auto"/>
                <w:kern w:val="2"/>
                <w:sz w:val="21"/>
                <w:szCs w:val="22"/>
                <w:u w:val="none"/>
                <w:lang w:val="en-US" w:eastAsia="zh-CN" w:bidi="ar"/>
              </w:rPr>
              <w:t xml:space="preserve">投资者可根据实际情况自行选择认购的产品份额类别。 </w:t>
            </w:r>
          </w:p>
          <w:p>
            <w:pPr>
              <w:keepNext w:val="0"/>
              <w:keepLines w:val="0"/>
              <w:widowControl/>
              <w:suppressLineNumbers w:val="0"/>
              <w:jc w:val="left"/>
              <w:rPr>
                <w:rFonts w:hint="default" w:ascii="楷体" w:hAnsi="楷体" w:eastAsia="楷体"/>
                <w:b w:val="0"/>
                <w:bCs w:val="0"/>
                <w:u w:val="none"/>
                <w:lang w:bidi="ar"/>
              </w:rPr>
            </w:pPr>
            <w:r>
              <w:rPr>
                <w:rFonts w:hint="eastAsia" w:ascii="楷体" w:hAnsi="楷体" w:eastAsia="楷体" w:cstheme="minorBidi"/>
                <w:b w:val="0"/>
                <w:bCs w:val="0"/>
                <w:kern w:val="2"/>
                <w:sz w:val="21"/>
                <w:szCs w:val="22"/>
                <w:u w:val="none"/>
                <w:lang w:val="en-US" w:eastAsia="zh-CN" w:bidi="ar"/>
              </w:rPr>
              <w:t xml:space="preserve">4、管理人有权根据实际情况增加新的产品份额类别、停止现有产品份额类别的销售、调整产品份额类别设置或对份额分类方法及规则进行调整。如有调整，以管理人公告为准。 </w:t>
            </w:r>
          </w:p>
          <w:p>
            <w:pPr>
              <w:widowControl/>
              <w:jc w:val="left"/>
              <w:rPr>
                <w:rFonts w:hint="eastAsia" w:ascii="楷体" w:hAnsi="楷体" w:eastAsia="楷体"/>
                <w:b w:val="0"/>
                <w:bCs w:val="0"/>
                <w:color w:val="C00000"/>
                <w:u w:val="none"/>
                <w:lang w:val="en-US" w:eastAsia="zh-CN"/>
              </w:rPr>
            </w:pPr>
            <w:r>
              <w:rPr>
                <w:rFonts w:hint="eastAsia" w:ascii="楷体" w:hAnsi="楷体" w:eastAsia="楷体" w:cstheme="minorBidi"/>
                <w:b w:val="0"/>
                <w:bCs w:val="0"/>
                <w:color w:val="auto"/>
                <w:kern w:val="2"/>
                <w:sz w:val="21"/>
                <w:szCs w:val="22"/>
                <w:u w:val="none"/>
                <w:lang w:val="en-US" w:eastAsia="zh-CN" w:bidi="ar"/>
              </w:rPr>
              <w:t>注：本《产品说明书》所列示产品份额类别仅为本产品项下某</w:t>
            </w:r>
            <w:r>
              <w:rPr>
                <w:rFonts w:hint="eastAsia" w:ascii="楷体" w:hAnsi="楷体" w:eastAsia="楷体" w:cstheme="minorBidi"/>
                <w:b w:val="0"/>
                <w:bCs w:val="0"/>
                <w:kern w:val="2"/>
                <w:sz w:val="21"/>
                <w:szCs w:val="22"/>
                <w:u w:val="none"/>
                <w:lang w:val="en-US" w:eastAsia="zh-CN" w:bidi="ar"/>
              </w:rPr>
              <w:t>一</w:t>
            </w:r>
            <w:r>
              <w:rPr>
                <w:rFonts w:hint="eastAsia" w:ascii="楷体" w:hAnsi="楷体" w:eastAsia="楷体" w:cstheme="minorBidi"/>
                <w:b w:val="0"/>
                <w:bCs w:val="0"/>
                <w:color w:val="auto"/>
                <w:kern w:val="2"/>
                <w:sz w:val="21"/>
                <w:szCs w:val="22"/>
                <w:u w:val="none"/>
                <w:lang w:val="en-US" w:eastAsia="zh-CN" w:bidi="ar"/>
              </w:rPr>
              <w:t>类或某几类产品份额。其他类别的产品份额情况以产品管理人披露为准。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heme="minorBidi"/>
                <w:b/>
                <w:bCs/>
                <w:kern w:val="2"/>
                <w:sz w:val="21"/>
                <w:szCs w:val="22"/>
                <w:u w:val="none"/>
                <w:lang w:val="en-US" w:eastAsia="zh-CN" w:bidi="ar-SA"/>
              </w:rPr>
            </w:pPr>
            <w:r>
              <w:rPr>
                <w:rFonts w:hint="eastAsia" w:ascii="楷体" w:hAnsi="楷体" w:eastAsia="楷体"/>
                <w:b/>
                <w:bCs/>
                <w:u w:val="none"/>
              </w:rPr>
              <w:t>募集方式</w:t>
            </w:r>
          </w:p>
        </w:tc>
        <w:tc>
          <w:tcPr>
            <w:tcW w:w="6146" w:type="dxa"/>
            <w:vAlign w:val="top"/>
          </w:tcPr>
          <w:p>
            <w:pPr>
              <w:rPr>
                <w:rFonts w:hint="eastAsia" w:ascii="楷体" w:hAnsi="楷体" w:eastAsia="楷体" w:cstheme="minorBidi"/>
                <w:b w:val="0"/>
                <w:bCs w:val="0"/>
                <w:color w:val="auto"/>
                <w:kern w:val="2"/>
                <w:sz w:val="21"/>
                <w:szCs w:val="22"/>
                <w:u w:val="none"/>
                <w:lang w:val="en-US" w:eastAsia="zh-CN" w:bidi="ar-SA"/>
              </w:rPr>
            </w:pPr>
            <w:r>
              <w:rPr>
                <w:rFonts w:hint="eastAsia" w:ascii="楷体" w:hAnsi="楷体" w:eastAsia="楷体"/>
                <w:b w:val="0"/>
                <w:bCs w:val="0"/>
                <w:color w:val="auto"/>
                <w:u w:val="none"/>
              </w:rPr>
              <w:t>公募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产品运作方式</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开放式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rPr>
              <w:t>产品</w:t>
            </w:r>
            <w:r>
              <w:rPr>
                <w:rFonts w:hint="eastAsia" w:ascii="楷体" w:hAnsi="楷体" w:eastAsia="楷体"/>
                <w:b/>
                <w:bCs/>
                <w:u w:val="none"/>
                <w:lang w:val="en-US" w:eastAsia="zh-CN"/>
              </w:rPr>
              <w:t>类型</w:t>
            </w:r>
          </w:p>
        </w:tc>
        <w:tc>
          <w:tcPr>
            <w:tcW w:w="6146" w:type="dxa"/>
            <w:vAlign w:val="top"/>
          </w:tcPr>
          <w:p>
            <w:pPr>
              <w:rPr>
                <w:rFonts w:hint="eastAsia" w:ascii="楷体" w:hAnsi="楷体" w:eastAsia="楷体"/>
                <w:b/>
                <w:bCs/>
                <w:color w:val="auto"/>
                <w:u w:val="none"/>
              </w:rPr>
            </w:pPr>
            <w:r>
              <w:rPr>
                <w:rFonts w:hint="eastAsia" w:ascii="楷体" w:hAnsi="楷体" w:eastAsia="楷体"/>
                <w:b/>
                <w:bCs/>
                <w:color w:val="auto"/>
                <w:u w:val="none"/>
              </w:rPr>
              <w:t>固定收益类</w:t>
            </w:r>
          </w:p>
          <w:p>
            <w:pPr>
              <w:rPr>
                <w:rFonts w:hint="eastAsia" w:ascii="楷体" w:hAnsi="楷体" w:eastAsia="楷体"/>
                <w:b/>
                <w:bCs/>
                <w:color w:val="auto"/>
                <w:u w:val="none"/>
                <w:lang w:val="en-US" w:eastAsia="zh-CN"/>
              </w:rPr>
            </w:pPr>
            <w:r>
              <w:rPr>
                <w:rFonts w:hint="eastAsia" w:ascii="楷体" w:hAnsi="楷体" w:eastAsia="楷体"/>
              </w:rPr>
              <w:t>固定收益类理财产品</w:t>
            </w:r>
            <w:r>
              <w:rPr>
                <w:rFonts w:hint="eastAsia" w:ascii="楷体" w:hAnsi="楷体" w:eastAsia="楷体"/>
                <w:lang w:val="en-US" w:eastAsia="zh-CN"/>
              </w:rPr>
              <w:t>是</w:t>
            </w:r>
            <w:r>
              <w:rPr>
                <w:rFonts w:hint="eastAsia" w:ascii="楷体" w:hAnsi="楷体" w:eastAsia="楷体"/>
              </w:rPr>
              <w:t>指投资于存款、债券等债权类资产的比例不低于80%的理财产品。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Times New Roman"/>
                <w:b/>
                <w:bCs/>
                <w:kern w:val="2"/>
                <w:sz w:val="21"/>
                <w:szCs w:val="22"/>
                <w:u w:val="none"/>
                <w:lang w:val="en-US" w:eastAsia="zh-CN" w:bidi="ar-SA"/>
              </w:rPr>
            </w:pPr>
            <w:r>
              <w:rPr>
                <w:rFonts w:hint="eastAsia" w:ascii="楷体" w:hAnsi="楷体" w:eastAsia="楷体"/>
                <w:b/>
                <w:bCs/>
                <w:u w:val="none"/>
                <w:lang w:val="en-US" w:eastAsia="zh-CN"/>
              </w:rPr>
              <w:t>产品</w:t>
            </w:r>
            <w:r>
              <w:rPr>
                <w:rFonts w:hint="eastAsia" w:ascii="楷体" w:hAnsi="楷体" w:eastAsia="楷体"/>
                <w:b/>
                <w:bCs/>
                <w:u w:val="none"/>
              </w:rPr>
              <w:t>收益类型</w:t>
            </w:r>
          </w:p>
        </w:tc>
        <w:tc>
          <w:tcPr>
            <w:tcW w:w="6146" w:type="dxa"/>
            <w:vAlign w:val="top"/>
          </w:tcPr>
          <w:p>
            <w:pPr>
              <w:rPr>
                <w:rFonts w:hint="eastAsia" w:ascii="楷体" w:hAnsi="楷体" w:eastAsia="楷体" w:cstheme="minorBidi"/>
                <w:b/>
                <w:bCs/>
                <w:color w:val="auto"/>
                <w:kern w:val="2"/>
                <w:sz w:val="21"/>
                <w:szCs w:val="22"/>
                <w:u w:val="none"/>
                <w:lang w:val="en-US" w:eastAsia="zh-CN" w:bidi="ar-SA"/>
              </w:rPr>
            </w:pPr>
            <w:r>
              <w:rPr>
                <w:rFonts w:hint="eastAsia" w:ascii="楷体" w:hAnsi="楷体" w:eastAsia="楷体"/>
                <w:b/>
                <w:bCs/>
                <w:color w:val="C00000"/>
                <w:u w:val="none"/>
              </w:rPr>
              <w:t>非保本浮动收益型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投资及收益币种</w:t>
            </w:r>
          </w:p>
        </w:tc>
        <w:tc>
          <w:tcPr>
            <w:tcW w:w="6146" w:type="dxa"/>
            <w:vAlign w:val="top"/>
          </w:tcPr>
          <w:p>
            <w:pPr>
              <w:rPr>
                <w:rFonts w:hint="eastAsia" w:ascii="楷体" w:hAnsi="楷体" w:eastAsia="楷体"/>
                <w:b/>
                <w:bCs/>
                <w:color w:val="auto"/>
                <w:u w:val="none"/>
                <w:lang w:eastAsia="zh-CN"/>
              </w:rPr>
            </w:pPr>
            <w:r>
              <w:rPr>
                <w:rFonts w:hint="eastAsia" w:ascii="楷体" w:hAnsi="楷体" w:eastAsia="楷体"/>
                <w:b w:val="0"/>
                <w:bCs w:val="0"/>
                <w:color w:val="auto"/>
                <w:u w:val="none"/>
              </w:rPr>
              <w:t>人民币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产品风险评级</w:t>
            </w:r>
          </w:p>
        </w:tc>
        <w:tc>
          <w:tcPr>
            <w:tcW w:w="6146" w:type="dxa"/>
            <w:vAlign w:val="top"/>
          </w:tcPr>
          <w:p>
            <w:pPr>
              <w:rPr>
                <w:rFonts w:hint="eastAsia" w:ascii="楷体" w:hAnsi="楷体" w:eastAsia="楷体"/>
                <w:b/>
                <w:bCs/>
                <w:u w:val="none"/>
              </w:rPr>
            </w:pPr>
            <w:r>
              <w:rPr>
                <w:rFonts w:hint="eastAsia" w:ascii="楷体" w:hAnsi="楷体" w:eastAsia="楷体"/>
                <w:b w:val="0"/>
                <w:bCs w:val="0"/>
                <w:u w:val="none"/>
              </w:rPr>
              <w:t>本产品管理人内部评级为</w:t>
            </w:r>
            <w:r>
              <w:rPr>
                <w:rFonts w:hint="eastAsia" w:ascii="楷体" w:hAnsi="楷体" w:eastAsia="楷体"/>
                <w:b/>
                <w:bCs/>
                <w:color w:val="C00000"/>
                <w:u w:val="none"/>
              </w:rPr>
              <w:t>中低风险（二级风险）</w:t>
            </w:r>
            <w:r>
              <w:rPr>
                <w:rFonts w:hint="eastAsia" w:ascii="楷体" w:hAnsi="楷体" w:eastAsia="楷体"/>
                <w:b w:val="0"/>
                <w:bCs w:val="0"/>
                <w:color w:val="auto"/>
                <w:u w:val="none"/>
                <w:lang w:eastAsia="zh-CN"/>
              </w:rPr>
              <w:t>。</w:t>
            </w:r>
            <w:r>
              <w:rPr>
                <w:rFonts w:hint="eastAsia" w:ascii="楷体" w:hAnsi="楷体" w:eastAsia="楷体"/>
                <w:b w:val="0"/>
                <w:bCs w:val="0"/>
                <w:u w:val="none"/>
                <w:lang w:val="en-US" w:eastAsia="zh-CN"/>
              </w:rPr>
              <w:t>产品</w:t>
            </w:r>
            <w:r>
              <w:rPr>
                <w:rFonts w:ascii="楷体" w:hAnsi="楷体" w:eastAsia="楷体"/>
                <w:b w:val="0"/>
                <w:bCs w:val="0"/>
                <w:u w:val="none"/>
              </w:rPr>
              <w:t>通过</w:t>
            </w:r>
            <w:r>
              <w:rPr>
                <w:rFonts w:hint="eastAsia" w:ascii="楷体" w:hAnsi="楷体" w:eastAsia="楷体"/>
                <w:b w:val="0"/>
                <w:bCs w:val="0"/>
                <w:u w:val="none"/>
              </w:rPr>
              <w:t>代理销售</w:t>
            </w:r>
            <w:r>
              <w:rPr>
                <w:rFonts w:ascii="楷体" w:hAnsi="楷体" w:eastAsia="楷体"/>
                <w:b w:val="0"/>
                <w:bCs w:val="0"/>
                <w:u w:val="none"/>
              </w:rPr>
              <w:t>机构销售的，</w:t>
            </w:r>
            <w:r>
              <w:rPr>
                <w:rFonts w:hint="eastAsia" w:ascii="楷体" w:hAnsi="楷体" w:eastAsia="楷体"/>
                <w:b w:val="0"/>
                <w:bCs w:val="0"/>
                <w:u w:val="none"/>
              </w:rPr>
              <w:t>代理销售</w:t>
            </w:r>
            <w:r>
              <w:rPr>
                <w:rFonts w:ascii="楷体" w:hAnsi="楷体" w:eastAsia="楷体"/>
                <w:b w:val="0"/>
                <w:bCs w:val="0"/>
                <w:u w:val="none"/>
              </w:rPr>
              <w:t>机构</w:t>
            </w:r>
            <w:r>
              <w:rPr>
                <w:rFonts w:hint="eastAsia" w:ascii="楷体" w:hAnsi="楷体" w:eastAsia="楷体"/>
                <w:b w:val="0"/>
                <w:bCs w:val="0"/>
                <w:u w:val="none"/>
              </w:rPr>
              <w:t>将</w:t>
            </w:r>
            <w:r>
              <w:rPr>
                <w:rFonts w:ascii="楷体" w:hAnsi="楷体" w:eastAsia="楷体"/>
                <w:b w:val="0"/>
                <w:bCs w:val="0"/>
                <w:u w:val="none"/>
              </w:rPr>
              <w:t>根据</w:t>
            </w:r>
            <w:r>
              <w:rPr>
                <w:rFonts w:hint="eastAsia" w:ascii="楷体" w:hAnsi="楷体" w:eastAsia="楷体"/>
                <w:b w:val="0"/>
                <w:bCs w:val="0"/>
                <w:u w:val="none"/>
              </w:rPr>
              <w:t>代理销售</w:t>
            </w:r>
            <w:r>
              <w:rPr>
                <w:rFonts w:ascii="楷体" w:hAnsi="楷体" w:eastAsia="楷体"/>
                <w:b w:val="0"/>
                <w:bCs w:val="0"/>
                <w:u w:val="none"/>
              </w:rPr>
              <w:t>机构的方式和方法，独立、审慎地对代理销售的本理财</w:t>
            </w:r>
            <w:r>
              <w:rPr>
                <w:rFonts w:hint="eastAsia" w:ascii="楷体" w:hAnsi="楷体" w:eastAsia="楷体"/>
                <w:b w:val="0"/>
                <w:bCs w:val="0"/>
                <w:u w:val="none"/>
              </w:rPr>
              <w:t>产品</w:t>
            </w:r>
            <w:r>
              <w:rPr>
                <w:rFonts w:ascii="楷体" w:hAnsi="楷体" w:eastAsia="楷体"/>
                <w:b w:val="0"/>
                <w:bCs w:val="0"/>
                <w:u w:val="none"/>
              </w:rPr>
              <w:t>进行销售评级，销售评级与管理人评级结果不一致的，</w:t>
            </w:r>
            <w:r>
              <w:rPr>
                <w:rFonts w:hint="eastAsia" w:ascii="楷体" w:hAnsi="楷体" w:eastAsia="楷体"/>
                <w:b w:val="0"/>
                <w:bCs w:val="0"/>
                <w:u w:val="none"/>
              </w:rPr>
              <w:t>代理销售机构将采用对应较高风险等级的评级结果并予以披露，本理财产品的</w:t>
            </w:r>
            <w:r>
              <w:rPr>
                <w:rFonts w:ascii="楷体" w:hAnsi="楷体" w:eastAsia="楷体"/>
                <w:b w:val="0"/>
                <w:bCs w:val="0"/>
                <w:u w:val="none"/>
              </w:rPr>
              <w:t>最终</w:t>
            </w:r>
            <w:r>
              <w:rPr>
                <w:rFonts w:hint="eastAsia" w:ascii="楷体" w:hAnsi="楷体" w:eastAsia="楷体"/>
                <w:b w:val="0"/>
                <w:bCs w:val="0"/>
                <w:u w:val="none"/>
              </w:rPr>
              <w:t>评级以代理销售机构最终披露的评级结果为准。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lang w:val="en-US" w:eastAsia="zh-CN"/>
              </w:rPr>
              <w:t>销售对象</w:t>
            </w:r>
          </w:p>
        </w:tc>
        <w:tc>
          <w:tcPr>
            <w:tcW w:w="6146" w:type="dxa"/>
            <w:vAlign w:val="top"/>
          </w:tcPr>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本产品适合以下类型投资者：</w:t>
            </w:r>
          </w:p>
          <w:p>
            <w:pPr>
              <w:rPr>
                <w:rFonts w:hint="eastAsia" w:ascii="楷体" w:hAnsi="楷体" w:eastAsia="楷体" w:cs="Times New Roman"/>
                <w:b w:val="0"/>
                <w:bCs w:val="0"/>
                <w:color w:val="auto"/>
                <w:u w:val="none"/>
                <w:lang w:val="en-US" w:eastAsia="zh-CN"/>
              </w:rPr>
            </w:pPr>
            <w:bookmarkStart w:id="5" w:name="特殊字符7"/>
            <w:r>
              <w:rPr>
                <w:rFonts w:hint="eastAsia" w:ascii="Wingdings 2" w:hAnsi="Wingdings 2" w:eastAsia="Wingdings 2" w:cs="Wingdings 2"/>
                <w:b w:val="0"/>
                <w:bCs w:val="0"/>
                <w:color w:val="auto"/>
                <w:u w:val="none"/>
                <w:lang w:val="en-US" w:eastAsia="zh-CN"/>
              </w:rPr>
              <w:t>R</w:t>
            </w:r>
            <w:bookmarkEnd w:id="5"/>
            <w:r>
              <w:rPr>
                <w:rFonts w:hint="eastAsia" w:ascii="楷体" w:hAnsi="楷体" w:eastAsia="楷体" w:cs="Times New Roman"/>
                <w:b w:val="0"/>
                <w:bCs w:val="0"/>
                <w:color w:val="auto"/>
                <w:u w:val="none"/>
                <w:lang w:val="en-US" w:eastAsia="zh-CN"/>
              </w:rPr>
              <w:t>【个人投资者】</w:t>
            </w:r>
            <w:r>
              <w:rPr>
                <w:rFonts w:hint="eastAsia" w:ascii="楷体" w:hAnsi="楷体" w:eastAsia="楷体"/>
                <w:b w:val="0"/>
                <w:bCs w:val="0"/>
                <w:color w:val="auto"/>
                <w:u w:val="none"/>
                <w:lang w:eastAsia="zh-CN"/>
              </w:rPr>
              <w:t>【（客户风险承受能力评级为稳健型,平衡型,成长型,进取型）】</w:t>
            </w:r>
          </w:p>
          <w:p>
            <w:pPr>
              <w:rPr>
                <w:rFonts w:hint="default" w:ascii="楷体" w:hAnsi="楷体" w:eastAsia="楷体"/>
                <w:b w:val="0"/>
                <w:bCs w:val="0"/>
                <w:color w:val="auto"/>
                <w:u w:val="none"/>
                <w:lang w:val="en-US" w:eastAsia="zh-CN"/>
              </w:rPr>
            </w:pPr>
            <w:bookmarkStart w:id="6" w:name="特殊字符8"/>
            <w:r>
              <w:rPr>
                <w:rFonts w:hint="eastAsia" w:ascii="Wingdings 2" w:hAnsi="Wingdings 2" w:eastAsia="Wingdings 2" w:cs="Wingdings 2"/>
                <w:b w:val="0"/>
                <w:bCs w:val="0"/>
                <w:color w:val="auto"/>
                <w:u w:val="none"/>
                <w:lang w:val="en-US" w:eastAsia="zh-CN"/>
              </w:rPr>
              <w:t>£</w:t>
            </w:r>
            <w:bookmarkEnd w:id="6"/>
            <w:r>
              <w:rPr>
                <w:rFonts w:hint="eastAsia" w:ascii="楷体" w:hAnsi="楷体" w:eastAsia="楷体" w:cs="Times New Roman"/>
                <w:b w:val="0"/>
                <w:bCs w:val="0"/>
                <w:color w:val="auto"/>
                <w:u w:val="none"/>
                <w:lang w:val="en-US" w:eastAsia="zh-CN"/>
              </w:rPr>
              <w:t>【机构投资者】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default" w:ascii="楷体" w:hAnsi="楷体" w:eastAsia="楷体"/>
                <w:b/>
                <w:bCs/>
                <w:u w:val="none"/>
                <w:lang w:val="en-US" w:eastAsia="zh-CN"/>
              </w:rPr>
            </w:pPr>
            <w:r>
              <w:rPr>
                <w:rFonts w:hint="eastAsia" w:ascii="楷体" w:hAnsi="楷体" w:eastAsia="楷体"/>
                <w:b/>
                <w:bCs/>
                <w:u w:val="none"/>
                <w:lang w:val="en-US" w:eastAsia="zh-CN"/>
              </w:rPr>
              <w:t>销售场景</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val="en-US" w:eastAsia="zh-CN"/>
              </w:rPr>
              <w:t xml:space="preserve">本产品可在销售机构线上渠道和线下渠道等场景进行销售。 </w:t>
            </w:r>
          </w:p>
          <w:p>
            <w:pPr>
              <w:rPr>
                <w:rFonts w:hint="eastAsia" w:ascii="楷体" w:hAnsi="楷体" w:eastAsia="楷体"/>
                <w:b w:val="0"/>
                <w:bCs w:val="0"/>
                <w:color w:val="auto"/>
                <w:u w:val="none"/>
              </w:rPr>
            </w:pPr>
            <w:r>
              <w:rPr>
                <w:rFonts w:hint="eastAsia" w:ascii="楷体" w:hAnsi="楷体" w:eastAsia="楷体"/>
                <w:b/>
                <w:bCs/>
                <w:color w:val="auto"/>
                <w:u w:val="none"/>
                <w:lang w:val="en-US" w:eastAsia="zh-CN"/>
              </w:rPr>
              <w:t>特别提示：</w:t>
            </w:r>
            <w:r>
              <w:rPr>
                <w:rFonts w:hint="eastAsia" w:ascii="楷体" w:hAnsi="楷体" w:eastAsia="楷体"/>
                <w:b w:val="0"/>
                <w:bCs w:val="0"/>
                <w:color w:val="auto"/>
                <w:u w:val="none"/>
                <w:lang w:val="en-US" w:eastAsia="zh-CN"/>
              </w:rPr>
              <w:t xml:space="preserve">当销售机构销售产品风险评级为 R4 及以上的理财产品时，可在销售机构的营业网点进行，也可依据销售机构的政策在营业网点之外的其他场景进行（具体政策以销售机构公布执行 </w:t>
            </w:r>
          </w:p>
          <w:p>
            <w:pPr>
              <w:rPr>
                <w:rFonts w:hint="eastAsia" w:ascii="楷体" w:hAnsi="楷体" w:eastAsia="楷体"/>
                <w:b w:val="0"/>
                <w:bCs w:val="0"/>
                <w:color w:val="auto"/>
                <w:u w:val="none"/>
              </w:rPr>
            </w:pPr>
            <w:r>
              <w:rPr>
                <w:rFonts w:hint="eastAsia" w:ascii="楷体" w:hAnsi="楷体" w:eastAsia="楷体"/>
                <w:b w:val="0"/>
                <w:bCs w:val="0"/>
                <w:color w:val="auto"/>
                <w:u w:val="none"/>
                <w:lang w:val="en-US" w:eastAsia="zh-CN"/>
              </w:rPr>
              <w:t>的为准）。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lang w:val="en-US" w:eastAsia="zh-CN"/>
              </w:rPr>
            </w:pPr>
            <w:r>
              <w:rPr>
                <w:rFonts w:hint="eastAsia" w:ascii="楷体" w:hAnsi="楷体" w:eastAsia="楷体" w:cs="楷体"/>
                <w:b/>
                <w:bCs/>
                <w:u w:val="none"/>
                <w:lang w:val="en-US" w:eastAsia="zh-CN"/>
              </w:rPr>
              <w:t>销售机构</w:t>
            </w:r>
          </w:p>
        </w:tc>
        <w:tc>
          <w:tcPr>
            <w:tcW w:w="6146" w:type="dxa"/>
            <w:vAlign w:val="top"/>
          </w:tcPr>
          <w:p>
            <w:pPr>
              <w:rPr>
                <w:rFonts w:hint="eastAsia" w:ascii="楷体" w:hAnsi="楷体" w:eastAsia="楷体" w:cs="楷体"/>
                <w:b w:val="0"/>
                <w:bCs w:val="0"/>
                <w:color w:val="auto"/>
                <w:u w:val="none"/>
                <w:lang w:val="en-US" w:eastAsia="zh-CN"/>
              </w:rPr>
            </w:pPr>
            <w:bookmarkStart w:id="7" w:name="特殊字符3"/>
            <w:r>
              <w:rPr>
                <w:rFonts w:hint="eastAsia" w:ascii="Wingdings 2" w:hAnsi="Wingdings 2" w:eastAsia="Wingdings 2" w:cs="Wingdings 2"/>
                <w:b w:val="0"/>
                <w:bCs w:val="0"/>
                <w:color w:val="auto"/>
                <w:u w:val="none"/>
                <w:lang w:val="en-US" w:eastAsia="zh-CN"/>
              </w:rPr>
              <w:t>£</w:t>
            </w:r>
            <w:bookmarkEnd w:id="7"/>
            <w:r>
              <w:rPr>
                <w:rFonts w:hint="eastAsia" w:ascii="楷体" w:hAnsi="楷体" w:eastAsia="楷体" w:cs="楷体"/>
                <w:b w:val="0"/>
                <w:bCs w:val="0"/>
                <w:color w:val="auto"/>
                <w:u w:val="none"/>
                <w:lang w:val="en-US" w:eastAsia="zh-CN"/>
              </w:rPr>
              <w:t>【直销适用】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 xml:space="preserve">本产品由产品管理人销售。 </w:t>
            </w:r>
          </w:p>
          <w:p>
            <w:pPr>
              <w:rPr>
                <w:rFonts w:hint="eastAsia" w:ascii="楷体" w:hAnsi="楷体" w:eastAsia="楷体" w:cs="楷体"/>
                <w:b w:val="0"/>
                <w:bCs w:val="0"/>
                <w:color w:val="auto"/>
                <w:u w:val="none"/>
                <w:lang w:val="en-US" w:eastAsia="zh-CN"/>
              </w:rPr>
            </w:pPr>
            <w:bookmarkStart w:id="8" w:name="特殊字符4"/>
            <w:r>
              <w:rPr>
                <w:rFonts w:hint="eastAsia" w:ascii="Wingdings 2" w:hAnsi="Wingdings 2" w:eastAsia="Wingdings 2" w:cs="Wingdings 2"/>
                <w:b w:val="0"/>
                <w:bCs w:val="0"/>
                <w:color w:val="auto"/>
                <w:u w:val="none"/>
                <w:lang w:val="en-US" w:eastAsia="zh-CN"/>
              </w:rPr>
              <w:t>R</w:t>
            </w:r>
            <w:bookmarkEnd w:id="8"/>
            <w:r>
              <w:rPr>
                <w:rFonts w:hint="eastAsia" w:ascii="楷体" w:hAnsi="楷体" w:eastAsia="楷体" w:cs="楷体"/>
                <w:b w:val="0"/>
                <w:bCs w:val="0"/>
                <w:color w:val="auto"/>
                <w:u w:val="none"/>
                <w:lang w:val="en-US" w:eastAsia="zh-CN"/>
              </w:rPr>
              <w:t>【代销适用】</w:t>
            </w:r>
          </w:p>
          <w:p>
            <w:p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 xml:space="preserve">本产品由代理销售机构销售。 </w:t>
            </w:r>
          </w:p>
          <w:p>
            <w:pPr>
              <w:rPr>
                <w:rFonts w:hint="eastAsia" w:ascii="楷体" w:hAnsi="楷体" w:eastAsia="楷体" w:cs="楷体"/>
                <w:b/>
                <w:bCs/>
                <w:color w:val="auto"/>
                <w:u w:val="none"/>
              </w:rPr>
            </w:pPr>
            <w:r>
              <w:rPr>
                <w:rFonts w:hint="eastAsia" w:ascii="楷体" w:hAnsi="楷体" w:eastAsia="楷体" w:cs="楷体"/>
                <w:b w:val="0"/>
                <w:bCs w:val="0"/>
                <w:color w:val="auto"/>
                <w:u w:val="none"/>
                <w:lang w:val="en-US" w:eastAsia="zh-CN"/>
              </w:rPr>
              <w:t>代理销售机构合作业务情况以产品管理人公告为准，具体代理销售机构以《</w:t>
            </w:r>
            <w:r>
              <w:rPr>
                <w:rFonts w:hint="eastAsia" w:ascii="楷体" w:hAnsi="楷体" w:eastAsia="楷体" w:cs="楷体"/>
                <w:b w:val="0"/>
                <w:bCs w:val="0"/>
                <w:color w:val="auto"/>
                <w:szCs w:val="21"/>
                <w:u w:val="none"/>
              </w:rPr>
              <w:t>销售（代理销售）协议书</w:t>
            </w:r>
            <w:r>
              <w:rPr>
                <w:rFonts w:hint="eastAsia" w:ascii="楷体" w:hAnsi="楷体" w:eastAsia="楷体" w:cs="楷体"/>
                <w:b w:val="0"/>
                <w:bCs w:val="0"/>
                <w:color w:val="auto"/>
                <w:u w:val="none"/>
                <w:lang w:val="en-US" w:eastAsia="zh-CN"/>
              </w:rPr>
              <w:t>》 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lang w:val="en-US" w:eastAsia="zh-CN"/>
              </w:rPr>
              <w:t>发售对象</w:t>
            </w:r>
          </w:p>
        </w:tc>
        <w:tc>
          <w:tcPr>
            <w:tcW w:w="6146" w:type="dxa"/>
            <w:vAlign w:val="top"/>
          </w:tcPr>
          <w:p>
            <w:pPr>
              <w:numPr>
                <w:ilvl w:val="12"/>
                <w:numId w:val="0"/>
              </w:numPr>
              <w:ind w:left="0" w:leftChars="0" w:firstLine="0" w:firstLineChars="0"/>
              <w:rPr>
                <w:rFonts w:hint="eastAsia" w:ascii="楷体" w:hAnsi="楷体" w:eastAsia="楷体"/>
                <w:b w:val="0"/>
                <w:bCs w:val="0"/>
                <w:u w:val="none"/>
                <w:lang w:val="en-US" w:eastAsia="zh-CN"/>
              </w:rPr>
            </w:pPr>
            <w:r>
              <w:rPr>
                <w:rFonts w:hint="eastAsia" w:ascii="楷体" w:hAnsi="楷体" w:eastAsia="楷体"/>
                <w:b w:val="0"/>
                <w:bCs w:val="0"/>
                <w:color w:val="auto"/>
                <w:highlight w:val="none"/>
                <w:u w:val="none"/>
                <w:lang w:val="en-US" w:eastAsia="zh-CN"/>
              </w:rPr>
              <w:t>【B】类份额：【特邀客户】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发行规模</w:t>
            </w:r>
            <w:r>
              <w:rPr>
                <w:rFonts w:hint="eastAsia" w:ascii="楷体" w:hAnsi="楷体" w:eastAsia="楷体"/>
                <w:b/>
                <w:bCs/>
                <w:u w:val="none"/>
                <w:lang w:val="en-US" w:eastAsia="zh-CN"/>
              </w:rPr>
              <w:t>上限</w:t>
            </w:r>
          </w:p>
        </w:tc>
        <w:tc>
          <w:tcPr>
            <w:tcW w:w="6146" w:type="dxa"/>
            <w:vAlign w:val="top"/>
          </w:tcPr>
          <w:p>
            <w:pPr>
              <w:numPr>
                <w:ilvl w:val="12"/>
                <w:numId w:val="0"/>
              </w:numPr>
              <w:ind w:left="0" w:firstLine="0"/>
              <w:rPr>
                <w:rFonts w:hint="eastAsia" w:ascii="楷体" w:hAnsi="楷体" w:eastAsia="楷体"/>
                <w:b w:val="0"/>
                <w:bCs w:val="0"/>
                <w:color w:val="auto"/>
                <w:u w:val="none"/>
                <w:lang w:val="en-US" w:eastAsia="zh-CN"/>
              </w:rPr>
            </w:pPr>
            <w:r>
              <w:rPr>
                <w:rFonts w:hint="eastAsia" w:ascii="楷体" w:hAnsi="楷体" w:eastAsia="楷体"/>
                <w:b w:val="0"/>
                <w:bCs w:val="0"/>
                <w:color w:val="auto"/>
                <w:u w:val="none"/>
                <w:lang w:val="en-US" w:eastAsia="zh-CN"/>
              </w:rPr>
              <w:t>发行规模上限【200.00亿元】。</w:t>
            </w:r>
          </w:p>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若产品募集金额超出规模上限，管理人有权暂停接受认购或申购申请。管理人有权对本理财产品规模上限进行调整。</w:t>
            </w:r>
          </w:p>
          <w:p>
            <w:pPr>
              <w:numPr>
                <w:ilvl w:val="12"/>
                <w:numId w:val="0"/>
              </w:numPr>
              <w:ind w:left="0" w:leftChars="0" w:firstLine="0" w:firstLineChars="0"/>
              <w:rPr>
                <w:rFonts w:hint="eastAsia" w:ascii="楷体" w:hAnsi="楷体" w:eastAsia="楷体"/>
                <w:b w:val="0"/>
                <w:bCs w:val="0"/>
                <w:color w:val="auto"/>
                <w:u w:val="none"/>
                <w:lang w:val="en-US" w:eastAsia="zh-CN"/>
              </w:rPr>
            </w:pPr>
            <w:r>
              <w:rPr>
                <w:rFonts w:hint="eastAsia" w:ascii="楷体" w:hAnsi="楷体" w:eastAsia="楷体"/>
                <w:b/>
                <w:bCs/>
              </w:rPr>
              <w:t>销售机构实际销售规模限制可能与《产品说明书》不一致，具体以销售机构规则为准。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lang w:val="en-US" w:eastAsia="zh-CN"/>
              </w:rPr>
              <w:t>最低发行规模</w:t>
            </w:r>
          </w:p>
        </w:tc>
        <w:tc>
          <w:tcPr>
            <w:tcW w:w="6146" w:type="dxa"/>
            <w:vAlign w:val="top"/>
          </w:tcPr>
          <w:p>
            <w:pPr>
              <w:numPr>
                <w:ilvl w:val="12"/>
                <w:numId w:val="0"/>
              </w:numPr>
              <w:ind w:left="0" w:leftChars="0" w:firstLine="0" w:firstLineChars="0"/>
              <w:rPr>
                <w:rFonts w:hint="eastAsia" w:ascii="楷体" w:hAnsi="楷体" w:eastAsia="楷体"/>
                <w:b w:val="0"/>
                <w:bCs w:val="0"/>
                <w:color w:val="auto"/>
                <w:u w:val="none"/>
              </w:rPr>
            </w:pPr>
            <w:r>
              <w:rPr>
                <w:rFonts w:hint="eastAsia" w:ascii="楷体" w:hAnsi="楷体" w:eastAsia="楷体"/>
                <w:b w:val="0"/>
                <w:bCs w:val="0"/>
                <w:color w:val="auto"/>
                <w:u w:val="none"/>
              </w:rPr>
              <w:t>本理财产品最低发行规模为</w:t>
            </w:r>
            <w:r>
              <w:rPr>
                <w:rFonts w:hint="eastAsia" w:ascii="楷体" w:hAnsi="楷体" w:eastAsia="楷体"/>
                <w:b w:val="0"/>
                <w:bCs w:val="0"/>
                <w:color w:val="auto"/>
                <w:u w:val="none"/>
                <w:lang w:eastAsia="zh-CN"/>
              </w:rPr>
              <w:t>【1.00万元】</w:t>
            </w:r>
            <w:r>
              <w:rPr>
                <w:rFonts w:hint="eastAsia" w:ascii="楷体" w:hAnsi="楷体" w:eastAsia="楷体"/>
                <w:b w:val="0"/>
                <w:bCs w:val="0"/>
                <w:color w:val="auto"/>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auto"/>
                <w:u w:val="none"/>
              </w:rPr>
            </w:pPr>
            <w:r>
              <w:rPr>
                <w:rFonts w:hint="eastAsia" w:ascii="楷体" w:hAnsi="楷体" w:eastAsia="楷体"/>
                <w:b/>
                <w:bCs/>
                <w:color w:val="auto"/>
                <w:highlight w:val="none"/>
                <w:u w:val="none"/>
                <w:lang w:val="en-US" w:eastAsia="zh-CN"/>
              </w:rPr>
              <w:t>产品期限</w:t>
            </w:r>
          </w:p>
        </w:tc>
        <w:tc>
          <w:tcPr>
            <w:tcW w:w="6146" w:type="dxa"/>
            <w:vAlign w:val="top"/>
          </w:tcPr>
          <w:p>
            <w:pPr>
              <w:rPr>
                <w:rFonts w:hint="default" w:ascii="楷体" w:hAnsi="楷体" w:eastAsia="楷体"/>
                <w:b w:val="0"/>
                <w:bCs w:val="0"/>
                <w:color w:val="auto"/>
                <w:highlight w:val="none"/>
                <w:u w:val="none"/>
                <w:lang w:val="en-US" w:eastAsia="zh-CN"/>
              </w:rPr>
            </w:pPr>
            <w:bookmarkStart w:id="9" w:name="特殊字符5"/>
            <w:r>
              <w:rPr>
                <w:rFonts w:hint="eastAsia" w:ascii="Wingdings 2" w:hAnsi="Wingdings 2" w:eastAsia="Wingdings 2" w:cs="Wingdings 2"/>
                <w:b w:val="0"/>
                <w:bCs w:val="0"/>
                <w:color w:val="auto"/>
                <w:u w:val="none"/>
                <w:lang w:val="en-US" w:eastAsia="zh-CN"/>
              </w:rPr>
              <w:t>R</w:t>
            </w:r>
            <w:bookmarkEnd w:id="9"/>
            <w:r>
              <w:rPr>
                <w:rFonts w:hint="eastAsia" w:ascii="楷体" w:hAnsi="楷体" w:eastAsia="楷体"/>
                <w:b w:val="0"/>
                <w:bCs w:val="0"/>
                <w:color w:val="auto"/>
                <w:u w:val="none"/>
                <w:lang w:val="en-US" w:eastAsia="zh-CN"/>
              </w:rPr>
              <w:t>【有固定期限】【10年】</w:t>
            </w:r>
          </w:p>
          <w:p>
            <w:pPr>
              <w:rPr>
                <w:rFonts w:hint="default" w:ascii="楷体" w:hAnsi="楷体" w:eastAsia="楷体"/>
                <w:b w:val="0"/>
                <w:bCs w:val="0"/>
                <w:color w:val="auto"/>
                <w:u w:val="none"/>
                <w:lang w:val="en-US"/>
              </w:rPr>
            </w:pPr>
            <w:bookmarkStart w:id="10" w:name="特殊字符6"/>
            <w:r>
              <w:rPr>
                <w:rFonts w:hint="eastAsia" w:ascii="Wingdings 2" w:hAnsi="Wingdings 2" w:eastAsia="Wingdings 2" w:cs="Wingdings 2"/>
                <w:b w:val="0"/>
                <w:bCs w:val="0"/>
                <w:color w:val="auto"/>
                <w:u w:val="none"/>
                <w:lang w:eastAsia="zh-CN"/>
              </w:rPr>
              <w:t>£</w:t>
            </w:r>
            <w:bookmarkEnd w:id="10"/>
            <w:r>
              <w:rPr>
                <w:rFonts w:hint="eastAsia" w:ascii="楷体" w:hAnsi="楷体" w:eastAsia="楷体"/>
                <w:b w:val="0"/>
                <w:bCs w:val="0"/>
                <w:color w:val="auto"/>
                <w:u w:val="none"/>
                <w:lang w:eastAsia="zh-CN"/>
              </w:rPr>
              <w:t>【无固定期限】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color w:val="FF0000"/>
                <w:highlight w:val="none"/>
                <w:u w:val="none"/>
                <w:lang w:val="en-US" w:eastAsia="zh-CN"/>
              </w:rPr>
            </w:pPr>
            <w:r>
              <w:rPr>
                <w:rFonts w:hint="eastAsia" w:ascii="楷体" w:hAnsi="楷体" w:eastAsia="楷体"/>
                <w:b/>
                <w:bCs/>
                <w:u w:val="none"/>
              </w:rPr>
              <w:t>产品认购期</w:t>
            </w:r>
          </w:p>
        </w:tc>
        <w:tc>
          <w:tcPr>
            <w:tcW w:w="6146" w:type="dxa"/>
            <w:vAlign w:val="top"/>
          </w:tcPr>
          <w:p>
            <w:pPr>
              <w:rPr>
                <w:rFonts w:hint="eastAsia" w:ascii="楷体" w:hAnsi="楷体" w:eastAsia="楷体"/>
                <w:b w:val="0"/>
                <w:bCs w:val="0"/>
                <w:color w:val="auto"/>
                <w:highlight w:val="none"/>
                <w:u w:val="none"/>
                <w:lang w:val="en-US" w:eastAsia="zh-CN"/>
              </w:rPr>
            </w:pPr>
            <w:r>
              <w:rPr>
                <w:rFonts w:hint="eastAsia" w:ascii="楷体" w:hAnsi="楷体" w:eastAsia="楷体"/>
                <w:b w:val="0"/>
                <w:bCs w:val="0"/>
                <w:color w:val="auto"/>
                <w:u w:val="none"/>
                <w:lang w:eastAsia="zh-CN"/>
              </w:rPr>
              <w:t>【2024】</w:t>
            </w:r>
            <w:r>
              <w:rPr>
                <w:rFonts w:ascii="楷体" w:hAnsi="楷体" w:eastAsia="楷体"/>
                <w:b w:val="0"/>
                <w:bCs w:val="0"/>
                <w:color w:val="auto"/>
                <w:u w:val="none"/>
              </w:rPr>
              <w:t>年</w:t>
            </w:r>
            <w:r>
              <w:rPr>
                <w:rFonts w:hint="eastAsia" w:ascii="楷体" w:hAnsi="楷体" w:eastAsia="楷体"/>
                <w:b w:val="0"/>
                <w:bCs w:val="0"/>
                <w:color w:val="auto"/>
                <w:u w:val="none"/>
                <w:lang w:eastAsia="zh-CN"/>
              </w:rPr>
              <w:t>【11】</w:t>
            </w:r>
            <w:r>
              <w:rPr>
                <w:rFonts w:ascii="楷体" w:hAnsi="楷体" w:eastAsia="楷体"/>
                <w:b w:val="0"/>
                <w:bCs w:val="0"/>
                <w:color w:val="auto"/>
                <w:u w:val="none"/>
              </w:rPr>
              <w:t>月</w:t>
            </w:r>
            <w:r>
              <w:rPr>
                <w:rFonts w:hint="eastAsia" w:ascii="楷体" w:hAnsi="楷体" w:eastAsia="楷体"/>
                <w:b w:val="0"/>
                <w:bCs w:val="0"/>
                <w:color w:val="auto"/>
                <w:u w:val="none"/>
                <w:lang w:eastAsia="zh-CN"/>
              </w:rPr>
              <w:t>【01】</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【08:00】</w:t>
            </w:r>
            <w:r>
              <w:rPr>
                <w:rFonts w:hint="eastAsia" w:ascii="楷体" w:hAnsi="楷体" w:eastAsia="楷体"/>
                <w:b w:val="0"/>
                <w:bCs w:val="0"/>
                <w:color w:val="auto"/>
                <w:u w:val="none"/>
              </w:rPr>
              <w:t>至</w:t>
            </w:r>
            <w:r>
              <w:rPr>
                <w:rFonts w:hint="eastAsia" w:ascii="楷体" w:hAnsi="楷体" w:eastAsia="楷体"/>
                <w:b w:val="0"/>
                <w:bCs w:val="0"/>
                <w:color w:val="auto"/>
                <w:u w:val="none"/>
                <w:lang w:eastAsia="zh-CN"/>
              </w:rPr>
              <w:t>【2024】</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【11】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【04】</w:t>
            </w:r>
            <w:r>
              <w:rPr>
                <w:rFonts w:hint="eastAsia" w:ascii="楷体" w:hAnsi="楷体" w:eastAsia="楷体"/>
                <w:b w:val="0"/>
                <w:bCs w:val="0"/>
                <w:color w:val="auto"/>
                <w:u w:val="none"/>
              </w:rPr>
              <w:t>日</w:t>
            </w:r>
            <w:r>
              <w:rPr>
                <w:rFonts w:hint="eastAsia" w:ascii="楷体" w:hAnsi="楷体" w:eastAsia="楷体"/>
                <w:b w:val="0"/>
                <w:bCs w:val="0"/>
                <w:color w:val="auto"/>
                <w:u w:val="none"/>
                <w:lang w:eastAsia="zh-CN"/>
              </w:rPr>
              <w:t>【16:00】。</w:t>
            </w:r>
            <w:r>
              <w:rPr>
                <w:rFonts w:hint="eastAsia" w:ascii="楷体" w:hAnsi="楷体" w:eastAsia="楷体"/>
                <w:b/>
                <w:bCs/>
                <w:color w:val="auto"/>
                <w:u w:val="none"/>
              </w:rPr>
              <w:t>销售机构实际受理时间可能与</w:t>
            </w:r>
            <w:r>
              <w:rPr>
                <w:rFonts w:hint="eastAsia" w:ascii="楷体" w:hAnsi="楷体" w:eastAsia="楷体"/>
                <w:b/>
                <w:bCs/>
                <w:color w:val="auto"/>
                <w:u w:val="none"/>
                <w:lang w:eastAsia="zh-CN"/>
              </w:rPr>
              <w:t>《</w:t>
            </w:r>
            <w:r>
              <w:rPr>
                <w:rFonts w:hint="eastAsia" w:ascii="楷体" w:hAnsi="楷体" w:eastAsia="楷体"/>
                <w:b/>
                <w:bCs/>
                <w:color w:val="auto"/>
                <w:u w:val="none"/>
              </w:rPr>
              <w:t>产品说明书</w:t>
            </w:r>
            <w:r>
              <w:rPr>
                <w:rFonts w:hint="eastAsia" w:ascii="楷体" w:hAnsi="楷体" w:eastAsia="楷体"/>
                <w:b/>
                <w:bCs/>
                <w:color w:val="auto"/>
                <w:u w:val="none"/>
                <w:lang w:eastAsia="zh-CN"/>
              </w:rPr>
              <w:t>》</w:t>
            </w:r>
            <w:r>
              <w:rPr>
                <w:rFonts w:hint="eastAsia" w:ascii="楷体" w:hAnsi="楷体" w:eastAsia="楷体"/>
                <w:b/>
                <w:bCs/>
                <w:color w:val="auto"/>
                <w:u w:val="none"/>
              </w:rPr>
              <w:t>不一致，具体以销售机构</w:t>
            </w:r>
            <w:r>
              <w:rPr>
                <w:rFonts w:hint="eastAsia" w:ascii="楷体" w:hAnsi="楷体" w:eastAsia="楷体"/>
                <w:b/>
                <w:bCs/>
                <w:color w:val="auto"/>
                <w:u w:val="none"/>
                <w:lang w:val="en-US" w:eastAsia="zh-CN"/>
              </w:rPr>
              <w:t>规则</w:t>
            </w:r>
            <w:r>
              <w:rPr>
                <w:rFonts w:hint="eastAsia" w:ascii="楷体" w:hAnsi="楷体" w:eastAsia="楷体"/>
                <w:b/>
                <w:bCs/>
                <w:color w:val="auto"/>
                <w:u w:val="none"/>
              </w:rPr>
              <w:t>为准。</w:t>
            </w:r>
            <w:r>
              <w:rPr>
                <w:rFonts w:hint="eastAsia" w:ascii="楷体" w:hAnsi="楷体" w:eastAsia="楷体"/>
                <w:b w:val="0"/>
                <w:bCs w:val="0"/>
                <w:color w:val="auto"/>
                <w:u w:val="none"/>
              </w:rPr>
              <w:t>管理人可在认购期内公告延长或提前终止产品认购期，实际认购期以管理人公告为准。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lang w:val="en-US" w:eastAsia="zh-CN"/>
              </w:rPr>
            </w:pPr>
            <w:r>
              <w:rPr>
                <w:rFonts w:hint="eastAsia" w:ascii="楷体" w:hAnsi="楷体" w:eastAsia="楷体"/>
                <w:b/>
                <w:bCs/>
                <w:u w:val="none"/>
              </w:rPr>
              <w:t>产品成立日</w:t>
            </w:r>
          </w:p>
        </w:tc>
        <w:tc>
          <w:tcPr>
            <w:tcW w:w="6146" w:type="dxa"/>
            <w:vAlign w:val="top"/>
          </w:tcPr>
          <w:p>
            <w:pPr>
              <w:rPr>
                <w:rFonts w:ascii="楷体" w:hAnsi="楷体" w:eastAsia="楷体"/>
                <w:b w:val="0"/>
                <w:bCs w:val="0"/>
                <w:color w:val="auto"/>
                <w:u w:val="none"/>
              </w:rPr>
            </w:pPr>
            <w:r>
              <w:rPr>
                <w:rFonts w:hint="eastAsia" w:ascii="楷体" w:hAnsi="楷体" w:eastAsia="楷体"/>
                <w:b w:val="0"/>
                <w:bCs w:val="0"/>
                <w:color w:val="auto"/>
                <w:u w:val="none"/>
                <w:lang w:eastAsia="zh-CN"/>
              </w:rPr>
              <w:t>【2024】</w:t>
            </w:r>
            <w:r>
              <w:rPr>
                <w:rFonts w:ascii="楷体" w:hAnsi="楷体" w:eastAsia="楷体"/>
                <w:b w:val="0"/>
                <w:bCs w:val="0"/>
                <w:color w:val="auto"/>
                <w:u w:val="none"/>
              </w:rPr>
              <w:t>年</w:t>
            </w:r>
            <w:r>
              <w:rPr>
                <w:rFonts w:hint="eastAsia" w:ascii="楷体" w:hAnsi="楷体" w:eastAsia="楷体"/>
                <w:b w:val="0"/>
                <w:bCs w:val="0"/>
                <w:color w:val="auto"/>
                <w:u w:val="none"/>
                <w:lang w:eastAsia="zh-CN"/>
              </w:rPr>
              <w:t>【11】</w:t>
            </w:r>
            <w:r>
              <w:rPr>
                <w:rFonts w:ascii="楷体" w:hAnsi="楷体" w:eastAsia="楷体"/>
                <w:b w:val="0"/>
                <w:bCs w:val="0"/>
                <w:color w:val="auto"/>
                <w:u w:val="none"/>
              </w:rPr>
              <w:t>月</w:t>
            </w:r>
            <w:r>
              <w:rPr>
                <w:rFonts w:hint="eastAsia" w:ascii="楷体" w:hAnsi="楷体" w:eastAsia="楷体"/>
                <w:b w:val="0"/>
                <w:bCs w:val="0"/>
                <w:color w:val="auto"/>
                <w:u w:val="none"/>
                <w:lang w:eastAsia="zh-CN"/>
              </w:rPr>
              <w:t>【05】</w:t>
            </w:r>
            <w:r>
              <w:rPr>
                <w:rFonts w:ascii="楷体" w:hAnsi="楷体" w:eastAsia="楷体"/>
                <w:b w:val="0"/>
                <w:bCs w:val="0"/>
                <w:color w:val="auto"/>
                <w:u w:val="none"/>
              </w:rPr>
              <w:t>日</w:t>
            </w:r>
          </w:p>
          <w:p>
            <w:pPr>
              <w:rPr>
                <w:rFonts w:ascii="楷体" w:hAnsi="楷体" w:eastAsia="楷体"/>
                <w:b w:val="0"/>
                <w:bCs w:val="0"/>
                <w:color w:val="auto"/>
                <w:u w:val="none"/>
              </w:rPr>
            </w:pP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p>
          <w:p>
            <w:pPr>
              <w:rPr>
                <w:rFonts w:hint="eastAsia" w:ascii="楷体" w:hAnsi="楷体" w:eastAsia="楷体"/>
                <w:b w:val="0"/>
                <w:bCs w:val="0"/>
                <w:color w:val="auto"/>
                <w:u w:val="none"/>
                <w:lang w:val="en-US" w:eastAsia="zh-CN"/>
              </w:rPr>
            </w:pPr>
            <w:r>
              <w:rPr>
                <w:rFonts w:hint="eastAsia" w:ascii="楷体" w:hAnsi="楷体" w:eastAsia="楷体"/>
                <w:b w:val="0"/>
                <w:bCs w:val="0"/>
                <w:color w:val="auto"/>
                <w:u w:val="none"/>
              </w:rPr>
              <w:t>产品管理人有权根据实际募集情况提前或延后产品成立日期，并相应调整其他产品要素，将依约定进行公告。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w:t>
            </w:r>
            <w:r>
              <w:rPr>
                <w:rFonts w:ascii="楷体" w:hAnsi="楷体" w:eastAsia="楷体"/>
                <w:b/>
                <w:bCs/>
                <w:u w:val="none"/>
              </w:rPr>
              <w:t>预计到期日</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u w:val="none"/>
                <w:lang w:eastAsia="zh-CN"/>
              </w:rPr>
              <w:t>【2034】</w:t>
            </w:r>
            <w:r>
              <w:rPr>
                <w:rFonts w:hint="eastAsia" w:ascii="楷体" w:hAnsi="楷体" w:eastAsia="楷体"/>
                <w:b w:val="0"/>
                <w:bCs w:val="0"/>
                <w:color w:val="auto"/>
                <w:u w:val="none"/>
              </w:rPr>
              <w:t>年</w:t>
            </w:r>
            <w:r>
              <w:rPr>
                <w:rFonts w:hint="eastAsia" w:ascii="楷体" w:hAnsi="楷体" w:eastAsia="楷体"/>
                <w:b w:val="0"/>
                <w:bCs w:val="0"/>
                <w:color w:val="auto"/>
                <w:u w:val="none"/>
                <w:lang w:eastAsia="zh-CN"/>
              </w:rPr>
              <w:t>【11】</w:t>
            </w:r>
            <w:r>
              <w:rPr>
                <w:rFonts w:hint="eastAsia" w:ascii="楷体" w:hAnsi="楷体" w:eastAsia="楷体"/>
                <w:b w:val="0"/>
                <w:bCs w:val="0"/>
                <w:color w:val="auto"/>
                <w:u w:val="none"/>
              </w:rPr>
              <w:t>月</w:t>
            </w:r>
            <w:r>
              <w:rPr>
                <w:rFonts w:hint="eastAsia" w:ascii="楷体" w:hAnsi="楷体" w:eastAsia="楷体"/>
                <w:b w:val="0"/>
                <w:bCs w:val="0"/>
                <w:color w:val="auto"/>
                <w:u w:val="none"/>
                <w:lang w:eastAsia="zh-CN"/>
              </w:rPr>
              <w:t>【07】</w:t>
            </w:r>
            <w:r>
              <w:rPr>
                <w:rFonts w:hint="eastAsia" w:ascii="楷体" w:hAnsi="楷体" w:eastAsia="楷体"/>
                <w:b w:val="0"/>
                <w:bCs w:val="0"/>
                <w:color w:val="auto"/>
                <w:u w:val="none"/>
              </w:rPr>
              <w:t>日</w:t>
            </w:r>
            <w:r>
              <w:rPr>
                <w:rFonts w:ascii="楷体" w:hAnsi="楷体" w:eastAsia="楷体"/>
                <w:b w:val="0"/>
                <w:bCs w:val="0"/>
                <w:color w:val="auto"/>
                <w:u w:val="none"/>
              </w:rPr>
              <w:t>(</w:t>
            </w:r>
            <w:r>
              <w:rPr>
                <w:rFonts w:hint="eastAsia" w:ascii="楷体" w:hAnsi="楷体" w:eastAsia="楷体"/>
                <w:b w:val="0"/>
                <w:bCs w:val="0"/>
                <w:color w:val="auto"/>
                <w:u w:val="none"/>
              </w:rPr>
              <w:t>如遇非</w:t>
            </w:r>
            <w:r>
              <w:rPr>
                <w:rFonts w:hint="eastAsia" w:ascii="楷体" w:hAnsi="楷体" w:eastAsia="楷体"/>
                <w:b w:val="0"/>
                <w:bCs w:val="0"/>
                <w:color w:val="auto"/>
                <w:u w:val="none"/>
                <w:lang w:eastAsia="zh-CN"/>
              </w:rPr>
              <w:t>【交易日】</w:t>
            </w:r>
            <w:r>
              <w:rPr>
                <w:rFonts w:hint="eastAsia" w:ascii="楷体" w:hAnsi="楷体" w:eastAsia="楷体"/>
                <w:b w:val="0"/>
                <w:bCs w:val="0"/>
                <w:color w:val="auto"/>
                <w:u w:val="none"/>
              </w:rPr>
              <w:t>顺延至下一个</w:t>
            </w:r>
            <w:r>
              <w:rPr>
                <w:rFonts w:hint="eastAsia" w:ascii="楷体" w:hAnsi="楷体" w:eastAsia="楷体"/>
                <w:b w:val="0"/>
                <w:bCs w:val="0"/>
                <w:color w:val="auto"/>
                <w:u w:val="none"/>
                <w:lang w:eastAsia="zh-CN"/>
              </w:rPr>
              <w:t>【交易日】</w:t>
            </w:r>
            <w:r>
              <w:rPr>
                <w:rFonts w:ascii="楷体" w:hAnsi="楷体" w:eastAsia="楷体"/>
                <w:b w:val="0"/>
                <w:bCs w:val="0"/>
                <w:color w:val="auto"/>
                <w:u w:val="none"/>
              </w:rPr>
              <w:t>)</w:t>
            </w:r>
            <w:r>
              <w:rPr>
                <w:rFonts w:hint="eastAsia" w:ascii="楷体" w:hAnsi="楷体" w:eastAsia="楷体"/>
                <w:b w:val="0"/>
                <w:bCs w:val="0"/>
                <w:color w:val="auto"/>
                <w:u w:val="none"/>
              </w:rPr>
              <w:t>。在</w:t>
            </w:r>
            <w:r>
              <w:rPr>
                <w:rFonts w:ascii="楷体" w:hAnsi="楷体" w:eastAsia="楷体"/>
                <w:b w:val="0"/>
                <w:bCs w:val="0"/>
                <w:color w:val="auto"/>
                <w:u w:val="none"/>
              </w:rPr>
              <w:t>理财产品</w:t>
            </w:r>
            <w:r>
              <w:rPr>
                <w:rFonts w:hint="eastAsia" w:ascii="楷体" w:hAnsi="楷体" w:eastAsia="楷体"/>
                <w:b w:val="0"/>
                <w:bCs w:val="0"/>
                <w:color w:val="auto"/>
                <w:u w:val="none"/>
              </w:rPr>
              <w:t>存续期内，管理人有权根据本</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产品说明书</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约定事由宣布提前或延期终止本</w:t>
            </w:r>
            <w:r>
              <w:rPr>
                <w:rFonts w:ascii="楷体" w:hAnsi="楷体" w:eastAsia="楷体"/>
                <w:b w:val="0"/>
                <w:bCs w:val="0"/>
                <w:color w:val="auto"/>
                <w:u w:val="none"/>
              </w:rPr>
              <w:t>理财产品</w:t>
            </w:r>
            <w:r>
              <w:rPr>
                <w:rFonts w:hint="eastAsia" w:ascii="楷体" w:hAnsi="楷体" w:eastAsia="楷体"/>
                <w:b w:val="0"/>
                <w:bCs w:val="0"/>
                <w:color w:val="auto"/>
                <w:u w:val="none"/>
              </w:rPr>
              <w:t>。如管理人提前终止或延长</w:t>
            </w:r>
            <w:r>
              <w:rPr>
                <w:rFonts w:ascii="楷体" w:hAnsi="楷体" w:eastAsia="楷体"/>
                <w:b w:val="0"/>
                <w:bCs w:val="0"/>
                <w:color w:val="auto"/>
                <w:u w:val="none"/>
              </w:rPr>
              <w:t>理财产品</w:t>
            </w:r>
            <w:r>
              <w:rPr>
                <w:rFonts w:hint="eastAsia" w:ascii="楷体" w:hAnsi="楷体" w:eastAsia="楷体"/>
                <w:b w:val="0"/>
                <w:bCs w:val="0"/>
                <w:color w:val="auto"/>
                <w:u w:val="none"/>
              </w:rPr>
              <w:t>期限，将提前</w:t>
            </w:r>
            <w:r>
              <w:rPr>
                <w:rFonts w:ascii="楷体" w:hAnsi="楷体" w:eastAsia="楷体"/>
                <w:b w:val="0"/>
                <w:bCs w:val="0"/>
                <w:color w:val="auto"/>
                <w:u w:val="none"/>
              </w:rPr>
              <w:t>2</w:t>
            </w:r>
            <w:r>
              <w:rPr>
                <w:rFonts w:hint="eastAsia" w:ascii="楷体" w:hAnsi="楷体" w:eastAsia="楷体"/>
                <w:b w:val="0"/>
                <w:bCs w:val="0"/>
                <w:color w:val="auto"/>
                <w:u w:val="none"/>
              </w:rPr>
              <w:t>个工作日按</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产品实际</w:t>
            </w:r>
            <w:r>
              <w:rPr>
                <w:rFonts w:ascii="楷体" w:hAnsi="楷体" w:eastAsia="楷体"/>
                <w:b/>
                <w:bCs/>
                <w:u w:val="none"/>
              </w:rPr>
              <w:t>到期日</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指理财产品实际</w:t>
            </w:r>
            <w:r>
              <w:rPr>
                <w:rFonts w:ascii="楷体" w:hAnsi="楷体" w:eastAsia="楷体"/>
                <w:b w:val="0"/>
                <w:bCs w:val="0"/>
                <w:color w:val="auto"/>
                <w:u w:val="none"/>
              </w:rPr>
              <w:t>终止之日，包括理财</w:t>
            </w:r>
            <w:r>
              <w:rPr>
                <w:rFonts w:hint="eastAsia" w:ascii="楷体" w:hAnsi="楷体" w:eastAsia="楷体"/>
                <w:b w:val="0"/>
                <w:bCs w:val="0"/>
                <w:color w:val="auto"/>
                <w:u w:val="none"/>
              </w:rPr>
              <w:t>产品预计到期日，或管理人根据本《产品说明书》约定宣布本理财产品</w:t>
            </w:r>
            <w:r>
              <w:rPr>
                <w:rFonts w:ascii="楷体" w:hAnsi="楷体" w:eastAsia="楷体"/>
                <w:b w:val="0"/>
                <w:bCs w:val="0"/>
                <w:color w:val="auto"/>
                <w:u w:val="none"/>
              </w:rPr>
              <w:t>早于理财</w:t>
            </w:r>
            <w:r>
              <w:rPr>
                <w:rFonts w:hint="eastAsia" w:ascii="楷体" w:hAnsi="楷体" w:eastAsia="楷体"/>
                <w:b w:val="0"/>
                <w:bCs w:val="0"/>
                <w:color w:val="auto"/>
                <w:u w:val="none"/>
              </w:rPr>
              <w:t>产品预计到期日而终止之日或宣布本理财产品延长后的终止之日。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highlight w:val="none"/>
                <w:u w:val="none"/>
              </w:rPr>
              <w:t>投资封闭期</w:t>
            </w:r>
          </w:p>
        </w:tc>
        <w:tc>
          <w:tcPr>
            <w:tcW w:w="6146" w:type="dxa"/>
            <w:vAlign w:val="top"/>
          </w:tcPr>
          <w:p>
            <w:pPr>
              <w:rPr>
                <w:rFonts w:hint="eastAsia" w:ascii="楷体" w:hAnsi="楷体" w:eastAsia="楷体"/>
                <w:b w:val="0"/>
                <w:bCs w:val="0"/>
                <w:color w:val="auto"/>
                <w:u w:val="none"/>
              </w:rPr>
            </w:pPr>
            <w:r>
              <w:rPr>
                <w:rFonts w:hint="eastAsia" w:ascii="楷体" w:hAnsi="楷体" w:eastAsia="楷体"/>
                <w:b w:val="0"/>
                <w:bCs w:val="0"/>
                <w:color w:val="auto"/>
                <w:highlight w:val="none"/>
                <w:u w:val="none"/>
                <w:lang w:eastAsia="zh-CN"/>
              </w:rPr>
              <w:t>【2024年11月05日起至2024年12月18日止。在封闭期内不提供申购/赎回交易，管理人有权选择在上述期限内提前结束封闭期。】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highlight w:val="none"/>
                <w:u w:val="none"/>
              </w:rPr>
            </w:pPr>
            <w:r>
              <w:rPr>
                <w:rFonts w:hint="eastAsia" w:ascii="楷体" w:hAnsi="楷体" w:eastAsia="楷体"/>
                <w:b/>
                <w:bCs/>
                <w:u w:val="none"/>
              </w:rPr>
              <w:t>产品开放日</w:t>
            </w:r>
          </w:p>
        </w:tc>
        <w:tc>
          <w:tcPr>
            <w:tcW w:w="6146" w:type="dxa"/>
            <w:vAlign w:val="top"/>
          </w:tcPr>
          <w:p>
            <w:pPr>
              <w:rPr>
                <w:rFonts w:hint="eastAsia" w:ascii="楷体" w:hAnsi="楷体" w:eastAsia="楷体"/>
                <w:b w:val="0"/>
                <w:bCs w:val="0"/>
                <w:color w:val="auto"/>
                <w:highlight w:val="none"/>
                <w:u w:val="none"/>
                <w:lang w:eastAsia="zh-CN"/>
              </w:rPr>
            </w:pPr>
            <w:r>
              <w:rPr>
                <w:rFonts w:hint="eastAsia" w:ascii="楷体" w:hAnsi="楷体" w:eastAsia="楷体"/>
                <w:b w:val="0"/>
                <w:bCs w:val="0"/>
                <w:color w:val="auto"/>
                <w:highlight w:val="none"/>
                <w:u w:val="none"/>
                <w:lang w:val="en-US" w:eastAsia="zh-CN"/>
              </w:rPr>
              <w:t>【在理财产品存续期内，除投资封闭期外每一自然日为产品开放日】</w:t>
            </w:r>
            <w:r>
              <w:rPr>
                <w:rFonts w:hint="eastAsia" w:ascii="楷体" w:hAnsi="楷体" w:eastAsia="楷体"/>
                <w:b w:val="0"/>
                <w:bCs w:val="0"/>
                <w:color w:val="auto"/>
                <w:u w:val="none"/>
                <w:lang w:eastAsia="zh-CN"/>
              </w:rPr>
              <w:t>，</w:t>
            </w:r>
            <w:r>
              <w:rPr>
                <w:rFonts w:hint="eastAsia" w:ascii="楷体" w:hAnsi="楷体" w:eastAsia="楷体"/>
                <w:b w:val="0"/>
                <w:bCs w:val="0"/>
                <w:color w:val="auto"/>
              </w:rPr>
              <w:t>管理人将在产品开放日受理本理财产品的申购申请</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rPr>
              <w:t>在理财产品存续期内，管理人有权根据市场情况变化暂停本理财产品的申购，暂停公告通过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b/>
                <w:bCs/>
                <w:u w:val="none"/>
              </w:rPr>
            </w:pPr>
            <w:r>
              <w:rPr>
                <w:rFonts w:hint="eastAsia" w:ascii="楷体" w:hAnsi="楷体" w:eastAsia="楷体"/>
                <w:b/>
                <w:bCs/>
                <w:u w:val="none"/>
              </w:rPr>
              <w:t>最短持有期</w:t>
            </w:r>
          </w:p>
        </w:tc>
        <w:tc>
          <w:tcPr>
            <w:tcW w:w="6146" w:type="dxa"/>
            <w:vAlign w:val="top"/>
          </w:tcPr>
          <w:p>
            <w:pPr>
              <w:rPr>
                <w:rFonts w:hint="eastAsia" w:ascii="楷体" w:hAnsi="楷体" w:eastAsia="楷体"/>
                <w:b w:val="0"/>
                <w:bCs w:val="0"/>
                <w:color w:val="auto"/>
                <w:u w:val="none"/>
                <w:lang w:eastAsia="zh-CN"/>
              </w:rPr>
            </w:pPr>
            <w:r>
              <w:rPr>
                <w:rFonts w:hint="eastAsia" w:ascii="楷体" w:hAnsi="楷体" w:eastAsia="楷体"/>
                <w:b w:val="0"/>
                <w:bCs w:val="0"/>
                <w:color w:val="auto"/>
                <w:u w:val="none"/>
              </w:rPr>
              <w:t>指本理财产品对投资者的每笔有效认</w:t>
            </w:r>
            <w:r>
              <w:rPr>
                <w:rFonts w:ascii="楷体" w:hAnsi="楷体" w:eastAsia="楷体"/>
                <w:b w:val="0"/>
                <w:bCs w:val="0"/>
                <w:color w:val="auto"/>
                <w:u w:val="none"/>
              </w:rPr>
              <w:t>/</w:t>
            </w:r>
            <w:r>
              <w:rPr>
                <w:rFonts w:hint="eastAsia" w:ascii="楷体" w:hAnsi="楷体" w:eastAsia="楷体"/>
                <w:b w:val="0"/>
                <w:bCs w:val="0"/>
                <w:color w:val="auto"/>
                <w:u w:val="none"/>
              </w:rPr>
              <w:t>申购设置</w:t>
            </w:r>
            <w:r>
              <w:rPr>
                <w:rFonts w:hint="eastAsia" w:ascii="楷体" w:hAnsi="楷体" w:eastAsia="楷体"/>
                <w:b w:val="0"/>
                <w:bCs w:val="0"/>
                <w:color w:val="auto"/>
                <w:u w:val="none"/>
                <w:lang w:eastAsia="zh-CN"/>
              </w:rPr>
              <w:t>【90】</w:t>
            </w:r>
            <w:r>
              <w:rPr>
                <w:rFonts w:hint="eastAsia" w:ascii="楷体" w:hAnsi="楷体" w:eastAsia="楷体"/>
                <w:b w:val="0"/>
                <w:bCs w:val="0"/>
                <w:color w:val="auto"/>
                <w:u w:val="none"/>
                <w:lang w:val="en-US" w:eastAsia="zh-CN"/>
              </w:rPr>
              <w:t>个自然日</w:t>
            </w:r>
            <w:r>
              <w:rPr>
                <w:rFonts w:hint="eastAsia" w:ascii="楷体" w:hAnsi="楷体" w:eastAsia="楷体"/>
                <w:b w:val="0"/>
                <w:bCs w:val="0"/>
                <w:color w:val="auto"/>
                <w:u w:val="none"/>
              </w:rPr>
              <w:t>的最短持有期限</w:t>
            </w:r>
            <w:r>
              <w:rPr>
                <w:rFonts w:hint="eastAsia" w:ascii="楷体" w:hAnsi="楷体" w:eastAsia="楷体"/>
                <w:b w:val="0"/>
                <w:bCs w:val="0"/>
                <w:color w:val="auto"/>
                <w:u w:val="none"/>
                <w:lang w:eastAsia="zh-CN"/>
              </w:rPr>
              <w:t>。</w:t>
            </w:r>
          </w:p>
          <w:p>
            <w:pPr>
              <w:rPr>
                <w:rFonts w:hint="eastAsia" w:ascii="楷体" w:hAnsi="楷体" w:eastAsia="楷体" w:cs="楷体"/>
                <w:b w:val="0"/>
                <w:bCs w:val="0"/>
                <w:color w:val="auto"/>
                <w:u w:val="none"/>
                <w:lang w:eastAsia="zh-CN"/>
              </w:rPr>
            </w:pPr>
            <w:r>
              <w:rPr>
                <w:rFonts w:hint="eastAsia" w:ascii="楷体" w:hAnsi="楷体" w:eastAsia="楷体"/>
                <w:color w:val="auto"/>
                <w:u w:val="none"/>
                <w:lang w:val="en-US" w:eastAsia="zh-CN"/>
              </w:rPr>
              <w:t>最短持有期起始日</w:t>
            </w:r>
            <w:r>
              <w:rPr>
                <w:rFonts w:hint="eastAsia" w:ascii="楷体" w:hAnsi="楷体" w:eastAsia="楷体" w:cs="楷体"/>
                <w:b w:val="0"/>
                <w:bCs w:val="0"/>
                <w:color w:val="auto"/>
                <w:u w:val="none"/>
              </w:rPr>
              <w:t>即</w:t>
            </w:r>
            <w:r>
              <w:rPr>
                <w:rFonts w:hint="eastAsia" w:ascii="楷体" w:hAnsi="楷体" w:eastAsia="楷体"/>
                <w:color w:val="auto"/>
                <w:u w:val="none"/>
              </w:rPr>
              <w:t>认</w:t>
            </w:r>
            <w:r>
              <w:rPr>
                <w:rFonts w:ascii="楷体" w:hAnsi="楷体" w:eastAsia="楷体"/>
                <w:color w:val="auto"/>
                <w:u w:val="none"/>
              </w:rPr>
              <w:t>/</w:t>
            </w:r>
            <w:r>
              <w:rPr>
                <w:rFonts w:hint="eastAsia" w:ascii="楷体" w:hAnsi="楷体" w:eastAsia="楷体"/>
                <w:color w:val="auto"/>
                <w:u w:val="none"/>
              </w:rPr>
              <w:t>申购</w:t>
            </w:r>
            <w:r>
              <w:rPr>
                <w:rFonts w:hint="eastAsia" w:ascii="楷体" w:hAnsi="楷体" w:eastAsia="楷体"/>
                <w:color w:val="auto"/>
                <w:u w:val="none"/>
                <w:lang w:val="en-US" w:eastAsia="zh-CN"/>
              </w:rPr>
              <w:t>对应的</w:t>
            </w:r>
            <w:r>
              <w:rPr>
                <w:rFonts w:hint="eastAsia" w:ascii="楷体" w:hAnsi="楷体" w:eastAsia="楷体"/>
                <w:color w:val="auto"/>
                <w:u w:val="none"/>
              </w:rPr>
              <w:t>成立日</w:t>
            </w:r>
            <w:r>
              <w:rPr>
                <w:rFonts w:hint="eastAsia" w:ascii="楷体" w:hAnsi="楷体" w:eastAsia="楷体"/>
                <w:color w:val="auto"/>
                <w:u w:val="none"/>
                <w:lang w:val="en-US" w:eastAsia="zh-CN"/>
              </w:rPr>
              <w:t>/确认</w:t>
            </w:r>
            <w:r>
              <w:rPr>
                <w:rFonts w:hint="eastAsia" w:ascii="楷体" w:hAnsi="楷体" w:eastAsia="楷体"/>
                <w:color w:val="auto"/>
                <w:u w:val="none"/>
              </w:rPr>
              <w:t>日</w:t>
            </w:r>
            <w:r>
              <w:rPr>
                <w:rFonts w:hint="eastAsia" w:ascii="楷体" w:hAnsi="楷体" w:eastAsia="楷体"/>
                <w:color w:val="auto"/>
                <w:u w:val="none"/>
                <w:lang w:eastAsia="zh-CN"/>
              </w:rPr>
              <w:t>，</w:t>
            </w:r>
            <w:r>
              <w:rPr>
                <w:rFonts w:hint="eastAsia" w:ascii="楷体" w:hAnsi="楷体" w:eastAsia="楷体" w:cs="楷体"/>
                <w:b w:val="0"/>
                <w:bCs w:val="0"/>
                <w:color w:val="auto"/>
                <w:u w:val="none"/>
              </w:rPr>
              <w:t>每笔理财产品份额</w:t>
            </w:r>
            <w:r>
              <w:rPr>
                <w:rFonts w:hint="eastAsia" w:ascii="楷体" w:hAnsi="楷体" w:eastAsia="楷体"/>
                <w:color w:val="auto"/>
                <w:u w:val="none"/>
                <w:lang w:val="en-US" w:eastAsia="zh-CN"/>
              </w:rPr>
              <w:t>从最短持有期起始日</w:t>
            </w:r>
            <w:r>
              <w:rPr>
                <w:rFonts w:hint="eastAsia" w:ascii="楷体" w:hAnsi="楷体" w:eastAsia="楷体" w:cs="楷体"/>
                <w:b w:val="0"/>
                <w:bCs w:val="0"/>
                <w:color w:val="auto"/>
                <w:u w:val="none"/>
              </w:rPr>
              <w:t>起，至其后第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个自然日（不含）内，投资者不能提出赎回申请</w:t>
            </w:r>
            <w:r>
              <w:rPr>
                <w:rFonts w:hint="eastAsia" w:ascii="楷体" w:hAnsi="楷体" w:eastAsia="楷体" w:cs="楷体"/>
                <w:b w:val="0"/>
                <w:bCs w:val="0"/>
                <w:color w:val="auto"/>
                <w:u w:val="none"/>
                <w:lang w:eastAsia="zh-CN"/>
              </w:rPr>
              <w:t>。</w:t>
            </w:r>
          </w:p>
          <w:p>
            <w:pPr>
              <w:rPr>
                <w:rFonts w:hint="eastAsia" w:ascii="楷体" w:hAnsi="楷体" w:eastAsia="楷体"/>
                <w:b w:val="0"/>
                <w:bCs w:val="0"/>
                <w:color w:val="auto"/>
                <w:u w:val="none"/>
              </w:rPr>
            </w:pPr>
            <w:r>
              <w:rPr>
                <w:rFonts w:hint="eastAsia" w:ascii="楷体" w:hAnsi="楷体" w:eastAsia="楷体"/>
                <w:color w:val="auto"/>
              </w:rPr>
              <w:t>最短持有期结束日为</w:t>
            </w:r>
            <w:r>
              <w:rPr>
                <w:rFonts w:hint="eastAsia" w:ascii="楷体" w:hAnsi="楷体" w:eastAsia="楷体" w:cs="楷体"/>
                <w:b w:val="0"/>
                <w:bCs w:val="0"/>
                <w:color w:val="auto"/>
                <w:u w:val="none"/>
              </w:rPr>
              <w:t>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b w:val="0"/>
                <w:bCs w:val="0"/>
                <w:color w:val="auto"/>
                <w:u w:val="none"/>
              </w:rPr>
              <w:t>个自然日（</w:t>
            </w:r>
            <w:r>
              <w:rPr>
                <w:rFonts w:hint="eastAsia" w:ascii="楷体" w:hAnsi="楷体" w:eastAsia="楷体" w:cs="楷体"/>
                <w:b w:val="0"/>
                <w:bCs w:val="0"/>
                <w:color w:val="auto"/>
                <w:u w:val="none"/>
                <w:lang w:val="en-US" w:eastAsia="zh-CN"/>
              </w:rPr>
              <w:t>如</w:t>
            </w:r>
            <w:r>
              <w:rPr>
                <w:rFonts w:hint="eastAsia" w:ascii="楷体" w:hAnsi="楷体" w:eastAsia="楷体" w:cs="楷体"/>
                <w:b w:val="0"/>
                <w:bCs w:val="0"/>
                <w:color w:val="auto"/>
                <w:u w:val="none"/>
              </w:rPr>
              <w:t>遇非</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lang w:val="en-US" w:eastAsia="zh-CN"/>
              </w:rPr>
              <w:t>则</w:t>
            </w:r>
            <w:r>
              <w:rPr>
                <w:rFonts w:hint="eastAsia" w:ascii="楷体" w:hAnsi="楷体" w:eastAsia="楷体" w:cs="楷体"/>
                <w:b w:val="0"/>
                <w:bCs w:val="0"/>
                <w:color w:val="auto"/>
                <w:u w:val="none"/>
              </w:rPr>
              <w:t>顺延至下一个</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w:t>
            </w:r>
            <w:r>
              <w:rPr>
                <w:rFonts w:hint="eastAsia" w:ascii="楷体" w:hAnsi="楷体" w:eastAsia="楷体" w:cs="楷体"/>
                <w:b w:val="0"/>
                <w:bCs w:val="0"/>
                <w:color w:val="auto"/>
                <w:u w:val="none"/>
                <w:lang w:eastAsia="zh-CN"/>
              </w:rPr>
              <w:t>，</w:t>
            </w:r>
            <w:r>
              <w:rPr>
                <w:rFonts w:hint="eastAsia" w:ascii="楷体" w:hAnsi="楷体" w:eastAsia="楷体"/>
                <w:color w:val="auto"/>
              </w:rPr>
              <w:t>从最短持有期结束日当日（含）起，</w:t>
            </w:r>
            <w:r>
              <w:rPr>
                <w:rFonts w:hint="eastAsia" w:ascii="楷体" w:hAnsi="楷体" w:eastAsia="楷体" w:cs="楷体"/>
                <w:b w:val="0"/>
                <w:bCs w:val="0"/>
                <w:color w:val="auto"/>
                <w:u w:val="none"/>
              </w:rPr>
              <w:t>投资者可以提出赎回申请。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tabs>
                <w:tab w:val="center" w:pos="1080"/>
              </w:tabs>
              <w:rPr>
                <w:rFonts w:hint="eastAsia" w:ascii="楷体" w:hAnsi="楷体" w:eastAsia="楷体"/>
                <w:b/>
                <w:bCs/>
                <w:u w:val="none"/>
                <w:lang w:eastAsia="zh-CN"/>
              </w:rPr>
            </w:pPr>
            <w:r>
              <w:rPr>
                <w:rFonts w:hint="eastAsia" w:ascii="楷体" w:hAnsi="楷体" w:eastAsia="楷体"/>
                <w:b/>
                <w:bCs/>
                <w:u w:val="none"/>
              </w:rPr>
              <w:t>开放持有期</w:t>
            </w:r>
            <w:r>
              <w:rPr>
                <w:rFonts w:hint="eastAsia" w:ascii="楷体" w:hAnsi="楷体" w:eastAsia="楷体"/>
                <w:b/>
                <w:bCs/>
                <w:u w:val="none"/>
                <w:lang w:eastAsia="zh-CN"/>
              </w:rPr>
              <w:tab/>
            </w:r>
          </w:p>
        </w:tc>
        <w:tc>
          <w:tcPr>
            <w:tcW w:w="6146" w:type="dxa"/>
            <w:vAlign w:val="top"/>
          </w:tcPr>
          <w:p>
            <w:pPr>
              <w:rPr>
                <w:rFonts w:ascii="楷体" w:hAnsi="楷体" w:eastAsia="楷体"/>
                <w:b w:val="0"/>
                <w:bCs w:val="0"/>
                <w:color w:val="auto"/>
                <w:u w:val="none"/>
              </w:rPr>
            </w:pPr>
            <w:r>
              <w:rPr>
                <w:rFonts w:hint="eastAsia" w:ascii="楷体" w:hAnsi="楷体" w:eastAsia="楷体"/>
                <w:color w:val="auto"/>
              </w:rPr>
              <w:t>对于每份产品份额，最短持有期结束即进入开放持有期，开放持有期首日</w:t>
            </w:r>
            <w:r>
              <w:rPr>
                <w:rFonts w:hint="eastAsia" w:ascii="楷体" w:hAnsi="楷体" w:eastAsia="楷体"/>
                <w:color w:val="auto"/>
                <w:lang w:val="en-US" w:eastAsia="zh-CN"/>
              </w:rPr>
              <w:t>即</w:t>
            </w:r>
            <w:r>
              <w:rPr>
                <w:rFonts w:hint="eastAsia" w:ascii="楷体" w:hAnsi="楷体" w:eastAsia="楷体"/>
                <w:color w:val="auto"/>
              </w:rPr>
              <w:t>最短持有期结束日。</w:t>
            </w:r>
            <w:r>
              <w:rPr>
                <w:rFonts w:hint="eastAsia" w:ascii="楷体" w:hAnsi="楷体" w:eastAsia="楷体"/>
                <w:b w:val="0"/>
                <w:bCs w:val="0"/>
                <w:color w:val="auto"/>
                <w:u w:val="none"/>
              </w:rPr>
              <w:t>管理人将在每份产品份额对应的开放持有期间受理该笔份额的赎回申请。</w:t>
            </w:r>
          </w:p>
          <w:p>
            <w:pPr>
              <w:rPr>
                <w:rFonts w:hint="eastAsia" w:ascii="楷体" w:hAnsi="楷体" w:eastAsia="楷体"/>
                <w:b w:val="0"/>
                <w:bCs w:val="0"/>
                <w:color w:val="auto"/>
                <w:u w:val="none"/>
              </w:rPr>
            </w:pPr>
            <w:r>
              <w:rPr>
                <w:rFonts w:hint="eastAsia" w:ascii="楷体" w:hAnsi="楷体" w:eastAsia="楷体"/>
                <w:b w:val="0"/>
                <w:bCs w:val="0"/>
                <w:color w:val="auto"/>
                <w:u w:val="none"/>
              </w:rPr>
              <w:t>在理财产品存续期内，管理人有权根据市场情况变化暂停本理财产品的赎回，暂停公告将通过</w:t>
            </w:r>
            <w:r>
              <w:rPr>
                <w:rFonts w:hint="eastAsia" w:ascii="楷体" w:hAnsi="楷体" w:eastAsia="楷体"/>
                <w:b w:val="0"/>
                <w:bCs w:val="0"/>
                <w:color w:val="auto"/>
                <w:u w:val="none"/>
                <w:lang w:eastAsia="zh-CN"/>
              </w:rPr>
              <w:t>《</w:t>
            </w:r>
            <w:r>
              <w:rPr>
                <w:rFonts w:hint="eastAsia" w:ascii="楷体" w:hAnsi="楷体" w:eastAsia="楷体"/>
                <w:b w:val="0"/>
                <w:bCs w:val="0"/>
                <w:color w:val="auto"/>
                <w:u w:val="none"/>
                <w:lang w:val="en-US" w:eastAsia="zh-CN"/>
              </w:rPr>
              <w:t>产品说明书</w:t>
            </w:r>
            <w:r>
              <w:rPr>
                <w:rFonts w:hint="eastAsia" w:ascii="楷体" w:hAnsi="楷体" w:eastAsia="楷体"/>
                <w:b w:val="0"/>
                <w:bCs w:val="0"/>
                <w:color w:val="auto"/>
                <w:u w:val="none"/>
                <w:lang w:eastAsia="zh-CN"/>
              </w:rPr>
              <w:t>》</w:t>
            </w:r>
            <w:r>
              <w:rPr>
                <w:rFonts w:ascii="楷体" w:hAnsi="楷体" w:eastAsia="楷体"/>
                <w:b w:val="0"/>
                <w:bCs w:val="0"/>
                <w:color w:val="auto"/>
                <w:u w:val="none"/>
              </w:rPr>
              <w:t>“</w:t>
            </w:r>
            <w:r>
              <w:rPr>
                <w:rFonts w:hint="eastAsia" w:ascii="楷体" w:hAnsi="楷体" w:eastAsia="楷体"/>
                <w:b w:val="0"/>
                <w:bCs w:val="0"/>
                <w:color w:val="auto"/>
                <w:u w:val="none"/>
              </w:rPr>
              <w:t>信息披露</w:t>
            </w:r>
            <w:r>
              <w:rPr>
                <w:rFonts w:ascii="楷体" w:hAnsi="楷体" w:eastAsia="楷体"/>
                <w:b w:val="0"/>
                <w:bCs w:val="0"/>
                <w:color w:val="auto"/>
                <w:u w:val="none"/>
              </w:rPr>
              <w:t>”</w:t>
            </w:r>
            <w:r>
              <w:rPr>
                <w:rFonts w:hint="eastAsia" w:ascii="楷体" w:hAnsi="楷体" w:eastAsia="楷体"/>
                <w:b w:val="0"/>
                <w:bCs w:val="0"/>
                <w:color w:val="auto"/>
                <w:u w:val="none"/>
              </w:rPr>
              <w:t>约定的方式向投资者披露。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1" w:hRule="atLeast"/>
        </w:trPr>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交易时段</w:t>
            </w:r>
          </w:p>
        </w:tc>
        <w:tc>
          <w:tcPr>
            <w:tcW w:w="6146" w:type="dxa"/>
          </w:tcPr>
          <w:p>
            <w:pPr>
              <w:rPr>
                <w:rFonts w:hint="eastAsia" w:ascii="楷体" w:hAnsi="楷体" w:eastAsia="楷体" w:cs="楷体"/>
                <w:b w:val="0"/>
                <w:bCs w:val="0"/>
                <w:color w:val="auto"/>
                <w:u w:val="none"/>
              </w:rPr>
            </w:pPr>
            <w:r>
              <w:rPr>
                <w:rFonts w:hint="eastAsia" w:ascii="楷体" w:hAnsi="楷体" w:eastAsia="楷体" w:cs="楷体"/>
                <w:b w:val="0"/>
                <w:bCs w:val="0"/>
                <w:color w:val="auto"/>
                <w:u w:val="none"/>
              </w:rPr>
              <w:t>本理财产品交易时段为业务处理系统记录的每日北京时间</w:t>
            </w:r>
            <w:r>
              <w:rPr>
                <w:rFonts w:hint="eastAsia" w:ascii="楷体" w:hAnsi="楷体" w:eastAsia="楷体" w:cs="楷体"/>
                <w:b w:val="0"/>
                <w:bCs w:val="0"/>
                <w:color w:val="auto"/>
                <w:u w:val="none"/>
                <w:lang w:eastAsia="zh-CN"/>
              </w:rPr>
              <w:t>0:00</w:t>
            </w:r>
            <w:r>
              <w:rPr>
                <w:rFonts w:hint="eastAsia" w:ascii="楷体" w:hAnsi="楷体" w:eastAsia="楷体" w:cs="楷体"/>
                <w:b w:val="0"/>
                <w:bCs w:val="0"/>
                <w:color w:val="auto"/>
                <w:u w:val="none"/>
              </w:rPr>
              <w:t>起至</w:t>
            </w:r>
            <w:r>
              <w:rPr>
                <w:rFonts w:hint="eastAsia" w:ascii="楷体" w:hAnsi="楷体" w:eastAsia="楷体" w:cs="楷体"/>
                <w:b w:val="0"/>
                <w:bCs w:val="0"/>
                <w:color w:val="auto"/>
                <w:u w:val="none"/>
                <w:lang w:eastAsia="zh-CN"/>
              </w:rPr>
              <w:t>24:00</w:t>
            </w:r>
            <w:r>
              <w:rPr>
                <w:rFonts w:hint="eastAsia" w:ascii="楷体" w:hAnsi="楷体" w:eastAsia="楷体" w:cs="楷体"/>
                <w:b w:val="0"/>
                <w:bCs w:val="0"/>
                <w:color w:val="auto"/>
                <w:u w:val="none"/>
              </w:rPr>
              <w:t>止（系统清算时间除外），</w:t>
            </w:r>
            <w:r>
              <w:rPr>
                <w:rFonts w:hint="eastAsia" w:ascii="楷体" w:hAnsi="楷体" w:eastAsia="楷体" w:cs="楷体"/>
                <w:b w:val="0"/>
                <w:bCs w:val="0"/>
                <w:color w:val="auto"/>
                <w:szCs w:val="21"/>
                <w:u w:val="none"/>
                <w:lang w:val="en-US" w:eastAsia="zh-CN"/>
              </w:rPr>
              <w:t>销售机构</w:t>
            </w:r>
            <w:r>
              <w:rPr>
                <w:rFonts w:hint="eastAsia" w:ascii="楷体" w:hAnsi="楷体" w:eastAsia="楷体" w:cs="楷体"/>
                <w:b w:val="0"/>
                <w:bCs w:val="0"/>
                <w:color w:val="auto"/>
                <w:szCs w:val="21"/>
                <w:u w:val="none"/>
              </w:rPr>
              <w:t>实际受理申购或赎回的时间可能与说明书不一致，具体以销售机构</w:t>
            </w:r>
            <w:r>
              <w:rPr>
                <w:rFonts w:hint="eastAsia" w:ascii="楷体" w:hAnsi="楷体" w:eastAsia="楷体" w:cs="楷体"/>
                <w:b w:val="0"/>
                <w:bCs w:val="0"/>
                <w:color w:val="auto"/>
                <w:szCs w:val="21"/>
                <w:u w:val="none"/>
                <w:lang w:val="en-US" w:eastAsia="zh-CN"/>
              </w:rPr>
              <w:t>规则</w:t>
            </w:r>
            <w:r>
              <w:rPr>
                <w:rFonts w:hint="eastAsia" w:ascii="楷体" w:hAnsi="楷体" w:eastAsia="楷体" w:cs="楷体"/>
                <w:b w:val="0"/>
                <w:bCs w:val="0"/>
                <w:color w:val="auto"/>
                <w:szCs w:val="21"/>
                <w:u w:val="none"/>
              </w:rPr>
              <w:t>为准</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u w:val="none"/>
              </w:rPr>
              <w:t>具体规则详见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rPr>
            </w:pPr>
            <w:r>
              <w:rPr>
                <w:rFonts w:hint="eastAsia" w:ascii="楷体" w:hAnsi="楷体" w:eastAsia="楷体" w:cs="楷体"/>
                <w:b/>
                <w:bCs/>
                <w:szCs w:val="21"/>
                <w:highlight w:val="none"/>
                <w:u w:val="none"/>
              </w:rPr>
              <w:t>产品确认日</w:t>
            </w:r>
          </w:p>
        </w:tc>
        <w:tc>
          <w:tcPr>
            <w:tcW w:w="6146" w:type="dxa"/>
            <w:vAlign w:val="center"/>
          </w:tcPr>
          <w:p>
            <w:pPr>
              <w:rPr>
                <w:rFonts w:hint="eastAsia" w:ascii="楷体" w:hAnsi="楷体" w:eastAsia="楷体" w:cs="楷体"/>
                <w:b w:val="0"/>
                <w:bCs w:val="0"/>
                <w:color w:val="auto"/>
                <w:highlight w:val="none"/>
                <w:u w:val="none"/>
              </w:rPr>
            </w:pPr>
            <w:r>
              <w:rPr>
                <w:rFonts w:hint="eastAsia" w:ascii="楷体" w:hAnsi="楷体" w:eastAsia="楷体" w:cs="楷体"/>
                <w:b w:val="0"/>
                <w:bCs w:val="0"/>
                <w:color w:val="auto"/>
                <w:szCs w:val="21"/>
                <w:highlight w:val="none"/>
                <w:u w:val="none"/>
              </w:rPr>
              <w:t>【在理财产品存续期内，每个【交易日】为产品确认日。】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rPr>
              <w:t>产品估值日</w:t>
            </w:r>
          </w:p>
        </w:tc>
        <w:tc>
          <w:tcPr>
            <w:tcW w:w="6146" w:type="dxa"/>
            <w:vAlign w:val="center"/>
          </w:tcPr>
          <w:p>
            <w:pPr>
              <w:widowControl/>
              <w:jc w:val="left"/>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lang w:eastAsia="zh-CN"/>
              </w:rPr>
              <w:t>【本理财产品存续期间（除封闭期起始日至封闭期结束日前一日外），每个交易日、理财产品收益分配基准日以及理财产品终止日为估值日，投资封闭期内每月的27日（如遇非交易日则提前至上一个交易日）为产品估值日】</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rPr>
            </w:pPr>
            <w:r>
              <w:rPr>
                <w:rFonts w:hint="eastAsia" w:ascii="楷体" w:hAnsi="楷体" w:eastAsia="楷体" w:cs="楷体"/>
                <w:b/>
                <w:bCs/>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份额</w:t>
            </w:r>
            <w:r>
              <w:rPr>
                <w:rFonts w:hint="eastAsia" w:ascii="楷体" w:hAnsi="楷体" w:eastAsia="楷体" w:cs="楷体"/>
                <w:b/>
                <w:bCs/>
                <w:color w:val="auto"/>
                <w:szCs w:val="21"/>
                <w:u w:val="none"/>
              </w:rPr>
              <w:t>净值</w:t>
            </w:r>
          </w:p>
        </w:tc>
        <w:tc>
          <w:tcPr>
            <w:tcW w:w="6146" w:type="dxa"/>
            <w:vAlign w:val="center"/>
          </w:tcPr>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理财产品份额</w:t>
            </w:r>
            <w:r>
              <w:rPr>
                <w:rFonts w:hint="eastAsia" w:ascii="楷体" w:hAnsi="楷体" w:eastAsia="楷体" w:cs="楷体"/>
                <w:b w:val="0"/>
                <w:bCs w:val="0"/>
                <w:color w:val="auto"/>
                <w:szCs w:val="21"/>
                <w:u w:val="none"/>
              </w:rPr>
              <w:t>净值为计提相关费用后的单位理财产品的净值，按去尾法保留小数点后</w:t>
            </w:r>
            <w:r>
              <w:rPr>
                <w:rFonts w:hint="eastAsia" w:ascii="楷体" w:hAnsi="楷体" w:eastAsia="楷体" w:cs="楷体"/>
                <w:b w:val="0"/>
                <w:bCs w:val="0"/>
                <w:color w:val="auto"/>
                <w:szCs w:val="21"/>
                <w:u w:val="none"/>
                <w:lang w:val="en-US"/>
              </w:rPr>
              <w:t>五</w:t>
            </w:r>
            <w:r>
              <w:rPr>
                <w:rFonts w:hint="eastAsia" w:ascii="楷体" w:hAnsi="楷体" w:eastAsia="楷体" w:cs="楷体"/>
                <w:b w:val="0"/>
                <w:bCs w:val="0"/>
                <w:color w:val="auto"/>
                <w:szCs w:val="21"/>
                <w:u w:val="none"/>
              </w:rPr>
              <w:t>位，管理人按照该净值对产品的申购、赎回和产品终止时的分配进行确认。管理人有权对以上净值计提方式进行修改，并通过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“信息披露”约定的方式，向投资者披露。</w:t>
            </w:r>
          </w:p>
          <w:p>
            <w:pP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净值为1元/份。</w:t>
            </w:r>
          </w:p>
          <w:p>
            <w:p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rPr>
              <w:t>产品的申购、赎回遵循“未知价”原则，即本理财产品申购和赎回价格为对应确认日</w:t>
            </w:r>
            <w:r>
              <w:rPr>
                <w:rFonts w:hint="eastAsia" w:ascii="楷体" w:hAnsi="楷体" w:eastAsia="楷体" w:cs="楷体"/>
                <w:b w:val="0"/>
                <w:bCs w:val="0"/>
                <w:color w:val="auto"/>
                <w:szCs w:val="21"/>
                <w:u w:val="none"/>
                <w:lang w:val="en-US" w:eastAsia="zh-CN"/>
              </w:rPr>
              <w:t>前【1】个【交易日】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购买规则</w:t>
            </w:r>
          </w:p>
        </w:tc>
        <w:tc>
          <w:tcPr>
            <w:tcW w:w="6146" w:type="dxa"/>
            <w:vAlign w:val="top"/>
          </w:tcPr>
          <w:p>
            <w:pPr>
              <w:numPr>
                <w:ilvl w:val="12"/>
                <w:numId w:val="0"/>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【B】</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2"/>
              </w:numPr>
              <w:tabs>
                <w:tab w:val="left" w:pos="360"/>
              </w:tabs>
              <w:rPr>
                <w:rFonts w:hint="eastAsia" w:ascii="楷体" w:hAnsi="楷体" w:eastAsia="楷体" w:cs="楷体"/>
                <w:b w:val="0"/>
                <w:bCs w:val="0"/>
                <w:color w:val="auto"/>
                <w:u w:val="none"/>
                <w:lang w:eastAsia="zh-CN"/>
              </w:rPr>
            </w:pPr>
            <w:r>
              <w:rPr>
                <w:rFonts w:hint="eastAsia" w:ascii="楷体" w:hAnsi="楷体" w:eastAsia="楷体" w:cs="楷体"/>
                <w:b w:val="0"/>
                <w:bCs w:val="0"/>
                <w:color w:val="auto"/>
                <w:u w:val="none"/>
              </w:rPr>
              <w:t>本理财产品购买顺序按时间优先原则进行确认</w:t>
            </w:r>
            <w:r>
              <w:rPr>
                <w:rFonts w:hint="eastAsia" w:ascii="楷体" w:hAnsi="楷体" w:eastAsia="楷体" w:cs="楷体"/>
                <w:b w:val="0"/>
                <w:bCs w:val="0"/>
                <w:color w:val="auto"/>
                <w:u w:val="none"/>
                <w:lang w:eastAsia="zh-CN"/>
              </w:rPr>
              <w:t>。</w:t>
            </w:r>
          </w:p>
          <w:p>
            <w:pPr>
              <w:numPr>
                <w:ilvl w:val="0"/>
                <w:numId w:val="2"/>
              </w:num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本理财产品</w:t>
            </w:r>
            <w:r>
              <w:rPr>
                <w:rFonts w:hint="eastAsia" w:ascii="楷体" w:hAnsi="楷体" w:eastAsia="楷体" w:cs="楷体"/>
                <w:b w:val="0"/>
                <w:bCs w:val="0"/>
                <w:color w:val="auto"/>
                <w:u w:val="none"/>
              </w:rPr>
              <w:t>客户首次购买的最低金额为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的整数倍。最低追加申购金额为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【1.00元】</w:t>
            </w:r>
            <w:r>
              <w:rPr>
                <w:rFonts w:hint="eastAsia" w:ascii="楷体" w:hAnsi="楷体" w:eastAsia="楷体" w:cs="楷体"/>
                <w:b w:val="0"/>
                <w:bCs w:val="0"/>
                <w:color w:val="auto"/>
                <w:u w:val="none"/>
              </w:rPr>
              <w:t>的整数倍。</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注：关于代理销售机构的实际销售起点金额的提示。</w:t>
            </w:r>
          </w:p>
          <w:p>
            <w:pPr>
              <w:numPr>
                <w:ilvl w:val="0"/>
                <w:numId w:val="0"/>
              </w:numPr>
              <w:jc w:val="left"/>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 xml:space="preserve">（1）本理财产品在代理销售机构的实际销售起点金额，因代理销售机构的不同可能存在差异（可能高于销售文件约定的销售起点金额），应当以代理销售机构展示为准。 </w:t>
            </w:r>
          </w:p>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（2）代理销售机构的实际销售起点金额，不得低于销售文件约定的销售起点金额。</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u w:val="none"/>
                <w:lang w:val="en-US" w:eastAsia="zh-CN"/>
              </w:rPr>
              <w:t>3</w:t>
            </w:r>
            <w:r>
              <w:rPr>
                <w:rFonts w:hint="eastAsia" w:ascii="楷体" w:hAnsi="楷体" w:eastAsia="楷体" w:cs="楷体"/>
                <w:b w:val="0"/>
                <w:bCs w:val="0"/>
                <w:color w:val="auto"/>
                <w:u w:val="none"/>
              </w:rPr>
              <w:t>、本理财产品单户最低持有份额为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（因产品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净值变化导致的情况除外）。</w:t>
            </w:r>
          </w:p>
          <w:p>
            <w:pPr>
              <w:tabs>
                <w:tab w:val="left" w:pos="360"/>
              </w:tabs>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highlight w:val="none"/>
                <w:u w:val="none"/>
                <w:lang w:val="en-US" w:eastAsia="zh-CN"/>
              </w:rPr>
              <w:t>4</w:t>
            </w:r>
            <w:r>
              <w:rPr>
                <w:rFonts w:hint="eastAsia" w:ascii="楷体" w:hAnsi="楷体" w:eastAsia="楷体" w:cs="楷体"/>
                <w:b w:val="0"/>
                <w:bCs w:val="0"/>
                <w:color w:val="auto"/>
                <w:highlight w:val="none"/>
                <w:u w:val="none"/>
              </w:rPr>
              <w:t>、</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注：本产品单一投资者持有份额不得超过产品总份额50%。</w:t>
            </w:r>
          </w:p>
          <w:p>
            <w:pPr>
              <w:tabs>
                <w:tab w:val="left" w:pos="360"/>
              </w:tabs>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highlight w:val="none"/>
                <w:u w:val="none"/>
                <w:lang w:val="en-US" w:eastAsia="zh-CN"/>
              </w:rPr>
              <w:t>（1）投资者认购或申购确认后可能导致其持有份额超过产品总份额50%的，管理人有权拒绝或暂停认购、申购。</w:t>
            </w:r>
          </w:p>
          <w:p>
            <w:pPr>
              <w:tabs>
                <w:tab w:val="left" w:pos="360"/>
              </w:tabs>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（2）非因管理人主观因素导致突破该比例限制的，在单一投资者持有比例降至50%以下之前，管理人不再接受该投资者对本产品的认购、申购申请。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赎回规则</w:t>
            </w:r>
          </w:p>
        </w:tc>
        <w:tc>
          <w:tcPr>
            <w:tcW w:w="6146" w:type="dxa"/>
            <w:vAlign w:val="top"/>
          </w:tcPr>
          <w:p>
            <w:pPr>
              <w:numPr>
                <w:ilvl w:val="0"/>
                <w:numId w:val="0"/>
              </w:numPr>
              <w:rPr>
                <w:rFonts w:hint="eastAsia" w:ascii="楷体" w:hAnsi="楷体" w:eastAsia="楷体" w:cs="楷体"/>
                <w:b w:val="0"/>
                <w:bCs w:val="0"/>
                <w:color w:val="auto"/>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w:t>
            </w:r>
            <w:r>
              <w:rPr>
                <w:rFonts w:hint="eastAsia" w:ascii="楷体" w:hAnsi="楷体" w:eastAsia="楷体" w:cs="楷体"/>
                <w:b w:val="0"/>
                <w:bCs w:val="0"/>
                <w:color w:val="auto"/>
                <w:u w:val="none"/>
                <w:lang w:eastAsia="zh-CN"/>
              </w:rPr>
              <w:t>【B】</w:t>
            </w:r>
            <w:r>
              <w:rPr>
                <w:rFonts w:hint="eastAsia" w:ascii="楷体" w:hAnsi="楷体" w:eastAsia="楷体" w:cs="楷体"/>
                <w:b w:val="0"/>
                <w:bCs w:val="0"/>
                <w:color w:val="auto"/>
                <w:szCs w:val="21"/>
                <w:u w:val="none"/>
                <w:lang w:val="en-US" w:eastAsia="zh-CN"/>
              </w:rPr>
              <w:t>类份额</w:t>
            </w:r>
            <w:r>
              <w:rPr>
                <w:rFonts w:hint="eastAsia" w:ascii="楷体" w:hAnsi="楷体" w:eastAsia="楷体" w:cs="楷体"/>
                <w:b w:val="0"/>
                <w:bCs w:val="0"/>
                <w:color w:val="auto"/>
                <w:szCs w:val="21"/>
                <w:u w:val="none"/>
                <w:lang w:eastAsia="zh-CN"/>
              </w:rPr>
              <w:t>）</w:t>
            </w:r>
          </w:p>
          <w:p>
            <w:pPr>
              <w:numPr>
                <w:ilvl w:val="0"/>
                <w:numId w:val="3"/>
              </w:numPr>
              <w:rPr>
                <w:rFonts w:hint="eastAsia" w:ascii="楷体" w:hAnsi="楷体" w:eastAsia="楷体" w:cs="楷体"/>
                <w:b w:val="0"/>
                <w:bCs/>
                <w:color w:val="auto"/>
                <w:u w:val="none"/>
              </w:rPr>
            </w:pPr>
            <w:r>
              <w:rPr>
                <w:rFonts w:hint="eastAsia" w:ascii="楷体" w:hAnsi="楷体" w:eastAsia="楷体" w:cs="楷体"/>
                <w:b w:val="0"/>
                <w:bCs w:val="0"/>
                <w:color w:val="auto"/>
                <w:u w:val="none"/>
              </w:rPr>
              <w:t>本理财产品</w:t>
            </w:r>
            <w:r>
              <w:rPr>
                <w:rFonts w:hint="eastAsia" w:ascii="楷体" w:hAnsi="楷体" w:eastAsia="楷体" w:cs="楷体"/>
                <w:b w:val="0"/>
                <w:bCs w:val="0"/>
                <w:color w:val="auto"/>
                <w:u w:val="none"/>
                <w:lang w:val="en-US" w:eastAsia="zh-CN"/>
              </w:rPr>
              <w:t>客户</w:t>
            </w:r>
            <w:r>
              <w:rPr>
                <w:rFonts w:hint="eastAsia" w:ascii="楷体" w:hAnsi="楷体" w:eastAsia="楷体" w:cs="楷体"/>
                <w:b w:val="0"/>
                <w:bCs w:val="0"/>
                <w:color w:val="auto"/>
                <w:u w:val="none"/>
              </w:rPr>
              <w:t>赎回最低份额为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，超出部分应为</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u w:val="none"/>
              </w:rPr>
              <w:t>的整数倍，全额赎回除外。</w:t>
            </w:r>
            <w:r>
              <w:rPr>
                <w:rFonts w:hint="eastAsia" w:ascii="楷体" w:hAnsi="楷体" w:eastAsia="楷体" w:cs="楷体"/>
                <w:b w:val="0"/>
                <w:bCs w:val="0"/>
                <w:color w:val="auto"/>
                <w:u w:val="none"/>
                <w:lang w:val="en-US" w:eastAsia="zh-CN"/>
              </w:rPr>
              <w:t>投资者通过代理销售机构购买理财产品的，按照代理销售机构对于交易赎回设置的相关规定执行。</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在每笔产品份额对应的开放持有期内，投资者可以根据本产品赎回规则申请赎回该笔份额，详见</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lang w:val="en-US" w:eastAsia="zh-CN"/>
              </w:rPr>
              <w:t>产品说明书</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u w:val="none"/>
              </w:rPr>
              <w:t>“产品认购、申购和赎回”。</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如投资者赎回申请为部分赎回的，则优先赎回最早认/申购的产品份额。</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如投资者所持份额中，可赎回份额低于赎回申请的份额时，管理人有权拒绝该笔赎回申请。</w:t>
            </w:r>
          </w:p>
          <w:p>
            <w:pPr>
              <w:numPr>
                <w:ilvl w:val="0"/>
                <w:numId w:val="3"/>
              </w:numPr>
              <w:rPr>
                <w:rFonts w:hint="eastAsia" w:ascii="楷体" w:hAnsi="楷体" w:eastAsia="楷体" w:cs="楷体"/>
                <w:b w:val="0"/>
                <w:bCs w:val="0"/>
                <w:color w:val="auto"/>
                <w:u w:val="none"/>
              </w:rPr>
            </w:pPr>
            <w:r>
              <w:rPr>
                <w:rFonts w:hint="eastAsia" w:ascii="楷体" w:hAnsi="楷体" w:eastAsia="楷体" w:cs="楷体"/>
                <w:b w:val="0"/>
                <w:bCs w:val="0"/>
                <w:color w:val="auto"/>
                <w:u w:val="none"/>
              </w:rPr>
              <w:t>管理人有权拒绝将导致客户持有份额低于单户最低持有份额的赎回申请。</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6、如本产品连</w:t>
            </w:r>
            <w:r>
              <w:rPr>
                <w:rFonts w:hint="eastAsia" w:ascii="楷体" w:hAnsi="楷体" w:eastAsia="楷体" w:cs="楷体"/>
                <w:b w:val="0"/>
                <w:bCs w:val="0"/>
                <w:color w:val="auto"/>
                <w:highlight w:val="none"/>
                <w:u w:val="none"/>
              </w:rPr>
              <w:t>续三个</w:t>
            </w:r>
            <w:r>
              <w:rPr>
                <w:rFonts w:hint="eastAsia" w:ascii="楷体" w:hAnsi="楷体" w:eastAsia="楷体" w:cs="楷体"/>
                <w:b w:val="0"/>
                <w:bCs w:val="0"/>
                <w:color w:val="auto"/>
                <w:highlight w:val="none"/>
                <w:u w:val="none"/>
                <w:lang w:val="en-US" w:eastAsia="zh-CN"/>
              </w:rPr>
              <w:t>开放日</w:t>
            </w:r>
            <w:r>
              <w:rPr>
                <w:rFonts w:hint="eastAsia" w:ascii="楷体" w:hAnsi="楷体" w:eastAsia="楷体" w:cs="楷体"/>
                <w:b w:val="0"/>
                <w:bCs w:val="0"/>
                <w:color w:val="auto"/>
                <w:highlight w:val="none"/>
                <w:u w:val="none"/>
              </w:rPr>
              <w:t>累计净赎回总份额达到产品份额的20%以上，管理人有权暂不接受赎回</w:t>
            </w:r>
            <w:r>
              <w:rPr>
                <w:rFonts w:hint="eastAsia" w:ascii="楷体" w:hAnsi="楷体" w:eastAsia="楷体" w:cs="楷体"/>
                <w:b w:val="0"/>
                <w:bCs w:val="0"/>
                <w:color w:val="auto"/>
                <w:u w:val="none"/>
              </w:rPr>
              <w:t>申请或按比例接受赎回申请。</w:t>
            </w:r>
          </w:p>
          <w:p>
            <w:pPr>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u w:val="none"/>
              </w:rPr>
              <w:t>7、</w:t>
            </w:r>
            <w:r>
              <w:rPr>
                <w:rFonts w:hint="eastAsia" w:ascii="楷体" w:hAnsi="楷体" w:eastAsia="楷体" w:cs="楷体"/>
                <w:b w:val="0"/>
                <w:bCs w:val="0"/>
                <w:color w:val="auto"/>
                <w:szCs w:val="21"/>
                <w:u w:val="none"/>
              </w:rPr>
              <w:t>开放式理财产品在前一估值日内，产品资产净值50%以上的资产不具备活跃交易市场或者在活跃市场中无报价，且不能采用估值技术可靠计量公允价值的，管理人有权暂停该产品估值，并采取延缓支付赎回款项或暂停接受理财产品申购、赎回申请等措施。</w:t>
            </w:r>
          </w:p>
          <w:p>
            <w:pPr>
              <w:tabs>
                <w:tab w:val="center" w:pos="2965"/>
              </w:tabs>
              <w:rPr>
                <w:rFonts w:hint="eastAsia" w:ascii="楷体" w:hAnsi="楷体" w:eastAsia="楷体" w:cs="楷体"/>
                <w:b w:val="0"/>
                <w:bCs w:val="0"/>
                <w:color w:val="auto"/>
                <w:u w:val="none"/>
              </w:rPr>
            </w:pPr>
            <w:r>
              <w:rPr>
                <w:rFonts w:hint="eastAsia" w:ascii="楷体" w:hAnsi="楷体" w:eastAsia="楷体" w:cs="楷体"/>
                <w:b w:val="0"/>
                <w:bCs w:val="0"/>
                <w:color w:val="auto"/>
                <w:u w:val="none"/>
              </w:rPr>
              <w:t>8、产品赎回顺序按时间优先原则进行确认。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u w:val="none"/>
              </w:rPr>
              <w:t>巨额赎回</w:t>
            </w:r>
          </w:p>
        </w:tc>
        <w:tc>
          <w:tcPr>
            <w:tcW w:w="6146" w:type="dxa"/>
            <w:vAlign w:val="top"/>
          </w:tcPr>
          <w:p>
            <w:pPr>
              <w:tabs>
                <w:tab w:val="center" w:pos="2965"/>
              </w:tabs>
              <w:rPr>
                <w:rFonts w:hint="eastAsia" w:ascii="楷体" w:hAnsi="楷体" w:eastAsia="楷体" w:cs="楷体"/>
                <w:b w:val="0"/>
                <w:bCs w:val="0"/>
                <w:u w:val="none"/>
              </w:rPr>
            </w:pPr>
            <w:r>
              <w:rPr>
                <w:rFonts w:hint="eastAsia" w:ascii="楷体" w:hAnsi="楷体" w:eastAsia="楷体" w:cs="楷体"/>
                <w:b w:val="0"/>
                <w:bCs w:val="0"/>
                <w:u w:val="none"/>
              </w:rPr>
              <w:t>投资者可于最短持有期届满后的开放日向销售机构提出赎回申请，若理财产品任一开放日净赎回</w:t>
            </w:r>
            <w:r>
              <w:rPr>
                <w:rFonts w:hint="eastAsia" w:ascii="楷体" w:hAnsi="楷体" w:eastAsia="楷体" w:cs="楷体"/>
                <w:b w:val="0"/>
                <w:bCs w:val="0"/>
                <w:u w:val="none"/>
                <w:lang w:val="en-US" w:eastAsia="zh-CN"/>
              </w:rPr>
              <w:t>申请</w:t>
            </w:r>
            <w:r>
              <w:rPr>
                <w:rFonts w:hint="eastAsia" w:ascii="楷体" w:hAnsi="楷体" w:eastAsia="楷体" w:cs="楷体"/>
                <w:b w:val="0"/>
                <w:bCs w:val="0"/>
                <w:u w:val="none"/>
              </w:rPr>
              <w:t>份额（赎回申请份额总数扣除申购申请份额总数）超过</w:t>
            </w:r>
            <w:r>
              <w:rPr>
                <w:rFonts w:hint="eastAsia" w:ascii="楷体" w:hAnsi="楷体" w:eastAsia="楷体" w:cs="楷体"/>
                <w:b w:val="0"/>
                <w:bCs w:val="0"/>
                <w:color w:val="auto"/>
                <w:u w:val="none"/>
              </w:rPr>
              <w:t>本理财产品上一</w:t>
            </w:r>
            <w:r>
              <w:rPr>
                <w:rFonts w:hint="eastAsia" w:ascii="楷体" w:hAnsi="楷体" w:eastAsia="楷体" w:cs="楷体"/>
                <w:b w:val="0"/>
                <w:bCs w:val="0"/>
                <w:color w:val="auto"/>
                <w:u w:val="none"/>
                <w:lang w:eastAsia="zh-CN"/>
              </w:rPr>
              <w:t>【交易日】</w:t>
            </w:r>
            <w:r>
              <w:rPr>
                <w:rFonts w:hint="eastAsia" w:ascii="楷体" w:hAnsi="楷体" w:eastAsia="楷体" w:cs="楷体"/>
                <w:b w:val="0"/>
                <w:bCs w:val="0"/>
                <w:color w:val="auto"/>
                <w:u w:val="none"/>
              </w:rPr>
              <w:t>日终份额的10%时，即为发生巨额赎回。</w:t>
            </w:r>
            <w:r>
              <w:rPr>
                <w:rFonts w:hint="eastAsia" w:ascii="楷体" w:hAnsi="楷体" w:eastAsia="楷体" w:cs="楷体"/>
                <w:b/>
                <w:bCs/>
                <w:color w:val="auto"/>
                <w:u w:val="none"/>
              </w:rPr>
              <w:t>在发生巨</w:t>
            </w:r>
            <w:r>
              <w:rPr>
                <w:rFonts w:hint="eastAsia" w:ascii="楷体" w:hAnsi="楷体" w:eastAsia="楷体" w:cs="楷体"/>
                <w:b/>
                <w:bCs/>
                <w:u w:val="none"/>
              </w:rPr>
              <w:t>额赎回时，管理人有权依照理财产品当时的资产组合状况选择全额赎回、部分赎回或延缓支付。</w:t>
            </w:r>
            <w:r>
              <w:rPr>
                <w:rFonts w:hint="eastAsia" w:ascii="楷体" w:hAnsi="楷体" w:eastAsia="楷体" w:cs="楷体"/>
                <w:b w:val="0"/>
                <w:bCs w:val="0"/>
                <w:szCs w:val="24"/>
                <w:u w:val="none"/>
              </w:rPr>
              <w:t>详细内容见</w:t>
            </w:r>
            <w:r>
              <w:rPr>
                <w:rFonts w:hint="eastAsia" w:ascii="楷体" w:hAnsi="楷体" w:eastAsia="楷体" w:cs="楷体"/>
                <w:b w:val="0"/>
                <w:bCs w:val="0"/>
                <w:szCs w:val="24"/>
                <w:u w:val="none"/>
                <w:lang w:eastAsia="zh-CN"/>
              </w:rPr>
              <w:t>《</w:t>
            </w:r>
            <w:r>
              <w:rPr>
                <w:rFonts w:hint="eastAsia" w:ascii="楷体" w:hAnsi="楷体" w:eastAsia="楷体" w:cs="楷体"/>
                <w:b w:val="0"/>
                <w:bCs w:val="0"/>
                <w:szCs w:val="24"/>
                <w:u w:val="none"/>
                <w:lang w:val="en-US" w:eastAsia="zh-CN"/>
              </w:rPr>
              <w:t>产品说明书</w:t>
            </w:r>
            <w:r>
              <w:rPr>
                <w:rFonts w:hint="eastAsia" w:ascii="楷体" w:hAnsi="楷体" w:eastAsia="楷体" w:cs="楷体"/>
                <w:b w:val="0"/>
                <w:bCs w:val="0"/>
                <w:szCs w:val="24"/>
                <w:u w:val="none"/>
                <w:lang w:eastAsia="zh-CN"/>
              </w:rPr>
              <w:t>》</w:t>
            </w:r>
            <w:r>
              <w:rPr>
                <w:rFonts w:hint="eastAsia" w:ascii="楷体" w:hAnsi="楷体" w:eastAsia="楷体" w:cs="楷体"/>
                <w:b/>
                <w:bCs/>
                <w:u w:val="none"/>
              </w:rPr>
              <w:t>“产品认购、申购和赎回”</w:t>
            </w:r>
            <w:r>
              <w:rPr>
                <w:rFonts w:hint="eastAsia" w:ascii="楷体" w:hAnsi="楷体" w:eastAsia="楷体" w:cs="楷体"/>
                <w:b w:val="0"/>
                <w:bCs w:val="0"/>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u w:val="none"/>
              </w:rPr>
            </w:pPr>
            <w:r>
              <w:rPr>
                <w:rFonts w:hint="eastAsia" w:ascii="楷体" w:hAnsi="楷体" w:eastAsia="楷体" w:cs="楷体"/>
                <w:b/>
                <w:bCs/>
                <w:szCs w:val="21"/>
                <w:highlight w:val="none"/>
                <w:u w:val="none"/>
              </w:rPr>
              <w:t>理财产品</w:t>
            </w:r>
            <w:r>
              <w:rPr>
                <w:rFonts w:hint="eastAsia" w:ascii="楷体" w:hAnsi="楷体" w:eastAsia="楷体" w:cs="楷体"/>
                <w:b/>
                <w:bCs/>
                <w:szCs w:val="21"/>
                <w:highlight w:val="none"/>
                <w:u w:val="none"/>
                <w:lang w:val="en-US" w:eastAsia="zh-CN"/>
              </w:rPr>
              <w:t>收益</w:t>
            </w:r>
            <w:r>
              <w:rPr>
                <w:rFonts w:hint="eastAsia" w:ascii="楷体" w:hAnsi="楷体" w:eastAsia="楷体" w:cs="楷体"/>
                <w:b/>
                <w:bCs/>
                <w:szCs w:val="21"/>
                <w:highlight w:val="none"/>
                <w:u w:val="none"/>
              </w:rPr>
              <w:t>分配</w:t>
            </w:r>
          </w:p>
        </w:tc>
        <w:tc>
          <w:tcPr>
            <w:tcW w:w="6146" w:type="dxa"/>
            <w:vAlign w:val="center"/>
          </w:tcPr>
          <w:p>
            <w:pPr>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就期间分配而言，</w:t>
            </w:r>
            <w:r>
              <w:rPr>
                <w:rFonts w:hint="eastAsia" w:ascii="楷体" w:hAnsi="楷体" w:eastAsia="楷体" w:cs="楷体"/>
                <w:b w:val="0"/>
                <w:bCs w:val="0"/>
                <w:szCs w:val="21"/>
                <w:highlight w:val="none"/>
                <w:u w:val="none"/>
              </w:rPr>
              <w:t>在满足</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highlight w:val="none"/>
                <w:u w:val="none"/>
              </w:rPr>
              <w:t>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净值大于</w:t>
            </w:r>
            <w:r>
              <w:rPr>
                <w:rFonts w:hint="eastAsia" w:ascii="楷体" w:hAnsi="楷体" w:eastAsia="楷体" w:cs="楷体"/>
                <w:b w:val="0"/>
                <w:bCs w:val="0"/>
                <w:szCs w:val="21"/>
                <w:highlight w:val="none"/>
                <w:u w:val="none"/>
                <w:lang w:val="en-US" w:eastAsia="zh-CN"/>
              </w:rPr>
              <w:t>理财产品初始份额净值</w:t>
            </w:r>
            <w:r>
              <w:rPr>
                <w:rFonts w:hint="eastAsia" w:ascii="楷体" w:hAnsi="楷体" w:eastAsia="楷体" w:cs="楷体"/>
                <w:b w:val="0"/>
                <w:bCs w:val="0"/>
                <w:szCs w:val="21"/>
                <w:highlight w:val="none"/>
                <w:u w:val="none"/>
              </w:rPr>
              <w:t>的条件下，理财产品管理人可进行不定期分配，分配方式为现金分配</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理财产品管理人将根据理财产品投资收益情况决定分配基准日、当次分配比例和金额，并将于分红日后 2 个工作日内通过《产品说明书》“信息披露”约定的方式向投资者披露。</w:t>
            </w:r>
          </w:p>
          <w:p>
            <w:pPr>
              <w:rPr>
                <w:rFonts w:hint="eastAsia" w:ascii="楷体" w:hAnsi="楷体" w:eastAsia="楷体" w:cs="楷体"/>
                <w:b w:val="0"/>
                <w:bCs w:val="0"/>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就终止分配而言，</w:t>
            </w:r>
            <w:r>
              <w:rPr>
                <w:rFonts w:hint="eastAsia" w:ascii="楷体" w:hAnsi="楷体" w:eastAsia="楷体" w:cs="楷体"/>
                <w:b w:val="0"/>
                <w:bCs w:val="0"/>
                <w:szCs w:val="21"/>
                <w:highlight w:val="none"/>
                <w:u w:val="none"/>
              </w:rPr>
              <w:t>理财产品终止</w:t>
            </w:r>
            <w:r>
              <w:rPr>
                <w:rFonts w:hint="eastAsia" w:ascii="楷体" w:hAnsi="楷体" w:eastAsia="楷体" w:cs="楷体"/>
                <w:b w:val="0"/>
                <w:bCs w:val="0"/>
                <w:szCs w:val="21"/>
                <w:u w:val="none"/>
              </w:rPr>
              <w:t>日，如理财产品项下财产全部变现，管理人将在</w:t>
            </w:r>
            <w:r>
              <w:rPr>
                <w:rFonts w:hint="eastAsia" w:ascii="楷体" w:hAnsi="楷体" w:eastAsia="楷体" w:cs="楷体"/>
                <w:b w:val="0"/>
                <w:bCs w:val="0"/>
                <w:color w:val="auto"/>
                <w:szCs w:val="21"/>
                <w:u w:val="none"/>
              </w:rPr>
              <w:t>理财产品终止日后的5个工作日内扣除应由理财产品承担的税费及费用（包括但不限于固定投资管理费、销售管理费、托管费等）后将投资者应得资金（如有，下同）划转至投资者指定账户。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税费及费用（包括但不限于固定投资管理费、销售管理费、托管费等，或者由管理人、第三方垫付的费用）后，按照各投资者持有理财产品份额比例在5个工作日内向投资者分配。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bCs/>
                <w:color w:val="auto"/>
                <w:szCs w:val="21"/>
                <w:u w:val="none"/>
              </w:rPr>
              <w:t>“产品的收益、费用及税费”</w:t>
            </w:r>
            <w:r>
              <w:rPr>
                <w:rFonts w:hint="eastAsia" w:ascii="楷体" w:hAnsi="楷体" w:eastAsia="楷体" w:cs="楷体"/>
                <w:b w:val="0"/>
                <w:bCs w:val="0"/>
                <w:color w:val="auto"/>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2376" w:type="dxa"/>
            <w:vAlign w:val="center"/>
          </w:tcPr>
          <w:p>
            <w:pPr>
              <w:rPr>
                <w:rFonts w:hint="eastAsia" w:ascii="楷体" w:hAnsi="楷体" w:eastAsia="楷体" w:cs="楷体"/>
                <w:b/>
                <w:bCs/>
                <w:szCs w:val="21"/>
                <w:highlight w:val="none"/>
                <w:u w:val="none"/>
                <w:lang w:eastAsia="zh-CN"/>
              </w:rPr>
            </w:pPr>
            <w:r>
              <w:rPr>
                <w:rFonts w:hint="eastAsia" w:ascii="楷体" w:hAnsi="楷体" w:eastAsia="楷体" w:cs="楷体"/>
                <w:b/>
                <w:bCs/>
                <w:color w:val="auto"/>
                <w:szCs w:val="21"/>
                <w:u w:val="none"/>
              </w:rPr>
              <w:t>业绩比较基准</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lang w:val="en-US" w:eastAsia="zh-CN"/>
              </w:rPr>
              <w:t>年化</w:t>
            </w:r>
            <w:r>
              <w:rPr>
                <w:rFonts w:hint="eastAsia" w:ascii="楷体" w:hAnsi="楷体" w:eastAsia="楷体" w:cs="楷体"/>
                <w:b/>
                <w:bCs/>
                <w:color w:val="auto"/>
                <w:szCs w:val="21"/>
                <w:u w:val="none"/>
                <w:lang w:eastAsia="zh-CN"/>
              </w:rPr>
              <w:t>）</w:t>
            </w:r>
          </w:p>
        </w:tc>
        <w:tc>
          <w:tcPr>
            <w:tcW w:w="6146" w:type="dxa"/>
            <w:vAlign w:val="center"/>
          </w:tcPr>
          <w:p>
            <w:pPr>
              <w:numPr>
                <w:ilvl w:val="0"/>
                <w:numId w:val="0"/>
              </w:numPr>
              <w:rPr>
                <w:rFonts w:hint="eastAsia" w:ascii="楷体" w:hAnsi="楷体" w:eastAsia="楷体" w:cs="楷体"/>
                <w:b w:val="0"/>
                <w:bCs w:val="0"/>
                <w:color w:val="000000"/>
                <w:kern w:val="2"/>
                <w:sz w:val="21"/>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适用【B】类份额</w:t>
            </w:r>
            <w:r>
              <w:rPr>
                <w:rFonts w:hint="eastAsia" w:ascii="楷体" w:hAnsi="楷体" w:eastAsia="楷体" w:cs="楷体"/>
                <w:b w:val="0"/>
                <w:bCs w:val="0"/>
                <w:color w:val="auto"/>
                <w:szCs w:val="21"/>
                <w:u w:val="none"/>
                <w:lang w:eastAsia="zh-CN"/>
              </w:rPr>
              <w:t>）</w:t>
            </w:r>
          </w:p>
          <w:p>
            <w:pPr>
              <w:pStyle w:val="9"/>
              <w:widowControl/>
              <w:spacing w:beforeAutospacing="0" w:afterAutospacing="0"/>
              <w:rPr>
                <w:rFonts w:hint="eastAsia" w:ascii="楷体" w:hAnsi="楷体" w:eastAsia="楷体" w:cs="楷体"/>
                <w:b w:val="0"/>
                <w:bCs w:val="0"/>
                <w:szCs w:val="21"/>
                <w:u w:val="none"/>
              </w:rPr>
            </w:pPr>
            <w:r>
              <w:rPr>
                <w:rFonts w:hint="eastAsia" w:ascii="楷体" w:hAnsi="楷体" w:eastAsia="楷体" w:cs="楷体"/>
                <w:b/>
                <w:bCs/>
                <w:color w:val="000000"/>
                <w:kern w:val="2"/>
                <w:sz w:val="21"/>
                <w:szCs w:val="21"/>
                <w:u w:val="none"/>
                <w:lang w:val="en-US" w:eastAsia="zh-CN"/>
              </w:rPr>
              <w:t>业绩比较基准的说明：</w:t>
            </w:r>
            <w:r>
              <w:rPr>
                <w:rFonts w:hint="eastAsia" w:ascii="楷体" w:hAnsi="楷体" w:eastAsia="楷体" w:cs="楷体"/>
                <w:b w:val="0"/>
                <w:bCs w:val="0"/>
                <w:kern w:val="0"/>
                <w:sz w:val="21"/>
                <w:szCs w:val="21"/>
                <w:u w:val="none"/>
                <w:lang w:val="en-US" w:eastAsia="zh-CN"/>
              </w:rPr>
              <w:t>以产品投资货币市场工具、债券、债权类资产等固定收益类资产不低于80%，结合产品风险收益特征制定本产品的业绩比较基准。本产品业绩比较基准是在产品说明书约定的投资范围内，根据产品投资策略、市场环境和各类资产的投资比例及收益率水平进行综合测算而得出。</w:t>
            </w:r>
          </w:p>
          <w:p>
            <w:pPr>
              <w:pStyle w:val="9"/>
              <w:widowControl/>
              <w:spacing w:beforeAutospacing="0" w:afterAutospacing="0"/>
              <w:rPr>
                <w:rFonts w:hint="eastAsia" w:ascii="楷体" w:hAnsi="楷体" w:eastAsia="楷体" w:cs="楷体"/>
                <w:b/>
                <w:bCs/>
                <w:sz w:val="21"/>
                <w:szCs w:val="21"/>
                <w:u w:val="none"/>
                <w:lang w:val="en-US" w:eastAsia="zh-CN"/>
              </w:rPr>
            </w:pPr>
            <w:r>
              <w:rPr>
                <w:rFonts w:hint="eastAsia" w:ascii="楷体" w:hAnsi="楷体" w:eastAsia="楷体" w:cs="楷体"/>
                <w:b/>
                <w:bCs/>
                <w:sz w:val="21"/>
                <w:szCs w:val="21"/>
                <w:u w:val="none"/>
                <w:lang w:val="en-US" w:eastAsia="zh-CN"/>
              </w:rPr>
              <w:t>本理财产品设定业绩比较基准如下：</w:t>
            </w:r>
          </w:p>
          <w:p>
            <w:pPr>
              <w:rPr>
                <w:rFonts w:hint="eastAsia" w:ascii="楷体" w:hAnsi="楷体" w:eastAsia="楷体" w:cs="楷体"/>
                <w:b/>
                <w:bCs/>
                <w:color w:val="auto"/>
                <w:sz w:val="21"/>
                <w:szCs w:val="21"/>
                <w:u w:val="none"/>
                <w:lang w:val="en-US" w:eastAsia="zh-CN"/>
              </w:rPr>
            </w:pPr>
            <w:r>
              <w:rPr>
                <w:rFonts w:hint="eastAsia" w:ascii="楷体" w:hAnsi="楷体" w:eastAsia="楷体" w:cs="楷体"/>
                <w:b/>
                <w:bCs/>
                <w:color w:val="auto"/>
                <w:szCs w:val="21"/>
                <w:u w:val="none"/>
                <w:lang w:val="en-US" w:eastAsia="zh-CN"/>
              </w:rPr>
              <w:t>【B】</w:t>
            </w:r>
            <w:r>
              <w:rPr>
                <w:rFonts w:hint="eastAsia" w:ascii="楷体" w:hAnsi="楷体" w:eastAsia="楷体" w:cs="楷体"/>
                <w:b/>
                <w:bCs/>
                <w:color w:val="auto"/>
                <w:sz w:val="21"/>
                <w:szCs w:val="21"/>
                <w:u w:val="none"/>
                <w:lang w:val="en-US" w:eastAsia="zh-CN"/>
              </w:rPr>
              <w:t>类份额：【1.98%-3.18%】</w:t>
            </w:r>
          </w:p>
          <w:p>
            <w:pPr>
              <w:pStyle w:val="9"/>
              <w:widowControl/>
              <w:spacing w:beforeAutospacing="0" w:afterAutospacing="0"/>
              <w:rPr>
                <w:rFonts w:hint="eastAsia" w:ascii="楷体" w:hAnsi="楷体" w:eastAsia="楷体" w:cs="楷体"/>
                <w:b/>
                <w:bCs/>
                <w:kern w:val="2"/>
                <w:sz w:val="21"/>
                <w:szCs w:val="21"/>
                <w:u w:val="none"/>
              </w:rPr>
            </w:pPr>
            <w:r>
              <w:rPr>
                <w:rFonts w:hint="eastAsia" w:ascii="楷体" w:hAnsi="楷体" w:eastAsia="楷体" w:cs="楷体"/>
                <w:b/>
                <w:bCs/>
                <w:color w:val="000000"/>
                <w:kern w:val="2"/>
                <w:sz w:val="21"/>
                <w:szCs w:val="21"/>
                <w:u w:val="none"/>
              </w:rPr>
              <w:t>业绩比较基准是</w:t>
            </w:r>
            <w:r>
              <w:rPr>
                <w:rFonts w:hint="eastAsia" w:ascii="楷体" w:hAnsi="楷体" w:eastAsia="楷体" w:cs="楷体"/>
                <w:b/>
                <w:bCs/>
                <w:color w:val="000000"/>
                <w:kern w:val="2"/>
                <w:sz w:val="21"/>
                <w:szCs w:val="21"/>
                <w:u w:val="none"/>
                <w:lang w:val="en-US" w:eastAsia="zh-CN"/>
              </w:rPr>
              <w:t>管理人</w:t>
            </w:r>
            <w:r>
              <w:rPr>
                <w:rFonts w:hint="eastAsia" w:ascii="楷体" w:hAnsi="楷体" w:eastAsia="楷体" w:cs="楷体"/>
                <w:b/>
                <w:bCs/>
                <w:color w:val="000000"/>
                <w:kern w:val="2"/>
                <w:sz w:val="21"/>
                <w:szCs w:val="21"/>
                <w:u w:val="none"/>
              </w:rPr>
              <w:t>基于产品性质、投资策略、过往经验等因素对产品设定的投资目标，</w:t>
            </w:r>
            <w:r>
              <w:rPr>
                <w:rFonts w:hint="eastAsia" w:ascii="楷体" w:hAnsi="楷体" w:eastAsia="楷体" w:cs="楷体"/>
                <w:b/>
                <w:bCs/>
                <w:color w:val="auto"/>
                <w:kern w:val="2"/>
                <w:sz w:val="21"/>
                <w:szCs w:val="21"/>
              </w:rPr>
              <w:t>业绩比较基准不是预期收益率，</w:t>
            </w:r>
            <w:r>
              <w:rPr>
                <w:rFonts w:hint="eastAsia" w:ascii="楷体" w:hAnsi="楷体" w:eastAsia="楷体" w:cs="楷体"/>
                <w:b/>
                <w:bCs/>
                <w:color w:val="000000"/>
                <w:kern w:val="2"/>
                <w:sz w:val="21"/>
                <w:szCs w:val="21"/>
                <w:u w:val="none"/>
              </w:rPr>
              <w:t>不代表产品的未来表现和实际收益，不构成对产品收</w:t>
            </w:r>
            <w:r>
              <w:rPr>
                <w:rFonts w:hint="eastAsia" w:ascii="楷体" w:hAnsi="楷体" w:eastAsia="楷体" w:cs="楷体"/>
                <w:b/>
                <w:bCs/>
                <w:kern w:val="2"/>
                <w:sz w:val="21"/>
                <w:szCs w:val="21"/>
                <w:u w:val="none"/>
              </w:rPr>
              <w:t>益的承诺。</w:t>
            </w:r>
          </w:p>
          <w:p>
            <w:pPr>
              <w:pStyle w:val="9"/>
              <w:widowControl/>
              <w:spacing w:beforeAutospacing="0" w:afterAutospacing="0"/>
              <w:rPr>
                <w:rFonts w:hint="eastAsia" w:ascii="楷体" w:hAnsi="楷体" w:eastAsia="楷体" w:cs="楷体"/>
                <w:b/>
                <w:bCs/>
                <w:szCs w:val="21"/>
                <w:highlight w:val="none"/>
                <w:u w:val="none"/>
              </w:rPr>
            </w:pPr>
            <w:r>
              <w:rPr>
                <w:rFonts w:hint="eastAsia" w:ascii="楷体" w:hAnsi="楷体" w:eastAsia="楷体" w:cs="楷体"/>
                <w:b w:val="0"/>
                <w:bCs w:val="0"/>
                <w:kern w:val="2"/>
                <w:sz w:val="21"/>
                <w:szCs w:val="21"/>
                <w:u w:val="none"/>
              </w:rPr>
              <w:t>管理人将根据市场情况对产品的业绩比较基准进行动态</w:t>
            </w:r>
            <w:r>
              <w:rPr>
                <w:rFonts w:hint="eastAsia" w:ascii="楷体" w:hAnsi="楷体" w:eastAsia="楷体" w:cs="楷体"/>
                <w:b w:val="0"/>
                <w:bCs w:val="0"/>
                <w:color w:val="000000"/>
                <w:kern w:val="2"/>
                <w:sz w:val="21"/>
                <w:szCs w:val="21"/>
                <w:u w:val="none"/>
              </w:rPr>
              <w:t>调整，投资者可通过销售机构网站进行查询，调整后的业绩比较基准自公布日起的第一个产品确认日生效</w:t>
            </w:r>
            <w:r>
              <w:rPr>
                <w:rFonts w:hint="eastAsia" w:ascii="楷体" w:hAnsi="楷体" w:eastAsia="楷体" w:cs="楷体"/>
                <w:b w:val="0"/>
                <w:bCs w:val="0"/>
                <w:szCs w:val="21"/>
                <w:u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szCs w:val="21"/>
                <w:u w:val="none"/>
                <w:lang w:val="en-US" w:eastAsia="zh-CN"/>
              </w:rPr>
            </w:pPr>
            <w:r>
              <w:rPr>
                <w:rFonts w:hint="eastAsia" w:ascii="楷体" w:hAnsi="楷体" w:eastAsia="楷体" w:cs="楷体"/>
                <w:b/>
                <w:bCs/>
                <w:color w:val="auto"/>
                <w:highlight w:val="none"/>
                <w:u w:val="none"/>
                <w:lang w:val="en-US" w:eastAsia="zh-CN"/>
              </w:rPr>
              <w:t>理财</w:t>
            </w:r>
            <w:r>
              <w:rPr>
                <w:rFonts w:hint="eastAsia" w:ascii="楷体" w:hAnsi="楷体" w:eastAsia="楷体" w:cs="楷体"/>
                <w:b/>
                <w:bCs/>
                <w:color w:val="auto"/>
                <w:highlight w:val="none"/>
                <w:u w:val="none"/>
              </w:rPr>
              <w:t>产品</w:t>
            </w:r>
            <w:r>
              <w:rPr>
                <w:rFonts w:hint="eastAsia" w:ascii="楷体" w:hAnsi="楷体" w:eastAsia="楷体" w:cs="楷体"/>
                <w:b/>
                <w:bCs/>
                <w:color w:val="auto"/>
                <w:highlight w:val="none"/>
                <w:u w:val="none"/>
                <w:lang w:val="en-US" w:eastAsia="zh-CN"/>
              </w:rPr>
              <w:t>费率设置</w:t>
            </w:r>
          </w:p>
        </w:tc>
        <w:tc>
          <w:tcPr>
            <w:tcW w:w="6146" w:type="dxa"/>
            <w:vAlign w:val="top"/>
          </w:tcPr>
          <w:p>
            <w:pPr>
              <w:numPr>
                <w:ilvl w:val="12"/>
                <w:numId w:val="0"/>
              </w:numP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适用</w:t>
            </w:r>
            <w:r>
              <w:rPr>
                <w:rFonts w:hint="eastAsia" w:ascii="楷体" w:hAnsi="楷体" w:eastAsia="楷体" w:cs="楷体"/>
                <w:b w:val="0"/>
                <w:bCs w:val="0"/>
                <w:color w:val="auto"/>
                <w:szCs w:val="21"/>
                <w:u w:val="none"/>
                <w:lang w:val="en-US" w:eastAsia="zh-CN"/>
              </w:rPr>
              <w:t>【B】</w:t>
            </w:r>
            <w:r>
              <w:rPr>
                <w:rFonts w:hint="eastAsia" w:ascii="楷体" w:hAnsi="楷体" w:eastAsia="楷体" w:cs="楷体"/>
                <w:b w:val="0"/>
                <w:bCs w:val="0"/>
                <w:color w:val="auto"/>
                <w:szCs w:val="21"/>
                <w:highlight w:val="none"/>
                <w:u w:val="none"/>
                <w:lang w:val="en-US" w:eastAsia="zh-CN"/>
              </w:rPr>
              <w:t>类份额</w:t>
            </w:r>
            <w:r>
              <w:rPr>
                <w:rFonts w:hint="eastAsia" w:ascii="楷体" w:hAnsi="楷体" w:eastAsia="楷体" w:cs="楷体"/>
                <w:b w:val="0"/>
                <w:bCs w:val="0"/>
                <w:color w:val="auto"/>
                <w:szCs w:val="21"/>
                <w:highlight w:val="none"/>
                <w:u w:val="none"/>
                <w:lang w:eastAsia="zh-CN"/>
              </w:rPr>
              <w:t>）</w:t>
            </w:r>
          </w:p>
          <w:p>
            <w:pPr>
              <w:numPr>
                <w:ilvl w:val="12"/>
                <w:numId w:val="0"/>
              </w:numPr>
              <w:rPr>
                <w:rFonts w:hint="eastAsia" w:ascii="楷体" w:hAnsi="楷体" w:eastAsia="楷体" w:cs="楷体"/>
                <w:b/>
                <w:bCs/>
                <w:szCs w:val="22"/>
                <w:u w:val="none"/>
                <w:lang w:val="en-US" w:eastAsia="zh-CN"/>
              </w:rPr>
            </w:pPr>
            <w:r>
              <w:rPr>
                <w:rFonts w:hint="eastAsia" w:ascii="楷体" w:hAnsi="楷体" w:eastAsia="楷体" w:cs="楷体"/>
                <w:b/>
                <w:bCs/>
                <w:szCs w:val="22"/>
                <w:u w:val="none"/>
                <w:lang w:val="en-US" w:eastAsia="zh-CN"/>
              </w:rPr>
              <w:t>1、理财产品费用：</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szCs w:val="21"/>
                <w:highlight w:val="none"/>
                <w:u w:val="none"/>
                <w:lang w:val="en-US" w:eastAsia="zh-CN"/>
              </w:rPr>
              <w:t>（1）销售管理费：</w:t>
            </w:r>
            <w:r>
              <w:rPr>
                <w:rFonts w:hint="eastAsia" w:ascii="楷体" w:hAnsi="楷体" w:eastAsia="楷体" w:cs="楷体"/>
                <w:b w:val="0"/>
                <w:bCs w:val="0"/>
                <w:color w:val="auto"/>
                <w:szCs w:val="21"/>
                <w:highlight w:val="none"/>
                <w:u w:val="none"/>
                <w:lang w:val="en-US" w:eastAsia="zh-CN"/>
              </w:rPr>
              <w:t>年化费率0.60%</w:t>
            </w:r>
            <w:r>
              <w:rPr>
                <w:rFonts w:hint="eastAsia" w:ascii="楷体" w:hAnsi="楷体" w:eastAsia="楷体" w:cs="楷体"/>
                <w:b/>
                <w:bCs/>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（2）固定投资管理费：</w:t>
            </w:r>
            <w:r>
              <w:rPr>
                <w:rFonts w:hint="eastAsia" w:ascii="楷体" w:hAnsi="楷体" w:eastAsia="楷体" w:cs="楷体"/>
                <w:b w:val="0"/>
                <w:bCs w:val="0"/>
                <w:color w:val="auto"/>
                <w:szCs w:val="21"/>
                <w:highlight w:val="none"/>
                <w:u w:val="none"/>
                <w:lang w:val="en-US" w:eastAsia="zh-CN"/>
              </w:rPr>
              <w:t>年化费率0.60%。</w:t>
            </w:r>
          </w:p>
          <w:p>
            <w:pPr>
              <w:numPr>
                <w:ilvl w:val="12"/>
                <w:numId w:val="0"/>
              </w:numPr>
              <w:rPr>
                <w:rFonts w:hint="eastAsia" w:ascii="楷体" w:hAnsi="楷体" w:eastAsia="楷体" w:cs="楷体"/>
                <w:b w:val="0"/>
                <w:bCs w:val="0"/>
                <w:color w:val="auto"/>
                <w:szCs w:val="21"/>
                <w:highlight w:val="none"/>
                <w:u w:val="none"/>
                <w:lang w:val="en-US"/>
              </w:rPr>
            </w:pPr>
            <w:r>
              <w:rPr>
                <w:rFonts w:hint="eastAsia" w:ascii="楷体" w:hAnsi="楷体" w:eastAsia="楷体" w:cs="楷体"/>
                <w:b/>
                <w:bCs/>
                <w:color w:val="auto"/>
                <w:szCs w:val="21"/>
                <w:highlight w:val="none"/>
                <w:u w:val="none"/>
                <w:lang w:val="en-US" w:eastAsia="zh-CN"/>
              </w:rPr>
              <w:t>（3）托管费：</w:t>
            </w:r>
            <w:r>
              <w:rPr>
                <w:rFonts w:hint="eastAsia" w:ascii="楷体" w:hAnsi="楷体" w:eastAsia="楷体" w:cs="楷体"/>
                <w:b w:val="0"/>
                <w:bCs w:val="0"/>
                <w:color w:val="auto"/>
                <w:szCs w:val="21"/>
                <w:highlight w:val="none"/>
                <w:u w:val="none"/>
                <w:lang w:val="en-US" w:eastAsia="zh-CN"/>
              </w:rPr>
              <w:t>年化费率0.02%。</w:t>
            </w:r>
          </w:p>
          <w:p>
            <w:pPr>
              <w:numPr>
                <w:ilvl w:val="12"/>
                <w:numId w:val="0"/>
              </w:numPr>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（4）浮动投资管理费：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widowControl/>
              <w:numPr>
                <w:ilvl w:val="0"/>
                <w:numId w:val="0"/>
              </w:numPr>
              <w:jc w:val="left"/>
              <w:rPr>
                <w:rFonts w:hint="eastAsia" w:ascii="楷体" w:hAnsi="楷体" w:eastAsia="楷体" w:cs="楷体"/>
                <w:b/>
                <w:bCs/>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2、认购费、申购费、赎回费：</w:t>
            </w:r>
          </w:p>
          <w:p>
            <w:pPr>
              <w:numPr>
                <w:ilvl w:val="12"/>
                <w:numId w:val="0"/>
              </w:numPr>
              <w:ind w:firstLine="420" w:firstLineChars="20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投资者认购/申购或赎回本理财产品时，需按约定支付认购/申购费或赎回费（如有），认购/申购费、赎回费不属于理财产品费用，不由理财产品承担，由投资者承担并于认购/申购或赎回份额时一次性支付。</w:t>
            </w:r>
          </w:p>
          <w:p>
            <w:pPr>
              <w:numPr>
                <w:ilvl w:val="12"/>
                <w:numId w:val="0"/>
              </w:numPr>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bCs/>
                <w:color w:val="auto"/>
                <w:szCs w:val="21"/>
                <w:highlight w:val="none"/>
                <w:u w:val="none"/>
                <w:lang w:val="en-US" w:eastAsia="zh-CN"/>
              </w:rPr>
              <w:t>（1）认购费：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bCs/>
                <w:color w:val="auto"/>
                <w:szCs w:val="21"/>
                <w:highlight w:val="none"/>
                <w:u w:val="none"/>
              </w:rPr>
            </w:pPr>
            <w:r>
              <w:rPr>
                <w:rFonts w:hint="eastAsia" w:ascii="楷体" w:hAnsi="楷体" w:eastAsia="楷体" w:cs="楷体"/>
                <w:b/>
                <w:bCs/>
                <w:color w:val="auto"/>
                <w:szCs w:val="21"/>
                <w:highlight w:val="none"/>
                <w:u w:val="none"/>
                <w:lang w:val="en-US" w:eastAsia="zh-CN"/>
              </w:rPr>
              <w:t>（2）申购费：</w:t>
            </w:r>
            <w:r>
              <w:rPr>
                <w:rFonts w:hint="eastAsia" w:ascii="楷体" w:hAnsi="楷体" w:eastAsia="楷体" w:cs="楷体"/>
                <w:b w:val="0"/>
                <w:bCs w:val="0"/>
                <w:color w:val="auto"/>
                <w:szCs w:val="21"/>
                <w:highlight w:val="none"/>
                <w:u w:val="none"/>
                <w:lang w:val="en-US" w:eastAsia="zh-CN"/>
              </w:rPr>
              <w:t>【/】。</w:t>
            </w:r>
          </w:p>
          <w:p>
            <w:pPr>
              <w:numPr>
                <w:ilvl w:val="12"/>
                <w:numId w:val="0"/>
              </w:numPr>
              <w:rPr>
                <w:rFonts w:hint="eastAsia" w:ascii="楷体" w:hAnsi="楷体" w:eastAsia="楷体" w:cs="楷体"/>
                <w:b w:val="0"/>
                <w:bCs w:val="0"/>
                <w:color w:val="auto"/>
                <w:szCs w:val="21"/>
                <w:u w:val="none"/>
                <w:lang w:val="en-US" w:eastAsia="zh-CN"/>
              </w:rPr>
            </w:pPr>
            <w:r>
              <w:rPr>
                <w:rFonts w:hint="eastAsia" w:ascii="楷体" w:hAnsi="楷体" w:eastAsia="楷体" w:cs="楷体"/>
                <w:b/>
                <w:bCs/>
                <w:color w:val="auto"/>
                <w:szCs w:val="21"/>
                <w:highlight w:val="none"/>
                <w:u w:val="none"/>
                <w:lang w:val="en-US" w:eastAsia="zh-CN"/>
              </w:rPr>
              <w:t>（3）赎回费：</w:t>
            </w:r>
            <w:r>
              <w:rPr>
                <w:rFonts w:hint="eastAsia" w:ascii="楷体" w:hAnsi="楷体" w:eastAsia="楷体" w:cs="楷体"/>
                <w:b w:val="0"/>
                <w:bCs w:val="0"/>
                <w:color w:val="auto"/>
                <w:szCs w:val="21"/>
                <w:highlight w:val="none"/>
                <w:u w:val="none"/>
                <w:lang w:val="en-US" w:eastAsia="zh-CN"/>
              </w:rPr>
              <w:t>【/】。</w:t>
            </w:r>
          </w:p>
          <w:p>
            <w:pPr>
              <w:numPr>
                <w:ilvl w:val="12"/>
                <w:numId w:val="0"/>
              </w:numPr>
              <w:ind w:left="0" w:leftChars="0" w:firstLine="0" w:firstLineChars="0"/>
              <w:rPr>
                <w:rFonts w:hint="eastAsia" w:ascii="楷体" w:hAnsi="楷体" w:eastAsia="楷体" w:cs="楷体"/>
                <w:b/>
                <w:bCs/>
                <w:color w:val="000000"/>
                <w:kern w:val="2"/>
                <w:sz w:val="21"/>
                <w:szCs w:val="21"/>
                <w:u w:val="none"/>
              </w:rPr>
            </w:pPr>
            <w:r>
              <w:rPr>
                <w:rFonts w:hint="eastAsia" w:ascii="楷体" w:hAnsi="楷体" w:eastAsia="楷体" w:cs="楷体"/>
                <w:b w:val="0"/>
                <w:bCs w:val="0"/>
                <w:szCs w:val="21"/>
                <w:highlight w:val="none"/>
                <w:u w:val="none"/>
                <w:lang w:val="en-US" w:eastAsia="zh-CN"/>
              </w:rPr>
              <w:t>3、</w:t>
            </w:r>
            <w:r>
              <w:rPr>
                <w:rFonts w:hint="eastAsia" w:ascii="楷体" w:hAnsi="楷体" w:eastAsia="楷体" w:cs="楷体"/>
                <w:b w:val="0"/>
                <w:bCs w:val="0"/>
                <w:szCs w:val="21"/>
                <w:highlight w:val="none"/>
                <w:u w:val="none"/>
              </w:rPr>
              <w:t>上银理财有权根据相关法律和国家政策规定调整产品费率，调整产品费率的公告将通过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highlight w:val="none"/>
                <w:u w:val="none"/>
              </w:rPr>
              <w:t>“信息披露”约定的方式向投资者披露</w:t>
            </w:r>
            <w:r>
              <w:rPr>
                <w:rFonts w:hint="eastAsia" w:ascii="楷体" w:hAnsi="楷体" w:eastAsia="楷体" w:cs="楷体"/>
                <w:b w:val="0"/>
                <w:bCs w:val="0"/>
                <w:szCs w:val="21"/>
                <w:highlight w:val="none"/>
                <w:u w:val="none"/>
              </w:rPr>
              <w:t>。投资者若不接受，可根据实际情况按照公告约定提前赎回本理财产品。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本金及理财收益</w:t>
            </w:r>
          </w:p>
        </w:tc>
        <w:tc>
          <w:tcPr>
            <w:tcW w:w="6146" w:type="dxa"/>
            <w:vAlign w:val="top"/>
          </w:tcPr>
          <w:p>
            <w:pPr>
              <w:numPr>
                <w:ilvl w:val="12"/>
                <w:numId w:val="0"/>
              </w:numPr>
              <w:ind w:left="0" w:leftChars="0" w:firstLine="0" w:firstLineChars="0"/>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本理财产品不保障本金和收益，详见</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bCs/>
                <w:szCs w:val="21"/>
                <w:highlight w:val="none"/>
                <w:u w:val="none"/>
              </w:rPr>
              <w:t>“产品的收益、费用及税费”。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4" w:hRule="atLeast"/>
        </w:trPr>
        <w:tc>
          <w:tcPr>
            <w:tcW w:w="2376" w:type="dxa"/>
            <w:vAlign w:val="center"/>
          </w:tcPr>
          <w:p>
            <w:pPr>
              <w:rPr>
                <w:rFonts w:hint="eastAsia" w:ascii="楷体" w:hAnsi="楷体" w:eastAsia="楷体" w:cs="楷体"/>
                <w:b/>
                <w:bCs/>
                <w:color w:val="auto"/>
                <w:highlight w:val="none"/>
                <w:u w:val="none"/>
                <w:lang w:val="en-US" w:eastAsia="zh-CN"/>
              </w:rPr>
            </w:pPr>
            <w:r>
              <w:rPr>
                <w:rFonts w:hint="eastAsia" w:ascii="楷体" w:hAnsi="楷体" w:eastAsia="楷体" w:cs="楷体"/>
                <w:b/>
                <w:bCs/>
                <w:color w:val="auto"/>
                <w:highlight w:val="none"/>
                <w:u w:val="none"/>
                <w:lang w:val="en-US" w:eastAsia="zh-CN"/>
              </w:rPr>
              <w:t>收益计算基础</w:t>
            </w:r>
          </w:p>
        </w:tc>
        <w:tc>
          <w:tcPr>
            <w:tcW w:w="6146" w:type="dxa"/>
            <w:vAlign w:val="top"/>
          </w:tcPr>
          <w:p>
            <w:pPr>
              <w:numPr>
                <w:ilvl w:val="12"/>
                <w:numId w:val="0"/>
              </w:numPr>
              <w:ind w:left="0" w:leftChars="0" w:firstLine="0" w:firstLineChars="0"/>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lang w:val="en-US" w:eastAsia="zh-CN"/>
              </w:rPr>
              <w:t>365天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rPr>
              <w:t>其他税费</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产品管理人</w:t>
            </w:r>
          </w:p>
        </w:tc>
        <w:tc>
          <w:tcPr>
            <w:tcW w:w="6146" w:type="dxa"/>
            <w:vAlign w:val="top"/>
          </w:tcPr>
          <w:p>
            <w:pPr>
              <w:rPr>
                <w:rFonts w:hint="eastAsia" w:ascii="楷体" w:hAnsi="楷体" w:eastAsia="楷体" w:cs="楷体"/>
                <w:b w:val="0"/>
                <w:bCs w:val="0"/>
                <w:szCs w:val="21"/>
                <w:highlight w:val="none"/>
                <w:u w:val="none"/>
              </w:rPr>
            </w:pPr>
            <w:r>
              <w:rPr>
                <w:rFonts w:hint="eastAsia" w:ascii="楷体" w:hAnsi="楷体" w:eastAsia="楷体" w:cs="楷体"/>
                <w:b w:val="0"/>
                <w:bCs w:val="0"/>
                <w:u w:val="none"/>
              </w:rPr>
              <w:t>上银理财有限责任公司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u w:val="none"/>
                <w:lang w:val="en-US" w:eastAsia="zh-CN"/>
              </w:rPr>
              <w:t>理财</w:t>
            </w:r>
            <w:r>
              <w:rPr>
                <w:rFonts w:hint="eastAsia" w:ascii="楷体" w:hAnsi="楷体" w:eastAsia="楷体" w:cs="楷体"/>
                <w:b/>
                <w:bCs/>
                <w:u w:val="none"/>
              </w:rPr>
              <w:t>产品托管人</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销售机构</w:t>
            </w:r>
          </w:p>
        </w:tc>
        <w:tc>
          <w:tcPr>
            <w:tcW w:w="6146" w:type="dxa"/>
            <w:vAlign w:val="top"/>
          </w:tcPr>
          <w:p>
            <w:pP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u w:val="none"/>
                <w:lang w:eastAsia="zh-CN"/>
              </w:rPr>
              <w:t>【上海银行股份有限公司、宁波镇海农村商业银行股份有限公司、九江银行股份有限公司、宁波慈溪农村商业银行股份有限公司、苏州银行股份有限公司、张家口银行股份有限公司、江苏张家港农村商业银行股份有限公司、浙江上虞农村商业银行股份有限公司、浙江桐乡农村商业银行股份有限公司、宁波鄞州农村商业银行股份有限公司、浙江乐清农村商业银行股份有限公司、吉林银行股份有限公司、浙江青田农村商业银行股份有限公司、浙江义乌农村商业银行股份有限公司、浙江长兴农村商业银行股份有限公司、杭州联合农村商业银行股份有限公司、浙江绍兴瑞丰农村商业银行股份有限公司、浙江德清农村商业银行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76" w:type="dxa"/>
            <w:vAlign w:val="center"/>
          </w:tcPr>
          <w:p>
            <w:pPr>
              <w:rPr>
                <w:rFonts w:hint="eastAsia" w:ascii="楷体" w:hAnsi="楷体" w:eastAsia="楷体" w:cs="楷体"/>
                <w:b/>
                <w:bCs/>
                <w:highlight w:val="none"/>
                <w:u w:val="none"/>
                <w:lang w:val="en-US" w:eastAsia="zh-CN"/>
              </w:rPr>
            </w:pPr>
            <w:r>
              <w:rPr>
                <w:rFonts w:hint="eastAsia" w:ascii="楷体" w:hAnsi="楷体" w:eastAsia="楷体" w:cs="楷体"/>
                <w:b/>
                <w:bCs/>
                <w:szCs w:val="21"/>
                <w:u w:val="none"/>
              </w:rPr>
              <w:t>其他规定</w:t>
            </w:r>
          </w:p>
        </w:tc>
        <w:tc>
          <w:tcPr>
            <w:tcW w:w="6146" w:type="dxa"/>
            <w:vAlign w:val="center"/>
          </w:tcPr>
          <w:p>
            <w:pPr>
              <w:rPr>
                <w:rFonts w:hint="eastAsia" w:ascii="楷体" w:hAnsi="楷体" w:eastAsia="楷体" w:cs="楷体"/>
                <w:b w:val="0"/>
                <w:bCs w:val="0"/>
                <w:u w:val="none"/>
              </w:rPr>
            </w:pPr>
            <w:r>
              <w:rPr>
                <w:rFonts w:hint="eastAsia" w:ascii="楷体" w:hAnsi="楷体" w:eastAsia="楷体" w:cs="楷体"/>
                <w:b w:val="0"/>
                <w:bCs w:val="0"/>
                <w:u w:val="none"/>
                <w:lang w:val="en-US" w:eastAsia="zh-CN"/>
              </w:rPr>
              <w:t>1、</w:t>
            </w:r>
            <w:r>
              <w:rPr>
                <w:rFonts w:hint="eastAsia" w:ascii="楷体" w:hAnsi="楷体" w:eastAsia="楷体" w:cs="楷体"/>
                <w:b w:val="0"/>
                <w:bCs w:val="0"/>
                <w:u w:val="none"/>
              </w:rPr>
              <w:t>投资者在募集期内认购本理财产品被受理后，销售机构有权冻结或预扣认购款项，冻结或预扣期间管理人不向投资者计付利息，销售机构是否计付利息以销售机构计息规则为准</w:t>
            </w:r>
            <w:r>
              <w:rPr>
                <w:rFonts w:hint="eastAsia" w:ascii="楷体" w:hAnsi="楷体" w:eastAsia="楷体" w:cs="楷体"/>
                <w:b w:val="0"/>
                <w:bCs w:val="0"/>
                <w:u w:val="none"/>
                <w:lang w:eastAsia="zh-CN"/>
              </w:rPr>
              <w:t>，</w:t>
            </w:r>
            <w:r>
              <w:rPr>
                <w:rFonts w:hint="eastAsia" w:ascii="楷体" w:hAnsi="楷体" w:eastAsia="楷体" w:cs="楷体"/>
                <w:b w:val="0"/>
                <w:bCs w:val="0"/>
                <w:u w:val="none"/>
              </w:rPr>
              <w:t>利息部分不计入认购本金</w:t>
            </w:r>
            <w:r>
              <w:rPr>
                <w:rFonts w:hint="eastAsia" w:ascii="楷体" w:hAnsi="楷体" w:eastAsia="楷体" w:cs="楷体"/>
                <w:b w:val="0"/>
                <w:bCs w:val="0"/>
                <w:u w:val="none"/>
                <w:lang w:eastAsia="zh-CN"/>
              </w:rPr>
              <w:t>；</w:t>
            </w:r>
          </w:p>
          <w:p>
            <w:pPr>
              <w:rPr>
                <w:rFonts w:hint="eastAsia" w:ascii="楷体" w:hAnsi="楷体" w:eastAsia="楷体" w:cs="楷体"/>
                <w:b w:val="0"/>
                <w:bCs w:val="0"/>
                <w:szCs w:val="21"/>
                <w:highlight w:val="none"/>
                <w:u w:val="none"/>
              </w:rPr>
            </w:pPr>
            <w:r>
              <w:rPr>
                <w:rFonts w:hint="eastAsia" w:ascii="楷体" w:hAnsi="楷体" w:eastAsia="楷体" w:cs="楷体"/>
                <w:b w:val="0"/>
                <w:bCs w:val="0"/>
                <w:u w:val="none"/>
                <w:lang w:val="en-US" w:eastAsia="zh-CN"/>
              </w:rPr>
              <w:t>2、理财产品终止后，清算期</w:t>
            </w:r>
            <w:r>
              <w:rPr>
                <w:rFonts w:hint="eastAsia" w:ascii="楷体" w:hAnsi="楷体" w:eastAsia="楷体" w:cs="楷体"/>
                <w:b w:val="0"/>
                <w:bCs w:val="0"/>
                <w:u w:val="none"/>
              </w:rPr>
              <w:t>不计</w:t>
            </w:r>
            <w:r>
              <w:rPr>
                <w:rFonts w:hint="eastAsia" w:ascii="楷体" w:hAnsi="楷体" w:eastAsia="楷体" w:cs="楷体"/>
                <w:b w:val="0"/>
                <w:bCs w:val="0"/>
                <w:u w:val="none"/>
                <w:lang w:val="en-US" w:eastAsia="zh-CN"/>
              </w:rPr>
              <w:t>算投资</w:t>
            </w:r>
            <w:r>
              <w:rPr>
                <w:rFonts w:hint="eastAsia" w:ascii="楷体" w:hAnsi="楷体" w:eastAsia="楷体" w:cs="楷体"/>
                <w:b w:val="0"/>
                <w:bCs w:val="0"/>
                <w:u w:val="none"/>
              </w:rPr>
              <w:t>收益</w:t>
            </w:r>
            <w:r>
              <w:rPr>
                <w:rFonts w:hint="eastAsia" w:ascii="楷体" w:hAnsi="楷体" w:eastAsia="楷体" w:cs="楷体"/>
                <w:b w:val="0"/>
                <w:bCs w:val="0"/>
                <w:u w:val="none"/>
                <w:lang w:eastAsia="zh-CN"/>
              </w:rPr>
              <w:t>。</w:t>
            </w:r>
          </w:p>
        </w:tc>
      </w:tr>
    </w:tbl>
    <w:p>
      <w:pPr>
        <w:pStyle w:val="2"/>
        <w:spacing w:before="120" w:after="120" w:line="240" w:lineRule="auto"/>
        <w:rPr>
          <w:rFonts w:ascii="楷体" w:hAnsi="楷体" w:eastAsia="楷体"/>
          <w:sz w:val="28"/>
          <w:szCs w:val="28"/>
          <w:u w:val="none"/>
        </w:rPr>
      </w:pPr>
      <w:bookmarkStart w:id="11" w:name="_Toc98680958"/>
      <w:r>
        <w:rPr>
          <w:rFonts w:hint="eastAsia" w:ascii="楷体" w:hAnsi="楷体" w:eastAsia="楷体"/>
          <w:sz w:val="28"/>
          <w:szCs w:val="28"/>
          <w:u w:val="none"/>
          <w:lang w:val="en-US" w:eastAsia="zh-CN"/>
        </w:rPr>
        <w:t>四</w:t>
      </w:r>
      <w:r>
        <w:rPr>
          <w:rFonts w:ascii="楷体" w:hAnsi="楷体" w:eastAsia="楷体"/>
          <w:sz w:val="28"/>
          <w:szCs w:val="28"/>
          <w:u w:val="none"/>
        </w:rPr>
        <w:t>、</w:t>
      </w:r>
      <w:bookmarkEnd w:id="11"/>
      <w:r>
        <w:rPr>
          <w:rFonts w:hint="eastAsia" w:ascii="楷体" w:hAnsi="楷体" w:eastAsia="楷体"/>
          <w:sz w:val="28"/>
          <w:szCs w:val="28"/>
          <w:u w:val="none"/>
        </w:rPr>
        <w:t>投资目标、</w:t>
      </w:r>
      <w:r>
        <w:rPr>
          <w:rFonts w:ascii="楷体" w:hAnsi="楷体" w:eastAsia="楷体"/>
          <w:sz w:val="28"/>
          <w:szCs w:val="28"/>
          <w:u w:val="none"/>
        </w:rPr>
        <w:t>范围和比例</w:t>
      </w:r>
    </w:p>
    <w:p>
      <w:pPr>
        <w:pStyle w:val="3"/>
        <w:adjustRightInd w:val="0"/>
        <w:snapToGrid w:val="0"/>
        <w:spacing w:before="0" w:after="0" w:line="360" w:lineRule="auto"/>
        <w:ind w:firstLine="422" w:firstLineChars="200"/>
        <w:rPr>
          <w:rFonts w:hint="eastAsia" w:ascii="楷体" w:hAnsi="楷体" w:eastAsia="楷体" w:cs="楷体"/>
          <w:color w:val="000000"/>
          <w:kern w:val="0"/>
          <w:sz w:val="21"/>
          <w:u w:val="none"/>
        </w:rPr>
      </w:pPr>
      <w:bookmarkStart w:id="12" w:name="_Toc98680959"/>
      <w:r>
        <w:rPr>
          <w:rFonts w:hint="eastAsia" w:ascii="楷体" w:hAnsi="楷体" w:eastAsia="楷体" w:cs="楷体"/>
          <w:color w:val="000000"/>
          <w:kern w:val="0"/>
          <w:sz w:val="21"/>
          <w:u w:val="none"/>
        </w:rPr>
        <w:t>（一）投资目标</w:t>
      </w:r>
    </w:p>
    <w:p>
      <w:pPr>
        <w:pStyle w:val="9"/>
        <w:widowControl/>
        <w:adjustRightInd w:val="0"/>
        <w:snapToGrid w:val="0"/>
        <w:spacing w:before="120" w:beforeAutospacing="0" w:after="120" w:afterAutospacing="0" w:line="360" w:lineRule="auto"/>
        <w:ind w:firstLine="409" w:firstLineChars="195"/>
        <w:rPr>
          <w:rFonts w:hint="eastAsia" w:ascii="楷体" w:hAnsi="楷体" w:eastAsia="楷体" w:cs="楷体"/>
          <w:kern w:val="2"/>
          <w:sz w:val="21"/>
          <w:szCs w:val="21"/>
          <w:u w:val="none"/>
        </w:rPr>
      </w:pPr>
      <w:r>
        <w:rPr>
          <w:rFonts w:hint="eastAsia" w:ascii="楷体" w:hAnsi="楷体" w:eastAsia="楷体" w:cs="楷体"/>
          <w:kern w:val="2"/>
          <w:sz w:val="21"/>
          <w:szCs w:val="21"/>
          <w:u w:val="none"/>
        </w:rPr>
        <w:t>本理财产品主要投资于固定收益类资产。本理财产品将结合宏观经济走势、利率走势的判断，加强信用风险把控，做好固定收益类资产的配置，力争为投资者创造资产的稳健增值。</w:t>
      </w:r>
    </w:p>
    <w:p>
      <w:pPr>
        <w:pStyle w:val="3"/>
        <w:adjustRightInd w:val="0"/>
        <w:snapToGrid w:val="0"/>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（二）投资范围</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产品管理人以发行本理财产品所募集的资金，投资于各类资产，包括但不限于：</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1.货币市场工具：现金、银行存款、大额存单、资金拆借、债券回购、货币基金等。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2.标准化债权资产：国债、央票、企业债、金融债、政策性金融债、同业存单、次级债、资产支持证券、地方政府债、中期票据、短期融资券、超短期融资券、公司债、私募债、债权性质的永续债、资本补充债券、可转换债券、可交换债券、非公开定向债务融资工具(PPN)、二级资本债、债券型基金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3.权益类资产：股票（包括优先股）、股票型基金、混合型基金、权益性质的永续债等。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4.投资于上述资产的各类资产管理产品（包括但不限于信托计划、证券公司及其资产管理公司资产管理计划、基金公司资产管理计划、保险资产管理公司投资计划等）。</w:t>
      </w:r>
    </w:p>
    <w:p>
      <w:pPr>
        <w:snapToGrid w:val="0"/>
        <w:spacing w:line="360" w:lineRule="auto"/>
        <w:ind w:firstLine="420" w:firstLineChars="200"/>
        <w:rPr>
          <w:rFonts w:hint="eastAsia" w:ascii="楷体" w:hAnsi="楷体" w:eastAsia="楷体" w:cs="楷体"/>
          <w:b w:val="0"/>
          <w:bCs/>
          <w:szCs w:val="21"/>
          <w:u w:val="none"/>
        </w:rPr>
      </w:pPr>
      <w:r>
        <w:rPr>
          <w:rFonts w:hint="eastAsia" w:ascii="楷体" w:hAnsi="楷体" w:eastAsia="楷体" w:cs="楷体"/>
          <w:b w:val="0"/>
          <w:bCs/>
          <w:szCs w:val="21"/>
          <w:u w:val="none"/>
        </w:rPr>
        <w:t>如存在法律法规或监管机构以后允许投资的其他品种，管理人在履行适当程序后，可以将其纳入投资范围。相关法律法规和监管部门对以上资产分类有另行规定的，管理人将按照监管最新规定执行并将以“信息披露”约定的形式向投资者告知。</w:t>
      </w:r>
    </w:p>
    <w:p>
      <w:pPr>
        <w:snapToGrid w:val="0"/>
        <w:spacing w:line="360" w:lineRule="auto"/>
        <w:ind w:firstLine="422" w:firstLineChars="200"/>
        <w:rPr>
          <w:rFonts w:hint="eastAsia" w:ascii="楷体" w:hAnsi="楷体" w:eastAsia="楷体" w:cs="楷体"/>
          <w:b/>
          <w:bCs/>
          <w:szCs w:val="21"/>
          <w:u w:val="none"/>
        </w:rPr>
      </w:pPr>
      <w:r>
        <w:rPr>
          <w:rFonts w:hint="eastAsia" w:ascii="楷体" w:hAnsi="楷体" w:eastAsia="楷体" w:cs="楷体"/>
          <w:b/>
          <w:bCs/>
          <w:szCs w:val="21"/>
          <w:u w:val="none"/>
        </w:rPr>
        <w:t>在遵守相关法律法规、监管规则及本《产品说明书》约定，避免不公平交易、利益输送等违法违规行为的前提下，投资者知晓并同意本理财产品的投资对象可能包括理财产品管理人/托管人及其关联方或重大利害关系人发行、承销、管理的符合本理财产品投资范围规定的投资品种。本产品实际发生的关联交易（无论是否在上述列举范围内）以管理人按照相关法律法规、规章和监管规定进行的相关披露为准。 </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（三）投资比例</w:t>
      </w:r>
    </w:p>
    <w:p>
      <w:pPr>
        <w:snapToGrid w:val="0"/>
        <w:spacing w:line="360" w:lineRule="auto"/>
        <w:ind w:firstLine="420" w:firstLineChars="200"/>
        <w:rPr>
          <w:rFonts w:hint="eastAsia" w:ascii="楷体" w:hAnsi="楷体" w:eastAsia="楷体" w:cs="楷体"/>
          <w:color w:val="auto"/>
          <w:szCs w:val="21"/>
          <w:u w:val="none"/>
        </w:rPr>
      </w:pPr>
      <w:r>
        <w:rPr>
          <w:rFonts w:hint="eastAsia" w:ascii="楷体" w:hAnsi="楷体" w:eastAsia="楷体" w:cs="楷体"/>
          <w:szCs w:val="21"/>
          <w:u w:val="none"/>
        </w:rPr>
        <w:t>本产品不低于</w:t>
      </w:r>
      <w:r>
        <w:rPr>
          <w:rFonts w:hint="eastAsia" w:ascii="楷体" w:hAnsi="楷体" w:eastAsia="楷体" w:cs="楷体"/>
          <w:color w:val="auto"/>
          <w:szCs w:val="21"/>
          <w:u w:val="none"/>
        </w:rPr>
        <w:t>80%的资金投资于固定收益类资产，不高于20%的资金投资于权益类资产。各投资品种计划配置比例如下：</w:t>
      </w:r>
    </w:p>
    <w:tbl>
      <w:tblPr>
        <w:tblStyle w:val="10"/>
        <w:tblW w:w="8307" w:type="dxa"/>
        <w:tblInd w:w="421" w:type="dxa"/>
        <w:tblLayout w:type="fixed"/>
        <w:tblCellMar>
          <w:top w:w="38" w:type="dxa"/>
          <w:left w:w="108" w:type="dxa"/>
          <w:bottom w:w="0" w:type="dxa"/>
          <w:right w:w="115" w:type="dxa"/>
        </w:tblCellMar>
      </w:tblPr>
      <w:tblGrid>
        <w:gridCol w:w="3872"/>
        <w:gridCol w:w="4435"/>
      </w:tblGrid>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投资品种</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b/>
                <w:bCs/>
                <w:color w:val="auto"/>
                <w:sz w:val="21"/>
                <w:szCs w:val="21"/>
                <w:u w:val="none"/>
              </w:rPr>
            </w:pPr>
            <w:r>
              <w:rPr>
                <w:rFonts w:hint="eastAsia" w:ascii="楷体" w:hAnsi="楷体" w:eastAsia="楷体" w:cs="楷体"/>
                <w:b/>
                <w:bCs/>
                <w:color w:val="auto"/>
                <w:sz w:val="21"/>
                <w:szCs w:val="21"/>
                <w:u w:val="none"/>
              </w:rPr>
              <w:t>计划配置比例</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固定收益类资产：</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不低于80%</w:t>
            </w:r>
          </w:p>
        </w:tc>
      </w:tr>
      <w:tr>
        <w:tblPrEx>
          <w:tblCellMar>
            <w:top w:w="38" w:type="dxa"/>
            <w:left w:w="108" w:type="dxa"/>
            <w:bottom w:w="0" w:type="dxa"/>
            <w:right w:w="115" w:type="dxa"/>
          </w:tblCellMar>
        </w:tblPrEx>
        <w:trPr>
          <w:trHeight w:val="368"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其中：高流动性资产</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ascii="楷体" w:hAnsi="楷体" w:eastAsia="楷体" w:cs="楷体"/>
                <w:color w:val="auto"/>
                <w:sz w:val="21"/>
                <w:szCs w:val="21"/>
                <w:u w:val="none"/>
              </w:rPr>
            </w:pPr>
            <w:r>
              <w:rPr>
                <w:rFonts w:hint="eastAsia" w:ascii="楷体" w:hAnsi="楷体" w:eastAsia="楷体" w:cs="楷体"/>
                <w:color w:val="auto"/>
                <w:sz w:val="21"/>
                <w:szCs w:val="21"/>
                <w:u w:val="none"/>
              </w:rPr>
              <w:t>不低于5%</w:t>
            </w:r>
          </w:p>
        </w:tc>
      </w:tr>
      <w:tr>
        <w:tblPrEx>
          <w:tblCellMar>
            <w:top w:w="38" w:type="dxa"/>
            <w:left w:w="108" w:type="dxa"/>
            <w:bottom w:w="0" w:type="dxa"/>
            <w:right w:w="115" w:type="dxa"/>
          </w:tblCellMar>
        </w:tblPrEx>
        <w:trPr>
          <w:trHeight w:val="367" w:hRule="atLeast"/>
        </w:trPr>
        <w:tc>
          <w:tcPr>
            <w:tcW w:w="3872"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u w:val="none"/>
                <w:lang w:eastAsia="zh-CN"/>
              </w:rPr>
            </w:pPr>
            <w:r>
              <w:rPr>
                <w:rFonts w:hint="eastAsia" w:ascii="楷体" w:hAnsi="楷体" w:eastAsia="楷体" w:cs="楷体"/>
                <w:color w:val="auto"/>
                <w:sz w:val="21"/>
                <w:szCs w:val="21"/>
                <w:u w:val="none"/>
              </w:rPr>
              <w:t>权益类资产</w:t>
            </w:r>
            <w:r>
              <w:rPr>
                <w:rFonts w:hint="eastAsia" w:ascii="楷体" w:hAnsi="楷体" w:eastAsia="楷体" w:cs="楷体"/>
                <w:color w:val="auto"/>
                <w:sz w:val="21"/>
                <w:szCs w:val="21"/>
                <w:u w:val="none"/>
                <w:lang w:eastAsia="zh-CN"/>
              </w:rPr>
              <w:t>：</w:t>
            </w:r>
          </w:p>
        </w:tc>
        <w:tc>
          <w:tcPr>
            <w:tcW w:w="4435" w:type="dxa"/>
            <w:tcBorders>
              <w:top w:val="single" w:color="000000" w:sz="4" w:space="0"/>
              <w:left w:val="single" w:color="000000" w:sz="4" w:space="0"/>
              <w:bottom w:val="single" w:color="000000" w:sz="4" w:space="0"/>
              <w:right w:val="single" w:color="000000" w:sz="4" w:space="0"/>
            </w:tcBorders>
          </w:tcPr>
          <w:p>
            <w:pPr>
              <w:pStyle w:val="9"/>
              <w:widowControl/>
              <w:adjustRightInd w:val="0"/>
              <w:snapToGrid w:val="0"/>
              <w:spacing w:before="100" w:after="100"/>
              <w:rPr>
                <w:rFonts w:hint="eastAsia" w:ascii="楷体" w:hAnsi="楷体" w:eastAsia="楷体" w:cs="楷体"/>
                <w:color w:val="auto"/>
                <w:sz w:val="21"/>
                <w:szCs w:val="21"/>
                <w:u w:val="none"/>
                <w:lang w:val="en-US" w:eastAsia="zh-CN"/>
              </w:rPr>
            </w:pPr>
            <w:r>
              <w:rPr>
                <w:rFonts w:hint="eastAsia" w:ascii="楷体" w:hAnsi="楷体" w:eastAsia="楷体" w:cs="楷体"/>
                <w:color w:val="auto"/>
                <w:sz w:val="21"/>
                <w:szCs w:val="21"/>
                <w:u w:val="none"/>
              </w:rPr>
              <w:t>不高于</w:t>
            </w:r>
            <w:r>
              <w:rPr>
                <w:rFonts w:ascii="楷体" w:hAnsi="楷体" w:eastAsia="楷体" w:cs="楷体"/>
                <w:color w:val="auto"/>
                <w:sz w:val="21"/>
                <w:szCs w:val="21"/>
                <w:u w:val="none"/>
              </w:rPr>
              <w:t>2</w:t>
            </w:r>
            <w:r>
              <w:rPr>
                <w:rFonts w:hint="eastAsia" w:ascii="楷体" w:hAnsi="楷体" w:eastAsia="楷体" w:cs="楷体"/>
                <w:color w:val="auto"/>
                <w:sz w:val="21"/>
                <w:szCs w:val="21"/>
                <w:u w:val="none"/>
              </w:rPr>
              <w:t>0%</w:t>
            </w:r>
          </w:p>
        </w:tc>
      </w:tr>
    </w:tbl>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相关法律法规和监管部门对以上投资范围和配置比例有另行规定的，按照监管最新规定执行。如监管对投资比例无其他明确规定和要求的，由产品管理人与托管人协商确定计算方法。</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投资管理人应当自理财产品成立日起三个月内使理财产品的投资组合比例符合约定。非因管理人主观因素导致突破前述比例限制的，管理人将尽力在流动性受限资产可出售、可转让或者恢复交易的15个交易日内调整至符合相关要求。</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（四）投资策略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综合分析宏观经济走势、财政与货币政策、利率波动与趋势、利率期限结构、信用风险和利差变化等因素，在符合产品投资范围和投资比例的前提下，综合考虑各类投资品种的收益性、流动性和风险特征，力争获得高于业绩比较基准的投资回报。</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1.大类资产配置</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从宏观环境、政策因素、资金供求因素、证券市场基本面等角度进行综合分析，判断各类资产的市场趋势和预期风险收益，在严格控制风险的前提下，确定投资组合在债券、股票、基金、现金等资产类别的投资比例，并根据宏观经济形势和市场时机的变化适时进行动态调整。</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2</w:t>
      </w:r>
      <w:r>
        <w:rPr>
          <w:rFonts w:hint="eastAsia" w:ascii="楷体" w:hAnsi="楷体" w:eastAsia="楷体" w:cs="楷体"/>
          <w:szCs w:val="21"/>
          <w:u w:val="none"/>
          <w:lang w:eastAsia="zh-CN"/>
        </w:rPr>
        <w:t>.</w:t>
      </w:r>
      <w:r>
        <w:rPr>
          <w:rFonts w:hint="eastAsia" w:ascii="楷体" w:hAnsi="楷体" w:eastAsia="楷体" w:cs="楷体"/>
          <w:szCs w:val="21"/>
          <w:u w:val="none"/>
        </w:rPr>
        <w:t>利率预期策略与组合久期管理</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通过对宏观经济走势的研究，对市场利率波动与趋势做出预期和判断，并在综合考虑组合流动性的前提下，调整组合的资产配置久期。</w:t>
      </w:r>
    </w:p>
    <w:p>
      <w:pPr>
        <w:snapToGrid w:val="0"/>
        <w:spacing w:line="360" w:lineRule="auto"/>
        <w:ind w:firstLine="420" w:firstLineChars="200"/>
        <w:outlineLvl w:val="2"/>
        <w:rPr>
          <w:rFonts w:hint="eastAsia" w:ascii="楷体" w:hAnsi="楷体" w:eastAsia="楷体" w:cs="楷体"/>
          <w:szCs w:val="21"/>
          <w:u w:val="none"/>
        </w:rPr>
      </w:pPr>
      <w:r>
        <w:rPr>
          <w:rFonts w:hint="eastAsia" w:ascii="楷体" w:hAnsi="楷体" w:eastAsia="楷体" w:cs="楷体"/>
          <w:szCs w:val="21"/>
          <w:u w:val="none"/>
        </w:rPr>
        <w:t>3</w:t>
      </w:r>
      <w:r>
        <w:rPr>
          <w:rFonts w:hint="eastAsia" w:ascii="楷体" w:hAnsi="楷体" w:eastAsia="楷体" w:cs="楷体"/>
          <w:szCs w:val="21"/>
          <w:u w:val="none"/>
          <w:lang w:eastAsia="zh-CN"/>
        </w:rPr>
        <w:t>.</w:t>
      </w:r>
      <w:r>
        <w:rPr>
          <w:rFonts w:hint="eastAsia" w:ascii="楷体" w:hAnsi="楷体" w:eastAsia="楷体" w:cs="楷体"/>
          <w:szCs w:val="21"/>
          <w:u w:val="none"/>
        </w:rPr>
        <w:t>交易策略</w:t>
      </w:r>
    </w:p>
    <w:p>
      <w:pPr>
        <w:snapToGrid w:val="0"/>
        <w:spacing w:line="360" w:lineRule="auto"/>
        <w:ind w:firstLine="420" w:firstLineChars="200"/>
        <w:rPr>
          <w:rFonts w:hint="eastAsia" w:ascii="楷体" w:hAnsi="楷体" w:eastAsia="楷体" w:cs="楷体"/>
          <w:szCs w:val="21"/>
          <w:u w:val="none"/>
        </w:rPr>
      </w:pPr>
      <w:r>
        <w:rPr>
          <w:rFonts w:hint="eastAsia" w:ascii="楷体" w:hAnsi="楷体" w:eastAsia="楷体" w:cs="楷体"/>
          <w:szCs w:val="21"/>
          <w:u w:val="none"/>
        </w:rPr>
        <w:t>根据对市场利率波动与趋势的判断选取高流动性的金融工具进行波段交易，以期获得交易性收益。</w:t>
      </w:r>
    </w:p>
    <w:p>
      <w:pPr>
        <w:pStyle w:val="3"/>
        <w:keepNext w:val="0"/>
        <w:keepLines w:val="0"/>
        <w:widowControl/>
        <w:numPr>
          <w:ilvl w:val="0"/>
          <w:numId w:val="4"/>
        </w:numPr>
        <w:snapToGrid w:val="0"/>
        <w:spacing w:before="0" w:after="0" w:line="360" w:lineRule="auto"/>
        <w:ind w:firstLine="422" w:firstLineChars="200"/>
        <w:rPr>
          <w:rFonts w:ascii="楷体" w:hAnsi="楷体" w:eastAsia="楷体"/>
          <w:sz w:val="21"/>
          <w:highlight w:val="none"/>
          <w:u w:val="none"/>
        </w:rPr>
      </w:pPr>
      <w:r>
        <w:rPr>
          <w:rFonts w:hint="eastAsia" w:ascii="楷体" w:hAnsi="楷体" w:eastAsia="楷体"/>
          <w:color w:val="000000"/>
          <w:sz w:val="21"/>
          <w:highlight w:val="none"/>
          <w:u w:val="none"/>
        </w:rPr>
        <w:t> 投资限制 </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1.对本产品的</w:t>
      </w:r>
      <w:r>
        <w:rPr>
          <w:rFonts w:hint="eastAsia" w:ascii="楷体" w:hAnsi="楷体" w:eastAsia="楷体" w:cs="楷体"/>
          <w:szCs w:val="21"/>
          <w:highlight w:val="none"/>
          <w:u w:val="none"/>
          <w:lang w:val="en-US" w:eastAsia="zh-CN"/>
        </w:rPr>
        <w:t>投资限制</w:t>
      </w:r>
      <w:r>
        <w:rPr>
          <w:rFonts w:hint="eastAsia" w:ascii="楷体" w:hAnsi="楷体" w:eastAsia="楷体" w:cs="楷体"/>
          <w:szCs w:val="21"/>
          <w:highlight w:val="none"/>
          <w:u w:val="none"/>
        </w:rPr>
        <w:t>如下：</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（1）本理财产品投资于单只证券、单只公募证券投资基金的市值不超过本产品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资产的10%。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2）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rPr>
        <w:t>（3）管理人发行的全部理财产品投资单一上市公司发行的股票不得超过该上市公司可流通股票的30%。</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eastAsia="zh-CN"/>
        </w:rPr>
        <w:t>（</w:t>
      </w:r>
      <w:r>
        <w:rPr>
          <w:rFonts w:hint="eastAsia" w:ascii="楷体" w:hAnsi="楷体" w:eastAsia="楷体" w:cs="楷体"/>
          <w:szCs w:val="21"/>
          <w:highlight w:val="none"/>
          <w:u w:val="none"/>
          <w:lang w:val="en-US" w:eastAsia="zh-CN"/>
        </w:rPr>
        <w:t>4</w:t>
      </w:r>
      <w:r>
        <w:rPr>
          <w:rFonts w:hint="eastAsia" w:ascii="楷体" w:hAnsi="楷体" w:eastAsia="楷体" w:cs="楷体"/>
          <w:szCs w:val="21"/>
          <w:highlight w:val="none"/>
          <w:u w:val="none"/>
          <w:lang w:eastAsia="zh-CN"/>
        </w:rPr>
        <w:t>）本理财产品持有高流动性资产比例不低于本产品净资产的5%。</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 xml:space="preserve">（5）本理财产品直接投资于流动性受限资产的市值在开放日不得超过本产品净资产的 15%。 </w:t>
      </w:r>
    </w:p>
    <w:p>
      <w:pPr>
        <w:snapToGrid w:val="0"/>
        <w:spacing w:line="360" w:lineRule="auto"/>
        <w:ind w:firstLine="420" w:firstLineChars="200"/>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（6）本理财产品投资不存在活跃交易市场并且需要采用估值技术确定公允价值的资产比例不得达到或超过本产品净资产的50%。</w:t>
      </w:r>
    </w:p>
    <w:p>
      <w:pPr>
        <w:snapToGrid w:val="0"/>
        <w:spacing w:line="360" w:lineRule="auto"/>
        <w:ind w:firstLine="420" w:firstLineChars="200"/>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（7）在开放日前一工作日内，本理财产品7个工作日可变现资产的可变现价值应当不低于本产品净资产的10%。</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lang w:val="en-US" w:eastAsia="zh-CN"/>
        </w:rPr>
        <w:t>针对上述第1</w:t>
      </w:r>
      <w:r>
        <w:rPr>
          <w:rFonts w:hint="eastAsia" w:ascii="楷体" w:hAnsi="楷体" w:eastAsia="楷体" w:cs="楷体"/>
          <w:szCs w:val="21"/>
        </w:rPr>
        <w:t>~</w:t>
      </w:r>
      <w:r>
        <w:rPr>
          <w:rFonts w:hint="eastAsia" w:ascii="楷体" w:hAnsi="楷体" w:eastAsia="楷体" w:cs="楷体"/>
          <w:szCs w:val="21"/>
          <w:highlight w:val="none"/>
          <w:u w:val="none"/>
          <w:lang w:val="en-US" w:eastAsia="zh-CN"/>
        </w:rPr>
        <w:t>3项，</w:t>
      </w:r>
      <w:r>
        <w:rPr>
          <w:rFonts w:hint="eastAsia" w:ascii="楷体" w:hAnsi="楷体" w:eastAsia="楷体" w:cs="楷体"/>
          <w:szCs w:val="21"/>
          <w:highlight w:val="none"/>
          <w:u w:val="none"/>
        </w:rPr>
        <w:t>非因管理人主观因素致使不符合前述比例限制的，管理人将在流动性受限资产可出售、可转让或者恢复交易的10个交易日内调整至符合相关要求。</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 xml:space="preserve">针对上述第5项，因证券市场波动、上市公司股票停牌、理财产品规模变动等因素导致理财产品不符合本条规定比例限制的，该理财产品不得主动新增投资流动性受限资产。 </w:t>
      </w:r>
    </w:p>
    <w:p>
      <w:pPr>
        <w:spacing w:line="360" w:lineRule="auto"/>
        <w:ind w:firstLine="420" w:firstLineChars="200"/>
        <w:contextualSpacing/>
        <w:rPr>
          <w:rFonts w:hint="eastAsia" w:ascii="楷体" w:hAnsi="楷体" w:eastAsia="楷体" w:cs="楷体"/>
          <w:szCs w:val="21"/>
          <w:highlight w:val="none"/>
          <w:u w:val="none"/>
          <w:lang w:val="en-US" w:eastAsia="zh-CN"/>
        </w:rPr>
      </w:pPr>
      <w:r>
        <w:rPr>
          <w:rFonts w:hint="eastAsia" w:ascii="楷体" w:hAnsi="楷体" w:eastAsia="楷体" w:cs="楷体"/>
          <w:szCs w:val="21"/>
          <w:highlight w:val="none"/>
          <w:u w:val="none"/>
          <w:lang w:val="en-US" w:eastAsia="zh-CN"/>
        </w:rPr>
        <w:t>针对上述第6项，非因管理人主观因素导致突破前款规定比例限制的,本理财产品不得新增投资上述资产。</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2.本理财产品总资产/理财产品</w:t>
      </w:r>
      <w:r>
        <w:rPr>
          <w:rFonts w:hint="eastAsia" w:ascii="楷体" w:hAnsi="楷体" w:eastAsia="楷体" w:cs="楷体"/>
          <w:szCs w:val="21"/>
          <w:highlight w:val="none"/>
          <w:u w:val="none"/>
          <w:lang w:val="en-US" w:eastAsia="zh-CN"/>
        </w:rPr>
        <w:t>净</w:t>
      </w:r>
      <w:r>
        <w:rPr>
          <w:rFonts w:hint="eastAsia" w:ascii="楷体" w:hAnsi="楷体" w:eastAsia="楷体" w:cs="楷体"/>
          <w:szCs w:val="21"/>
          <w:highlight w:val="none"/>
          <w:u w:val="none"/>
        </w:rPr>
        <w:t>资产不超过140%（如监管有最新规定的参照监管规定调整）。</w:t>
      </w:r>
    </w:p>
    <w:p>
      <w:pPr>
        <w:spacing w:line="360" w:lineRule="auto"/>
        <w:ind w:firstLine="420" w:firstLineChars="200"/>
        <w:contextualSpacing/>
        <w:rPr>
          <w:rFonts w:hint="eastAsia" w:ascii="楷体" w:hAnsi="楷体" w:eastAsia="楷体" w:cs="楷体"/>
          <w:szCs w:val="21"/>
          <w:highlight w:val="none"/>
          <w:u w:val="none"/>
        </w:rPr>
      </w:pPr>
      <w:r>
        <w:rPr>
          <w:rFonts w:hint="eastAsia" w:ascii="楷体" w:hAnsi="楷体" w:eastAsia="楷体" w:cs="楷体"/>
          <w:szCs w:val="21"/>
          <w:highlight w:val="none"/>
          <w:u w:val="none"/>
        </w:rPr>
        <w:t>3.本产品不得直接或间接投资于未上市企业股权及其受（收）益权。</w:t>
      </w:r>
    </w:p>
    <w:p>
      <w:pPr>
        <w:spacing w:line="360" w:lineRule="auto"/>
        <w:ind w:firstLine="420" w:firstLineChars="200"/>
        <w:contextualSpacing/>
        <w:rPr>
          <w:rFonts w:hint="eastAsia" w:ascii="楷体" w:hAnsi="楷体" w:eastAsia="楷体" w:cs="楷体"/>
          <w:b w:val="0"/>
          <w:bCs w:val="0"/>
          <w:color w:val="000000"/>
          <w:highlight w:val="none"/>
          <w:u w:val="none"/>
        </w:rPr>
      </w:pPr>
      <w:r>
        <w:rPr>
          <w:rFonts w:hint="eastAsia" w:ascii="楷体" w:hAnsi="楷体" w:eastAsia="楷体" w:cs="楷体"/>
          <w:b w:val="0"/>
          <w:bCs w:val="0"/>
          <w:szCs w:val="21"/>
          <w:highlight w:val="none"/>
          <w:u w:val="none"/>
        </w:rPr>
        <w:t>4.相关法律法规和监管部门对以上投资范围和配置比例有另行规定的，按照监管最新规定执行。</w:t>
      </w:r>
    </w:p>
    <w:bookmarkEnd w:id="12"/>
    <w:p>
      <w:pPr>
        <w:pStyle w:val="2"/>
        <w:spacing w:before="120" w:after="120" w:line="240" w:lineRule="auto"/>
        <w:rPr>
          <w:rFonts w:ascii="楷体" w:hAnsi="楷体" w:eastAsia="楷体"/>
          <w:sz w:val="28"/>
          <w:szCs w:val="28"/>
          <w:highlight w:val="none"/>
          <w:u w:val="none"/>
        </w:rPr>
      </w:pPr>
      <w:r>
        <w:rPr>
          <w:rFonts w:hint="eastAsia" w:ascii="楷体" w:hAnsi="楷体" w:eastAsia="楷体"/>
          <w:sz w:val="28"/>
          <w:szCs w:val="28"/>
          <w:highlight w:val="none"/>
          <w:u w:val="none"/>
          <w:lang w:val="en-US" w:eastAsia="zh-CN"/>
        </w:rPr>
        <w:t>五</w:t>
      </w:r>
      <w:r>
        <w:rPr>
          <w:rFonts w:ascii="楷体" w:hAnsi="楷体" w:eastAsia="楷体"/>
          <w:sz w:val="28"/>
          <w:szCs w:val="28"/>
          <w:highlight w:val="none"/>
          <w:u w:val="none"/>
        </w:rPr>
        <w:t>、</w:t>
      </w:r>
      <w:r>
        <w:rPr>
          <w:rFonts w:hint="eastAsia" w:ascii="楷体" w:hAnsi="楷体" w:eastAsia="楷体"/>
          <w:sz w:val="28"/>
          <w:szCs w:val="28"/>
          <w:highlight w:val="none"/>
          <w:u w:val="none"/>
        </w:rPr>
        <w:t>产品认购、申购和赎回</w:t>
      </w:r>
    </w:p>
    <w:p>
      <w:pPr>
        <w:pStyle w:val="3"/>
        <w:spacing w:before="0" w:after="0" w:line="360" w:lineRule="auto"/>
        <w:ind w:firstLine="422" w:firstLineChars="200"/>
        <w:rPr>
          <w:rFonts w:hint="eastAsia" w:ascii="楷体" w:hAnsi="楷体" w:eastAsia="楷体" w:cs="楷体"/>
          <w:sz w:val="21"/>
          <w:highlight w:val="none"/>
          <w:u w:val="none"/>
        </w:rPr>
      </w:pPr>
      <w:r>
        <w:rPr>
          <w:rFonts w:hint="eastAsia" w:ascii="楷体" w:hAnsi="楷体" w:eastAsia="楷体" w:cs="楷体"/>
          <w:sz w:val="21"/>
          <w:highlight w:val="none"/>
          <w:u w:val="none"/>
        </w:rPr>
        <w:t>（一）理财产品认购</w:t>
      </w:r>
    </w:p>
    <w:p>
      <w:pPr>
        <w:spacing w:line="360" w:lineRule="auto"/>
        <w:ind w:firstLine="420" w:firstLineChars="200"/>
        <w:contextualSpacing/>
        <w:outlineLvl w:val="2"/>
        <w:rPr>
          <w:rFonts w:hint="eastAsia" w:ascii="楷体" w:hAnsi="楷体" w:eastAsia="楷体" w:cs="楷体"/>
          <w:b w:val="0"/>
          <w:bCs w:val="0"/>
          <w:szCs w:val="21"/>
          <w:highlight w:val="none"/>
          <w:u w:val="none"/>
          <w:lang w:val="en-US" w:eastAsia="zh-CN"/>
        </w:rPr>
      </w:pPr>
      <w:r>
        <w:rPr>
          <w:rFonts w:hint="eastAsia" w:ascii="楷体" w:hAnsi="楷体" w:eastAsia="楷体" w:cs="楷体"/>
          <w:b w:val="0"/>
          <w:bCs w:val="0"/>
          <w:szCs w:val="21"/>
          <w:highlight w:val="none"/>
          <w:u w:val="none"/>
        </w:rPr>
        <w:t>1.</w:t>
      </w:r>
      <w:r>
        <w:rPr>
          <w:rFonts w:hint="eastAsia" w:ascii="楷体" w:hAnsi="楷体" w:eastAsia="楷体" w:cs="楷体"/>
          <w:b w:val="0"/>
          <w:bCs w:val="0"/>
          <w:szCs w:val="21"/>
          <w:highlight w:val="none"/>
          <w:u w:val="none"/>
          <w:lang w:val="en-US" w:eastAsia="zh-CN"/>
        </w:rPr>
        <w:t>认购期</w:t>
      </w:r>
    </w:p>
    <w:p>
      <w:pPr>
        <w:spacing w:line="360" w:lineRule="auto"/>
        <w:ind w:firstLine="420" w:firstLineChars="200"/>
        <w:contextualSpacing/>
        <w:rPr>
          <w:rFonts w:hint="eastAsia" w:ascii="楷体" w:hAnsi="楷体" w:eastAsia="楷体" w:cs="楷体"/>
          <w:b/>
          <w:bCs/>
          <w:color w:val="auto"/>
          <w:szCs w:val="21"/>
          <w:u w:val="none"/>
          <w:lang w:val="en-US" w:eastAsia="zh-CN"/>
        </w:rPr>
      </w:pPr>
      <w:r>
        <w:rPr>
          <w:rFonts w:hint="eastAsia" w:ascii="楷体" w:hAnsi="楷体" w:eastAsia="楷体" w:cs="楷体"/>
          <w:b w:val="0"/>
          <w:bCs w:val="0"/>
          <w:color w:val="auto"/>
          <w:highlight w:val="none"/>
          <w:u w:val="none"/>
          <w:lang w:val="en-US" w:eastAsia="zh-CN"/>
        </w:rPr>
        <w:t>本产品认购期为</w:t>
      </w:r>
      <w:r>
        <w:rPr>
          <w:rFonts w:hint="eastAsia" w:ascii="楷体" w:hAnsi="楷体" w:eastAsia="楷体" w:cs="楷体"/>
          <w:b w:val="0"/>
          <w:bCs w:val="0"/>
          <w:color w:val="auto"/>
          <w:highlight w:val="none"/>
          <w:u w:val="none"/>
          <w:lang w:eastAsia="zh-CN"/>
        </w:rPr>
        <w:t>【2024】</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【11】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【01】</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【08:00】</w:t>
      </w:r>
      <w:r>
        <w:rPr>
          <w:rFonts w:hint="eastAsia" w:ascii="楷体" w:hAnsi="楷体" w:eastAsia="楷体" w:cs="楷体"/>
          <w:b w:val="0"/>
          <w:bCs w:val="0"/>
          <w:color w:val="auto"/>
          <w:highlight w:val="none"/>
          <w:u w:val="none"/>
        </w:rPr>
        <w:t>至</w:t>
      </w:r>
      <w:r>
        <w:rPr>
          <w:rFonts w:hint="eastAsia" w:ascii="楷体" w:hAnsi="楷体" w:eastAsia="楷体" w:cs="楷体"/>
          <w:b w:val="0"/>
          <w:bCs w:val="0"/>
          <w:color w:val="auto"/>
          <w:highlight w:val="none"/>
          <w:u w:val="none"/>
          <w:lang w:eastAsia="zh-CN"/>
        </w:rPr>
        <w:t>【2024】</w:t>
      </w:r>
      <w:r>
        <w:rPr>
          <w:rFonts w:hint="eastAsia" w:ascii="楷体" w:hAnsi="楷体" w:eastAsia="楷体" w:cs="楷体"/>
          <w:b w:val="0"/>
          <w:bCs w:val="0"/>
          <w:color w:val="auto"/>
          <w:highlight w:val="none"/>
          <w:u w:val="none"/>
        </w:rPr>
        <w:t>年</w:t>
      </w:r>
      <w:r>
        <w:rPr>
          <w:rFonts w:hint="eastAsia" w:ascii="楷体" w:hAnsi="楷体" w:eastAsia="楷体" w:cs="楷体"/>
          <w:b w:val="0"/>
          <w:bCs w:val="0"/>
          <w:color w:val="auto"/>
          <w:highlight w:val="none"/>
          <w:u w:val="none"/>
          <w:lang w:eastAsia="zh-CN"/>
        </w:rPr>
        <w:t>【11】</w:t>
      </w:r>
      <w:r>
        <w:rPr>
          <w:rFonts w:hint="eastAsia" w:ascii="楷体" w:hAnsi="楷体" w:eastAsia="楷体" w:cs="楷体"/>
          <w:b w:val="0"/>
          <w:bCs w:val="0"/>
          <w:color w:val="auto"/>
          <w:highlight w:val="none"/>
          <w:u w:val="none"/>
        </w:rPr>
        <w:t>月</w:t>
      </w:r>
      <w:r>
        <w:rPr>
          <w:rFonts w:hint="eastAsia" w:ascii="楷体" w:hAnsi="楷体" w:eastAsia="楷体" w:cs="楷体"/>
          <w:b w:val="0"/>
          <w:bCs w:val="0"/>
          <w:color w:val="auto"/>
          <w:highlight w:val="none"/>
          <w:u w:val="none"/>
          <w:lang w:eastAsia="zh-CN"/>
        </w:rPr>
        <w:t>【04】</w:t>
      </w:r>
      <w:r>
        <w:rPr>
          <w:rFonts w:hint="eastAsia" w:ascii="楷体" w:hAnsi="楷体" w:eastAsia="楷体" w:cs="楷体"/>
          <w:b w:val="0"/>
          <w:bCs w:val="0"/>
          <w:color w:val="auto"/>
          <w:highlight w:val="none"/>
          <w:u w:val="none"/>
        </w:rPr>
        <w:t>日</w:t>
      </w:r>
      <w:r>
        <w:rPr>
          <w:rFonts w:hint="eastAsia" w:ascii="楷体" w:hAnsi="楷体" w:eastAsia="楷体" w:cs="楷体"/>
          <w:b w:val="0"/>
          <w:bCs w:val="0"/>
          <w:color w:val="auto"/>
          <w:highlight w:val="none"/>
          <w:u w:val="none"/>
          <w:lang w:eastAsia="zh-CN"/>
        </w:rPr>
        <w:t>【16:00】。</w:t>
      </w:r>
      <w:r>
        <w:rPr>
          <w:rFonts w:hint="eastAsia" w:ascii="楷体" w:hAnsi="楷体" w:eastAsia="楷体" w:cs="楷体"/>
          <w:b/>
          <w:bCs/>
          <w:color w:val="auto"/>
          <w:highlight w:val="none"/>
          <w:u w:val="none"/>
        </w:rPr>
        <w:t>销售机构实际受理时间可能与</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产品说明书</w:t>
      </w:r>
      <w:r>
        <w:rPr>
          <w:rFonts w:hint="eastAsia" w:ascii="楷体" w:hAnsi="楷体" w:eastAsia="楷体" w:cs="楷体"/>
          <w:b/>
          <w:bCs/>
          <w:color w:val="auto"/>
          <w:highlight w:val="none"/>
          <w:u w:val="none"/>
          <w:lang w:eastAsia="zh-CN"/>
        </w:rPr>
        <w:t>》</w:t>
      </w:r>
      <w:r>
        <w:rPr>
          <w:rFonts w:hint="eastAsia" w:ascii="楷体" w:hAnsi="楷体" w:eastAsia="楷体" w:cs="楷体"/>
          <w:b/>
          <w:bCs/>
          <w:color w:val="auto"/>
          <w:highlight w:val="none"/>
          <w:u w:val="none"/>
        </w:rPr>
        <w:t>不一致，具体以销售机构</w:t>
      </w:r>
      <w:r>
        <w:rPr>
          <w:rFonts w:hint="eastAsia" w:ascii="楷体" w:hAnsi="楷体" w:eastAsia="楷体" w:cs="楷体"/>
          <w:b/>
          <w:bCs/>
          <w:color w:val="auto"/>
          <w:highlight w:val="none"/>
          <w:u w:val="none"/>
          <w:lang w:val="en-US" w:eastAsia="zh-CN"/>
        </w:rPr>
        <w:t>规则</w:t>
      </w:r>
      <w:r>
        <w:rPr>
          <w:rFonts w:hint="eastAsia" w:ascii="楷体" w:hAnsi="楷体" w:eastAsia="楷体" w:cs="楷体"/>
          <w:b/>
          <w:bCs/>
          <w:color w:val="auto"/>
          <w:highlight w:val="none"/>
          <w:u w:val="none"/>
        </w:rPr>
        <w:t>为准。管理人可在认购期内公告延长或提前终止产品认购期，实际认购</w:t>
      </w:r>
      <w:r>
        <w:rPr>
          <w:rFonts w:hint="eastAsia" w:ascii="楷体" w:hAnsi="楷体" w:eastAsia="楷体" w:cs="楷体"/>
          <w:b/>
          <w:bCs/>
          <w:color w:val="auto"/>
          <w:u w:val="none"/>
        </w:rPr>
        <w:t>期以管理人公告为准。</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2.认购价格</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本产品初始</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净值为1元人民币/份。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产品最低发行规模为</w:t>
      </w:r>
      <w:r>
        <w:rPr>
          <w:rFonts w:hint="eastAsia" w:ascii="楷体" w:hAnsi="楷体" w:eastAsia="楷体" w:cs="楷体"/>
          <w:b w:val="0"/>
          <w:bCs w:val="0"/>
          <w:i w:val="0"/>
          <w:iCs w:val="0"/>
          <w:color w:val="auto"/>
          <w:szCs w:val="21"/>
          <w:u w:val="none"/>
          <w:lang w:eastAsia="zh-CN"/>
        </w:rPr>
        <w:t>【1.00万元】</w:t>
      </w:r>
      <w:r>
        <w:rPr>
          <w:rFonts w:hint="eastAsia" w:ascii="楷体" w:hAnsi="楷体" w:eastAsia="楷体" w:cs="楷体"/>
          <w:b w:val="0"/>
          <w:bCs w:val="0"/>
          <w:color w:val="auto"/>
          <w:szCs w:val="21"/>
          <w:u w:val="none"/>
        </w:rPr>
        <w:t>，如认购金额不足</w:t>
      </w:r>
      <w:r>
        <w:rPr>
          <w:rFonts w:hint="eastAsia" w:ascii="楷体" w:hAnsi="楷体" w:eastAsia="楷体" w:cs="楷体"/>
          <w:b w:val="0"/>
          <w:bCs w:val="0"/>
          <w:color w:val="auto"/>
          <w:szCs w:val="21"/>
          <w:u w:val="none"/>
          <w:lang w:eastAsia="zh-CN"/>
        </w:rPr>
        <w:t>【1.00万元】</w:t>
      </w:r>
      <w:r>
        <w:rPr>
          <w:rFonts w:hint="eastAsia" w:ascii="楷体" w:hAnsi="楷体" w:eastAsia="楷体" w:cs="楷体"/>
          <w:b w:val="0"/>
          <w:bCs w:val="0"/>
          <w:color w:val="auto"/>
          <w:szCs w:val="21"/>
          <w:u w:val="none"/>
        </w:rPr>
        <w:t>，管理人有权宣布理财产品不成立。</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，认购期届满前，如产品发行规模达到规模上限，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受理该份额的认购申请。</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4.认购金额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在理财产品认购期内，本理财产品客户首次认购的最低金额为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i w:val="0"/>
          <w:iCs w:val="0"/>
          <w:color w:val="auto"/>
          <w:szCs w:val="21"/>
          <w:u w:val="none"/>
        </w:rPr>
        <w:t>的整数倍</w:t>
      </w:r>
      <w:r>
        <w:rPr>
          <w:rFonts w:hint="eastAsia" w:ascii="楷体" w:hAnsi="楷体" w:eastAsia="楷体" w:cs="楷体"/>
          <w:b w:val="0"/>
          <w:bCs w:val="0"/>
          <w:color w:val="auto"/>
          <w:szCs w:val="21"/>
          <w:u w:val="none"/>
        </w:rPr>
        <w:t>。最低追加认购金额为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b w:val="0"/>
          <w:bCs w:val="0"/>
          <w:color w:val="auto"/>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5.认购费用</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本理财产品认购费率：</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2"/>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2"/>
          <w:u w:val="none"/>
          <w:lang w:val="en-US" w:eastAsia="zh-CN"/>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由投资者承担并于认购份额时一次性支付。</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认购数量限制</w:t>
      </w:r>
    </w:p>
    <w:p>
      <w:pPr>
        <w:spacing w:line="360" w:lineRule="auto"/>
        <w:ind w:firstLine="420" w:firstLineChars="200"/>
        <w:contextualSpacing/>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.认购方式及确认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（1）本理财产品采取金额认购的方式。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销售机构受理认购申请并不表示对该申请成功的确认，而仅代表其收到了认购申请，申请是否有效应以管理人的确认为准。具体而言，投资者按规定提交认购申请、全额交付款项并经销售机构成功冻结或预扣的，认购申请成立；如管理人在认购</w:t>
      </w:r>
      <w:r>
        <w:rPr>
          <w:rFonts w:hint="eastAsia" w:ascii="楷体" w:hAnsi="楷体" w:eastAsia="楷体" w:cs="楷体"/>
          <w:b w:val="0"/>
          <w:bCs w:val="0"/>
          <w:color w:val="auto"/>
          <w:szCs w:val="21"/>
          <w:u w:val="none"/>
          <w:lang w:val="en-US" w:eastAsia="zh-CN"/>
        </w:rPr>
        <w:t>确认</w:t>
      </w:r>
      <w:r>
        <w:rPr>
          <w:rFonts w:hint="eastAsia" w:ascii="楷体" w:hAnsi="楷体" w:eastAsia="楷体" w:cs="楷体"/>
          <w:b w:val="0"/>
          <w:bCs w:val="0"/>
          <w:color w:val="auto"/>
          <w:szCs w:val="21"/>
          <w:u w:val="none"/>
        </w:rPr>
        <w:t>日根据投资者的认购申请为投资者成功登记认购份额，则视为投资者的认购申请生效，并以管理人的登记记录为准。投资者应在本理财产品成立后及时查询最终成交确认情况和认购的份额。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（3）认购撤单</w:t>
      </w:r>
    </w:p>
    <w:p>
      <w:pPr>
        <w:spacing w:line="360" w:lineRule="auto"/>
        <w:ind w:firstLine="420" w:firstLineChars="200"/>
        <w:contextualSpacing/>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 w:val="21"/>
          <w:szCs w:val="21"/>
          <w:highlight w:val="none"/>
          <w:u w:val="none"/>
        </w:rPr>
        <w:t>投资者可通过销售机构和管理人认可的方式办理撤销本理财</w:t>
      </w:r>
      <w:r>
        <w:rPr>
          <w:rFonts w:hint="eastAsia" w:ascii="楷体" w:hAnsi="楷体" w:eastAsia="楷体" w:cs="楷体"/>
          <w:b w:val="0"/>
          <w:bCs w:val="0"/>
          <w:color w:val="auto"/>
          <w:sz w:val="21"/>
          <w:szCs w:val="21"/>
          <w:highlight w:val="none"/>
          <w:u w:val="none"/>
          <w:lang w:val="en-US" w:eastAsia="zh-CN"/>
        </w:rPr>
        <w:t>产品</w:t>
      </w:r>
      <w:r>
        <w:rPr>
          <w:rFonts w:hint="eastAsia" w:ascii="楷体" w:hAnsi="楷体" w:eastAsia="楷体" w:cs="楷体"/>
          <w:b w:val="0"/>
          <w:bCs w:val="0"/>
          <w:color w:val="auto"/>
          <w:sz w:val="21"/>
          <w:szCs w:val="21"/>
          <w:highlight w:val="none"/>
          <w:u w:val="none"/>
        </w:rPr>
        <w:t>份额，</w:t>
      </w:r>
      <w:r>
        <w:rPr>
          <w:rFonts w:hint="eastAsia" w:ascii="楷体" w:hAnsi="楷体" w:eastAsia="楷体" w:cs="楷体"/>
          <w:b w:val="0"/>
          <w:bCs w:val="0"/>
          <w:color w:val="auto"/>
          <w:szCs w:val="21"/>
          <w:highlight w:val="none"/>
          <w:u w:val="none"/>
        </w:rPr>
        <w:t>投资者在认购期内的撤单规则，以销售机构受理规则为准。</w:t>
      </w:r>
    </w:p>
    <w:p>
      <w:pPr>
        <w:spacing w:line="360" w:lineRule="auto"/>
        <w:ind w:firstLine="420" w:firstLineChars="200"/>
        <w:contextualSpacing/>
        <w:rPr>
          <w:rFonts w:hint="eastAsia" w:ascii="楷体" w:hAnsi="楷体" w:eastAsia="楷体" w:cs="楷体"/>
          <w:b/>
          <w:bCs/>
          <w:szCs w:val="21"/>
          <w:highlight w:val="none"/>
          <w:u w:val="none"/>
        </w:rPr>
      </w:pPr>
      <w:r>
        <w:rPr>
          <w:rFonts w:hint="eastAsia" w:ascii="楷体" w:hAnsi="楷体" w:eastAsia="楷体" w:cs="楷体"/>
          <w:b w:val="0"/>
          <w:bCs w:val="0"/>
          <w:szCs w:val="21"/>
          <w:highlight w:val="none"/>
          <w:u w:val="none"/>
        </w:rPr>
        <w:t>（4）投资者在募集期内认购本理财产品被受理后，销售机构有权冻结或预扣认购款项，</w:t>
      </w:r>
      <w:r>
        <w:rPr>
          <w:rFonts w:hint="eastAsia" w:ascii="楷体" w:hAnsi="楷体" w:eastAsia="楷体" w:cs="楷体"/>
          <w:b/>
          <w:bCs/>
          <w:szCs w:val="21"/>
          <w:highlight w:val="none"/>
          <w:u w:val="none"/>
        </w:rPr>
        <w:t>冻结或预扣期间管理人不向投资者计付利息，销售机构是否计付利息以销售机构计息规则为准</w:t>
      </w:r>
      <w:r>
        <w:rPr>
          <w:rFonts w:hint="eastAsia" w:ascii="楷体" w:hAnsi="楷体" w:eastAsia="楷体" w:cs="楷体"/>
          <w:b/>
          <w:bCs/>
          <w:szCs w:val="21"/>
          <w:highlight w:val="none"/>
          <w:u w:val="none"/>
          <w:lang w:eastAsia="zh-CN"/>
        </w:rPr>
        <w:t>，</w:t>
      </w:r>
      <w:r>
        <w:rPr>
          <w:rFonts w:hint="eastAsia" w:ascii="楷体" w:hAnsi="楷体" w:eastAsia="楷体" w:cs="楷体"/>
          <w:b/>
          <w:bCs/>
          <w:highlight w:val="none"/>
          <w:u w:val="none"/>
        </w:rPr>
        <w:t>利息部分不计入认购本金</w:t>
      </w:r>
      <w:r>
        <w:rPr>
          <w:rFonts w:hint="eastAsia" w:ascii="楷体" w:hAnsi="楷体" w:eastAsia="楷体" w:cs="楷体"/>
          <w:b/>
          <w:bCs/>
          <w:szCs w:val="21"/>
          <w:highlight w:val="none"/>
          <w:u w:val="none"/>
        </w:rPr>
        <w:t>。</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8</w:t>
      </w:r>
      <w:r>
        <w:rPr>
          <w:rFonts w:hint="eastAsia" w:ascii="楷体" w:hAnsi="楷体" w:eastAsia="楷体" w:cs="楷体"/>
          <w:b w:val="0"/>
          <w:bCs w:val="0"/>
          <w:szCs w:val="21"/>
          <w:u w:val="none"/>
        </w:rPr>
        <w:t>.认购份额的计算</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本理财产品认购份额的具体计算方法如下：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认购份额＝认购金额÷（1+认购费率）÷产品初始</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认购份额采用四舍五入法保留至小数点后2位。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示例：</w:t>
      </w:r>
      <w:r>
        <w:rPr>
          <w:rFonts w:hint="eastAsia" w:ascii="楷体" w:hAnsi="楷体" w:eastAsia="楷体" w:cs="楷体"/>
          <w:b w:val="0"/>
          <w:bCs w:val="0"/>
          <w:color w:val="auto"/>
          <w:szCs w:val="22"/>
          <w:u w:val="none"/>
          <w:lang w:val="en-US" w:eastAsia="zh-CN"/>
        </w:rPr>
        <w:t>【假定某投资者投资100元人民币认购本理财产品，认购费率为0.00%，则其可得到的认购份额计算如下：</w:t>
      </w:r>
      <w:r>
        <w:rPr>
          <w:rFonts w:hint="eastAsia" w:ascii="楷体" w:hAnsi="楷体" w:eastAsia="楷体" w:cs="楷体"/>
          <w:b w:val="0"/>
          <w:bCs w:val="0"/>
          <w:color w:val="auto"/>
          <w:szCs w:val="22"/>
          <w:u w:val="none"/>
          <w:lang w:val="en-US" w:eastAsia="zh-CN"/>
        </w:rPr>
        <w:br w:type="textWrapping"/>
      </w:r>
      <w:r>
        <w:rPr>
          <w:rFonts w:hint="eastAsia" w:ascii="楷体" w:hAnsi="楷体" w:eastAsia="楷体" w:cs="楷体"/>
          <w:b w:val="0"/>
          <w:bCs w:val="0"/>
          <w:color w:val="auto"/>
          <w:szCs w:val="22"/>
          <w:u w:val="none"/>
          <w:lang w:val="en-US" w:eastAsia="zh-CN"/>
        </w:rPr>
        <w:t xml:space="preserve">    认购份额＝100÷（1+0.00%）÷1.00元/份＝100.00份】</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（二）理财产品申购、赎回</w:t>
      </w:r>
    </w:p>
    <w:p>
      <w:pPr>
        <w:spacing w:line="360" w:lineRule="auto"/>
        <w:ind w:firstLine="420" w:firstLineChars="200"/>
        <w:contextualSpacing/>
        <w:outlineLvl w:val="2"/>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1.产品开放日</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【在理财产品存续期内，除投资封闭期外每一自然日为产品开放日】</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rPr>
        <w:t>管理人将在产品开放日受理本理财产品的申购申请</w:t>
      </w:r>
      <w:r>
        <w:rPr>
          <w:rFonts w:hint="eastAsia" w:ascii="楷体" w:hAnsi="楷体" w:eastAsia="楷体" w:cs="楷体"/>
          <w:b w:val="0"/>
          <w:bCs w:val="0"/>
          <w:color w:val="auto"/>
          <w:u w:val="none"/>
          <w:lang w:eastAsia="zh-CN"/>
        </w:rPr>
        <w:t>。</w:t>
      </w:r>
      <w:r>
        <w:rPr>
          <w:rFonts w:hint="eastAsia" w:ascii="楷体" w:hAnsi="楷体" w:eastAsia="楷体" w:cs="楷体"/>
          <w:b w:val="0"/>
          <w:bCs w:val="0"/>
          <w:color w:val="auto"/>
          <w:szCs w:val="21"/>
          <w:u w:val="none"/>
          <w:lang w:val="en-US" w:eastAsia="zh-CN"/>
        </w:rPr>
        <w:t>在理财产品存续期内，管理人有权根据市场情况变化暂停本理财产品的申购，暂停公告通过《产品说明书》“信息披露”约定的方式向投资者披露。</w:t>
      </w:r>
    </w:p>
    <w:p>
      <w:pPr>
        <w:spacing w:line="360" w:lineRule="auto"/>
        <w:ind w:firstLine="420" w:firstLineChars="200"/>
        <w:contextualSpacing/>
        <w:outlineLvl w:val="2"/>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2.最短持有期</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本理财产品对投资者的每笔有效认/申购设置</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个自然日的最短持有期限。</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最短持有期起始日即认/申购对应的成立日/确认日，每笔理财产品份额从最短持有期起始日起，至其后第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个自然日（不含）内，投资者不能提出赎回申请。</w:t>
      </w:r>
    </w:p>
    <w:p>
      <w:pPr>
        <w:numPr>
          <w:ilvl w:val="12"/>
          <w:numId w:val="0"/>
        </w:numPr>
        <w:spacing w:line="360" w:lineRule="auto"/>
        <w:ind w:firstLine="420" w:firstLineChars="200"/>
        <w:contextualSpacing/>
        <w:rPr>
          <w:rFonts w:hint="eastAsia" w:ascii="楷体" w:hAnsi="楷体" w:eastAsia="楷体" w:cs="楷体"/>
          <w:szCs w:val="21"/>
          <w:u w:val="none"/>
        </w:rPr>
      </w:pPr>
      <w:r>
        <w:rPr>
          <w:rFonts w:hint="eastAsia" w:ascii="楷体" w:hAnsi="楷体" w:eastAsia="楷体" w:cs="楷体"/>
          <w:szCs w:val="21"/>
          <w:u w:val="none"/>
        </w:rPr>
        <w:t>最短持有期结束日为最短持有期起始日后的第</w:t>
      </w:r>
      <w:r>
        <w:rPr>
          <w:rFonts w:hint="eastAsia" w:ascii="楷体" w:hAnsi="楷体" w:eastAsia="楷体" w:cs="楷体"/>
          <w:b w:val="0"/>
          <w:bCs w:val="0"/>
          <w:color w:val="auto"/>
          <w:u w:val="none"/>
          <w:lang w:eastAsia="zh-CN"/>
        </w:rPr>
        <w:t>【90】</w:t>
      </w:r>
      <w:r>
        <w:rPr>
          <w:rFonts w:hint="eastAsia" w:ascii="楷体" w:hAnsi="楷体" w:eastAsia="楷体" w:cs="楷体"/>
          <w:szCs w:val="21"/>
          <w:u w:val="none"/>
        </w:rPr>
        <w:t>个自然日（如遇非</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则顺延至下一个</w:t>
      </w:r>
      <w:r>
        <w:rPr>
          <w:rFonts w:hint="eastAsia" w:ascii="楷体" w:hAnsi="楷体" w:eastAsia="楷体" w:cs="楷体"/>
          <w:b w:val="0"/>
          <w:bCs w:val="0"/>
          <w:color w:val="auto"/>
          <w:u w:val="none"/>
          <w:lang w:eastAsia="zh-CN"/>
        </w:rPr>
        <w:t>【交易日】</w:t>
      </w:r>
      <w:r>
        <w:rPr>
          <w:rFonts w:hint="eastAsia" w:ascii="楷体" w:hAnsi="楷体" w:eastAsia="楷体" w:cs="楷体"/>
          <w:szCs w:val="21"/>
          <w:u w:val="none"/>
        </w:rPr>
        <w:t>），从最短持有期结束日当日（含）起，投资者可以提出赎回申请。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产品规模</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产品发行规模上限为</w:t>
      </w:r>
      <w:r>
        <w:rPr>
          <w:rFonts w:hint="eastAsia" w:ascii="楷体" w:hAnsi="楷体" w:eastAsia="楷体" w:cs="楷体"/>
          <w:b w:val="0"/>
          <w:bCs w:val="0"/>
          <w:color w:val="auto"/>
          <w:szCs w:val="21"/>
          <w:u w:val="none"/>
          <w:lang w:eastAsia="zh-CN"/>
        </w:rPr>
        <w:t>【200.00亿元】</w:t>
      </w:r>
      <w:r>
        <w:rPr>
          <w:rFonts w:hint="eastAsia" w:ascii="楷体" w:hAnsi="楷体" w:eastAsia="楷体" w:cs="楷体"/>
          <w:b w:val="0"/>
          <w:bCs w:val="0"/>
          <w:color w:val="auto"/>
          <w:szCs w:val="21"/>
          <w:u w:val="none"/>
        </w:rPr>
        <w:t>，如产品发行规模达到规模上限，</w:t>
      </w:r>
      <w:r>
        <w:rPr>
          <w:rFonts w:hint="eastAsia" w:ascii="楷体" w:hAnsi="楷体" w:eastAsia="楷体" w:cs="楷体"/>
          <w:b w:val="0"/>
          <w:bCs w:val="0"/>
          <w:color w:val="auto"/>
          <w:u w:val="none"/>
        </w:rPr>
        <w:t>管理人有权暂停</w:t>
      </w:r>
      <w:r>
        <w:rPr>
          <w:rFonts w:hint="eastAsia" w:ascii="楷体" w:hAnsi="楷体" w:eastAsia="楷体" w:cs="楷体"/>
          <w:b w:val="0"/>
          <w:bCs w:val="0"/>
          <w:color w:val="auto"/>
          <w:szCs w:val="21"/>
          <w:u w:val="none"/>
        </w:rPr>
        <w:t>受理该产品的申购申请。</w:t>
      </w:r>
      <w:r>
        <w:rPr>
          <w:rFonts w:hint="eastAsia" w:ascii="楷体" w:hAnsi="楷体" w:eastAsia="楷体" w:cs="楷体"/>
          <w:b w:val="0"/>
          <w:bCs w:val="0"/>
          <w:color w:val="auto"/>
          <w:u w:val="none"/>
        </w:rPr>
        <w:t>管理人有权对本理财产品规模上限进行调整。</w:t>
      </w:r>
      <w:r>
        <w:rPr>
          <w:rFonts w:hint="eastAsia" w:ascii="楷体" w:hAnsi="楷体" w:eastAsia="楷体" w:cs="楷体"/>
          <w:b/>
          <w:bCs/>
        </w:rPr>
        <w:t>销售机构实际</w:t>
      </w:r>
      <w:r>
        <w:rPr>
          <w:rFonts w:hint="eastAsia" w:ascii="楷体" w:hAnsi="楷体" w:eastAsia="楷体" w:cs="楷体"/>
          <w:b/>
          <w:bCs/>
          <w:lang w:val="en-US" w:eastAsia="zh-CN"/>
        </w:rPr>
        <w:t>销售规模限制</w:t>
      </w:r>
      <w:r>
        <w:rPr>
          <w:rFonts w:hint="eastAsia" w:ascii="楷体" w:hAnsi="楷体" w:eastAsia="楷体" w:cs="楷体"/>
          <w:b/>
          <w:bCs/>
        </w:rPr>
        <w:t>可能与《产品说明书》不一致，具体以销售机构</w:t>
      </w:r>
      <w:r>
        <w:rPr>
          <w:rFonts w:hint="eastAsia" w:ascii="楷体" w:hAnsi="楷体" w:eastAsia="楷体" w:cs="楷体"/>
          <w:b/>
          <w:bCs/>
          <w:color w:val="000000" w:themeColor="text1"/>
          <w14:textFill>
            <w14:solidFill>
              <w14:schemeClr w14:val="tx1"/>
            </w14:solidFill>
          </w14:textFill>
        </w:rPr>
        <w:t>规则为准</w:t>
      </w:r>
      <w:r>
        <w:rPr>
          <w:rFonts w:hint="eastAsia" w:ascii="楷体" w:hAnsi="楷体" w:eastAsia="楷体" w:cs="楷体"/>
          <w:b/>
          <w:bCs/>
        </w:rPr>
        <w:t>。</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rPr>
        <w:t>.申购/赎回规则</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（1）投资者赎回本理财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时，管理人不承诺保证本金，也不承诺任何收益</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投资者申购、赎回本理财产品时，采用“未知价”原则，即本理财产品申购和赎回价格为对应确认日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w:t>
      </w:r>
      <w:r>
        <w:rPr>
          <w:rFonts w:hint="eastAsia" w:ascii="楷体" w:hAnsi="楷体" w:eastAsia="楷体" w:cs="楷体"/>
          <w:b w:val="0"/>
          <w:bCs w:val="0"/>
          <w:color w:val="auto"/>
          <w:szCs w:val="21"/>
          <w:u w:val="none"/>
          <w:lang w:val="en-US" w:eastAsia="zh-CN"/>
        </w:rPr>
        <w:t>理财</w:t>
      </w:r>
      <w:r>
        <w:rPr>
          <w:rFonts w:hint="eastAsia" w:ascii="楷体" w:hAnsi="楷体" w:eastAsia="楷体" w:cs="楷体"/>
          <w:b w:val="0"/>
          <w:bCs w:val="0"/>
          <w:color w:val="auto"/>
          <w:szCs w:val="21"/>
          <w:u w:val="none"/>
        </w:rPr>
        <w:t>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净值的公布详见</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产品说明书</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“理财产品估值”。</w:t>
      </w:r>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rPr>
        <w:t>）本理财</w:t>
      </w:r>
      <w:r>
        <w:rPr>
          <w:rFonts w:hint="eastAsia" w:ascii="楷体" w:hAnsi="楷体" w:eastAsia="楷体" w:cs="楷体"/>
          <w:b w:val="0"/>
          <w:bCs w:val="0"/>
          <w:color w:val="auto"/>
          <w:szCs w:val="21"/>
          <w:u w:val="none"/>
          <w:lang w:val="en-US" w:eastAsia="zh-CN"/>
        </w:rPr>
        <w:t>产品</w:t>
      </w:r>
      <w:r>
        <w:rPr>
          <w:rFonts w:hint="eastAsia" w:ascii="楷体" w:hAnsi="楷体" w:eastAsia="楷体" w:cs="楷体"/>
          <w:b w:val="0"/>
          <w:bCs w:val="0"/>
          <w:color w:val="auto"/>
          <w:szCs w:val="21"/>
          <w:u w:val="none"/>
        </w:rPr>
        <w:t>采用金额申购、份额赎回的原则，即申购以金额申请，赎回以</w:t>
      </w:r>
      <w:r>
        <w:rPr>
          <w:rFonts w:hint="eastAsia" w:ascii="楷体" w:hAnsi="楷体" w:eastAsia="楷体" w:cs="楷体"/>
          <w:b w:val="0"/>
          <w:bCs w:val="0"/>
          <w:szCs w:val="21"/>
          <w:u w:val="none"/>
        </w:rPr>
        <w:t>份额赎回</w:t>
      </w:r>
      <w:r>
        <w:rPr>
          <w:rFonts w:hint="eastAsia" w:ascii="楷体" w:hAnsi="楷体" w:eastAsia="楷体" w:cs="楷体"/>
          <w:b w:val="0"/>
          <w:bCs w:val="0"/>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4</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投资者可于</w:t>
      </w:r>
      <w:r>
        <w:rPr>
          <w:rFonts w:hint="eastAsia" w:ascii="楷体" w:hAnsi="楷体" w:eastAsia="楷体" w:cs="楷体"/>
          <w:b w:val="0"/>
          <w:bCs w:val="0"/>
          <w:color w:val="auto"/>
          <w:szCs w:val="21"/>
          <w:u w:val="none"/>
        </w:rPr>
        <w:t>申购开放日向销售机构提出申购申请</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highlight w:val="none"/>
          <w:u w:val="none"/>
          <w:lang w:eastAsia="zh-CN"/>
        </w:rPr>
        <w:t>管理人按照先申请、先申购原则确认申购申请，如累计申购份额已达到产品规模上限，</w:t>
      </w:r>
      <w:r>
        <w:rPr>
          <w:rFonts w:hint="eastAsia" w:ascii="楷体" w:hAnsi="楷体" w:eastAsia="楷体" w:cs="楷体"/>
          <w:b w:val="0"/>
          <w:bCs w:val="0"/>
          <w:color w:val="auto"/>
          <w:szCs w:val="21"/>
          <w:u w:val="none"/>
        </w:rPr>
        <w:t>管理人</w:t>
      </w:r>
      <w:r>
        <w:rPr>
          <w:rFonts w:hint="eastAsia" w:ascii="楷体" w:hAnsi="楷体" w:eastAsia="楷体" w:cs="楷体"/>
          <w:b w:val="0"/>
          <w:bCs w:val="0"/>
          <w:color w:val="auto"/>
          <w:szCs w:val="21"/>
          <w:highlight w:val="none"/>
          <w:u w:val="none"/>
          <w:lang w:eastAsia="zh-CN"/>
        </w:rPr>
        <w:t>有权</w:t>
      </w:r>
      <w:r>
        <w:rPr>
          <w:rFonts w:hint="eastAsia" w:ascii="楷体" w:hAnsi="楷体" w:eastAsia="楷体" w:cs="楷体"/>
          <w:b w:val="0"/>
          <w:bCs w:val="0"/>
          <w:color w:val="auto"/>
          <w:szCs w:val="21"/>
          <w:highlight w:val="none"/>
          <w:u w:val="none"/>
          <w:lang w:val="en-US" w:eastAsia="zh-CN"/>
        </w:rPr>
        <w:t>暂停接受</w:t>
      </w:r>
      <w:r>
        <w:rPr>
          <w:rFonts w:hint="eastAsia" w:ascii="楷体" w:hAnsi="楷体" w:eastAsia="楷体" w:cs="楷体"/>
          <w:b w:val="0"/>
          <w:bCs w:val="0"/>
          <w:color w:val="auto"/>
          <w:szCs w:val="21"/>
          <w:highlight w:val="none"/>
          <w:u w:val="none"/>
          <w:lang w:eastAsia="zh-CN"/>
        </w:rPr>
        <w:t>超出产品规模上限部分的申购申请。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本理财产品客户首次申购的最低金额为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的整数倍。最低追加申购金额为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r>
        <w:rPr>
          <w:rFonts w:hint="eastAsia" w:ascii="楷体" w:hAnsi="楷体" w:eastAsia="楷体" w:cs="楷体"/>
          <w:color w:val="auto"/>
          <w:szCs w:val="21"/>
          <w:u w:val="none"/>
          <w:lang w:val="en-US" w:eastAsia="zh-CN"/>
        </w:rPr>
        <w:t>本理财产品在代理销售机构的实际销售起点金额，因代理销售机构的不同可能存在差异（可能高于销售文件约定的销售起点金额），应当以代理销售机构展示为准。代理销售机构的实际销售起点金额，不得低于销售文件约定的销售起点金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highlight w:val="none"/>
          <w:u w:val="none"/>
          <w:lang w:val="en-US" w:eastAsia="zh-CN"/>
        </w:rPr>
        <w:t>本理财产品</w:t>
      </w:r>
      <w:r>
        <w:rPr>
          <w:rFonts w:hint="eastAsia" w:ascii="楷体" w:hAnsi="楷体" w:eastAsia="楷体" w:cs="楷体"/>
          <w:b w:val="0"/>
          <w:bCs w:val="0"/>
          <w:color w:val="auto"/>
          <w:szCs w:val="21"/>
          <w:highlight w:val="none"/>
          <w:u w:val="none"/>
        </w:rPr>
        <w:t>单户累计最大购买金额为</w:t>
      </w:r>
      <w:r>
        <w:rPr>
          <w:rFonts w:hint="eastAsia" w:ascii="楷体" w:hAnsi="楷体" w:eastAsia="楷体" w:cs="楷体"/>
          <w:b w:val="0"/>
          <w:bCs w:val="0"/>
          <w:color w:val="auto"/>
          <w:szCs w:val="21"/>
          <w:highlight w:val="none"/>
          <w:u w:val="none"/>
          <w:lang w:eastAsia="zh-CN"/>
        </w:rPr>
        <w:t>【1.50亿元】，</w:t>
      </w:r>
      <w:r>
        <w:rPr>
          <w:rFonts w:hint="eastAsia" w:ascii="楷体" w:hAnsi="楷体" w:eastAsia="楷体" w:cs="楷体"/>
          <w:b w:val="0"/>
          <w:bCs w:val="0"/>
          <w:color w:val="auto"/>
          <w:szCs w:val="21"/>
          <w:highlight w:val="none"/>
          <w:u w:val="none"/>
          <w:lang w:val="en-US" w:eastAsia="zh-CN"/>
        </w:rPr>
        <w:t>且单一投资者持有份额不得超过产品总份额50%。投资者认购或申购确认后可能导致其持有份额超过产品总份额50%的，管理人有权拒绝或暂停认购、申购。非因管理人主观因素导致突破该比例限制的，在单一投资者持有比例降至50%以下之前，管理人不再接受该投资者对本产品的认购、申购申请。</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highlight w:val="none"/>
          <w:u w:val="none"/>
          <w:lang w:val="en-US" w:eastAsia="zh-CN"/>
        </w:rPr>
        <w:t>7</w:t>
      </w:r>
      <w:r>
        <w:rPr>
          <w:rFonts w:hint="eastAsia" w:ascii="楷体" w:hAnsi="楷体" w:eastAsia="楷体" w:cs="楷体"/>
          <w:b w:val="0"/>
          <w:bCs w:val="0"/>
          <w:color w:val="auto"/>
          <w:szCs w:val="21"/>
          <w:highlight w:val="none"/>
          <w:u w:val="none"/>
          <w:lang w:eastAsia="zh-CN"/>
        </w:rPr>
        <w:t>）</w:t>
      </w:r>
      <w:r>
        <w:rPr>
          <w:rFonts w:hint="eastAsia" w:ascii="楷体" w:hAnsi="楷体" w:eastAsia="楷体" w:cs="楷体"/>
          <w:b w:val="0"/>
          <w:bCs w:val="0"/>
          <w:color w:val="auto"/>
          <w:szCs w:val="21"/>
          <w:u w:val="none"/>
        </w:rPr>
        <w:t>最短持有期之后，投资者有权部分或全部赎回理财产品份额。赎回原则遵循“先进先出”原则</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如投资者赎回申请为部分赎回的，则优先赎回最早认/申购的产品份额。产品赎回顺序按时间优先原则进行确认。</w:t>
      </w:r>
    </w:p>
    <w:p>
      <w:pPr>
        <w:spacing w:line="360" w:lineRule="auto"/>
        <w:ind w:firstLine="420" w:firstLineChars="200"/>
        <w:contextualSpacing/>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8</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本理财产品客户赎回最低份额为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，超出部分应为</w:t>
      </w:r>
      <w:r>
        <w:rPr>
          <w:rFonts w:hint="eastAsia" w:ascii="楷体" w:hAnsi="楷体" w:eastAsia="楷体" w:cs="楷体"/>
          <w:b w:val="0"/>
          <w:bCs w:val="0"/>
          <w:color w:val="auto"/>
          <w:szCs w:val="21"/>
          <w:u w:val="none"/>
          <w:lang w:eastAsia="zh-CN"/>
        </w:rPr>
        <w:t>【0.01份】</w:t>
      </w:r>
      <w:r>
        <w:rPr>
          <w:rFonts w:hint="eastAsia" w:ascii="楷体" w:hAnsi="楷体" w:eastAsia="楷体" w:cs="楷体"/>
          <w:b w:val="0"/>
          <w:bCs w:val="0"/>
          <w:color w:val="auto"/>
          <w:szCs w:val="21"/>
          <w:u w:val="none"/>
        </w:rPr>
        <w:t>的整数倍，全额赎回除外。</w:t>
      </w:r>
      <w:r>
        <w:rPr>
          <w:rFonts w:hint="eastAsia" w:ascii="楷体" w:hAnsi="楷体" w:eastAsia="楷体" w:cs="楷体"/>
          <w:b w:val="0"/>
          <w:bCs w:val="0"/>
          <w:color w:val="auto"/>
          <w:szCs w:val="21"/>
          <w:u w:val="none"/>
          <w:lang w:val="en-US" w:eastAsia="zh-CN"/>
        </w:rPr>
        <w:t>投资者通过代销销售机构购买理财产品的，按照代理销售机构对于交易赎回设置的相关规定执行。</w:t>
      </w:r>
      <w:r>
        <w:rPr>
          <w:rFonts w:hint="eastAsia" w:ascii="楷体" w:hAnsi="楷体" w:eastAsia="楷体" w:cs="楷体"/>
          <w:b w:val="0"/>
          <w:bCs w:val="0"/>
          <w:color w:val="auto"/>
          <w:szCs w:val="21"/>
          <w:u w:val="none"/>
        </w:rPr>
        <w:t>如投资者所持份额中，可赎回份额低于赎回申请的份额时，管理人有权拒绝该笔赎回申请。如赎回将导致单个投资者的理财产品份额余额不足</w:t>
      </w:r>
      <w:r>
        <w:rPr>
          <w:rFonts w:hint="eastAsia" w:ascii="楷体" w:hAnsi="楷体" w:eastAsia="楷体" w:cs="楷体"/>
          <w:b w:val="0"/>
          <w:bCs w:val="0"/>
          <w:color w:val="auto"/>
          <w:u w:val="none"/>
          <w:lang w:eastAsia="zh-CN"/>
        </w:rPr>
        <w:t>【0.01份】</w:t>
      </w:r>
      <w:r>
        <w:rPr>
          <w:rFonts w:hint="eastAsia" w:ascii="楷体" w:hAnsi="楷体" w:eastAsia="楷体" w:cs="楷体"/>
          <w:b w:val="0"/>
          <w:bCs w:val="0"/>
          <w:color w:val="auto"/>
          <w:szCs w:val="21"/>
          <w:u w:val="none"/>
        </w:rPr>
        <w:t>时，投资者剩余份额将被一次性全额赎回。全部赎回理财产品份额后，投资者如需再次申购，则申购的金额不得低于该份额</w:t>
      </w:r>
      <w:r>
        <w:rPr>
          <w:rFonts w:hint="eastAsia" w:ascii="楷体" w:hAnsi="楷体" w:eastAsia="楷体" w:cs="楷体"/>
          <w:b w:val="0"/>
          <w:bCs w:val="0"/>
          <w:color w:val="auto"/>
          <w:szCs w:val="21"/>
          <w:u w:val="none"/>
          <w:lang w:val="en-US" w:eastAsia="zh-CN"/>
        </w:rPr>
        <w:t>首次申购最低金额</w:t>
      </w:r>
      <w:r>
        <w:rPr>
          <w:rFonts w:hint="eastAsia" w:ascii="楷体" w:hAnsi="楷体" w:eastAsia="楷体" w:cs="楷体"/>
          <w:b w:val="0"/>
          <w:bCs w:val="0"/>
          <w:color w:val="auto"/>
          <w:szCs w:val="21"/>
          <w:u w:val="none"/>
        </w:rPr>
        <w:t>。部分赎回理财产品份额后，投资者如需再行申购，则申购最低金额为</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eastAsia="zh-CN"/>
        </w:rPr>
        <w:t>【1.00元】</w:t>
      </w:r>
      <w:r>
        <w:rPr>
          <w:rFonts w:hint="eastAsia" w:ascii="楷体" w:hAnsi="楷体" w:eastAsia="楷体" w:cs="楷体"/>
          <w:b w:val="0"/>
          <w:bCs w:val="0"/>
          <w:color w:val="auto"/>
          <w:szCs w:val="21"/>
          <w:u w:val="none"/>
        </w:rPr>
        <w:t>的整数倍。</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9</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销售机构受理申购/赎回申请并不表示对该申请成功的确认，而仅代表其收到了申购/赎回申请，申请是否有效应以管理人的确认为准。具体而言，投资者按规定提交申购/赎回申请并经销售机构成功受理的，申购/赎回申请成立；如管理人在申购/赎回确认日根据投资者的申请为投资者成功办理登记/赎回份额，则视为投资者的申请生效，并以管理人的登记记录为准。投资者应在交易申请相应的确认日后及时查询最终成交确认情况。</w:t>
      </w:r>
    </w:p>
    <w:p>
      <w:pPr>
        <w:spacing w:line="360" w:lineRule="auto"/>
        <w:ind w:firstLine="422" w:firstLineChars="200"/>
        <w:contextualSpacing/>
        <w:rPr>
          <w:rFonts w:hint="eastAsia" w:ascii="楷体" w:hAnsi="楷体" w:eastAsia="楷体" w:cs="楷体"/>
          <w:b/>
          <w:bCs/>
          <w:szCs w:val="21"/>
          <w:u w:val="none"/>
          <w:lang w:eastAsia="zh-CN"/>
        </w:rPr>
      </w:pP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10</w:t>
      </w:r>
      <w:r>
        <w:rPr>
          <w:rFonts w:hint="eastAsia" w:ascii="楷体" w:hAnsi="楷体" w:eastAsia="楷体" w:cs="楷体"/>
          <w:b/>
          <w:bCs/>
          <w:szCs w:val="21"/>
          <w:u w:val="none"/>
          <w:lang w:eastAsia="zh-CN"/>
        </w:rPr>
        <w:t>）</w:t>
      </w:r>
      <w:r>
        <w:rPr>
          <w:rFonts w:hint="eastAsia" w:ascii="楷体" w:hAnsi="楷体" w:eastAsia="楷体" w:cs="楷体"/>
          <w:b/>
          <w:bCs/>
          <w:szCs w:val="21"/>
          <w:u w:val="none"/>
        </w:rPr>
        <w:t>投资者在产品存续期内的申购/赎回撤单规则，以销售机构受理规则为准。</w:t>
      </w:r>
    </w:p>
    <w:p>
      <w:pPr>
        <w:spacing w:line="360" w:lineRule="auto"/>
        <w:ind w:firstLine="420"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因不可抗力导致理财产品无法继续申购或赎回时，管理人有权暂停接受投资者的申购或赎回的申请</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如本产品连续三个开放日累计净赎回总份额达到产品份额的20%以上，管理人有权</w:t>
      </w:r>
      <w:r>
        <w:rPr>
          <w:rFonts w:hint="eastAsia" w:ascii="楷体" w:hAnsi="楷体" w:eastAsia="楷体" w:cs="楷体"/>
          <w:b w:val="0"/>
          <w:bCs w:val="0"/>
          <w:color w:val="auto"/>
          <w:u w:val="none"/>
        </w:rPr>
        <w:t>暂不接受赎回申请</w:t>
      </w:r>
      <w:r>
        <w:rPr>
          <w:rFonts w:hint="eastAsia" w:ascii="楷体" w:hAnsi="楷体" w:eastAsia="楷体" w:cs="楷体"/>
          <w:b w:val="0"/>
          <w:bCs w:val="0"/>
          <w:color w:val="auto"/>
          <w:szCs w:val="21"/>
          <w:u w:val="none"/>
        </w:rPr>
        <w:t>或按比例接受赎回申请。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发生暂停估值情形的，管理人有权采取延缓支付赎回款项或暂停接受理财产品申购、赎回申请等措施。</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5</w:t>
      </w:r>
      <w:r>
        <w:rPr>
          <w:rFonts w:hint="eastAsia" w:ascii="楷体" w:hAnsi="楷体" w:eastAsia="楷体" w:cs="楷体"/>
          <w:b w:val="0"/>
          <w:bCs w:val="0"/>
          <w:color w:val="auto"/>
          <w:szCs w:val="21"/>
          <w:u w:val="none"/>
        </w:rPr>
        <w:t>.巨额赎回</w:t>
      </w:r>
      <w:r>
        <w:rPr>
          <w:rFonts w:hint="eastAsia" w:ascii="楷体" w:hAnsi="楷体" w:eastAsia="楷体" w:cs="楷体"/>
          <w:b w:val="0"/>
          <w:bCs w:val="0"/>
          <w:color w:val="auto"/>
          <w:szCs w:val="21"/>
          <w:u w:val="none"/>
          <w:lang w:val="en-US" w:eastAsia="zh-CN"/>
        </w:rPr>
        <w:t>的情形及处理方式</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巨额赎回的认定</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投资者在最短持有期后的每个赎回开放日向销售机构提出赎回申请，如该赎回开放日内净赎回</w:t>
      </w:r>
      <w:r>
        <w:rPr>
          <w:rFonts w:hint="eastAsia" w:ascii="楷体" w:hAnsi="楷体" w:eastAsia="楷体" w:cs="楷体"/>
          <w:b/>
          <w:bCs/>
          <w:szCs w:val="21"/>
          <w:u w:val="none"/>
          <w:lang w:val="en-US" w:eastAsia="zh-CN"/>
        </w:rPr>
        <w:t>申请份</w:t>
      </w:r>
      <w:r>
        <w:rPr>
          <w:rFonts w:hint="eastAsia" w:ascii="楷体" w:hAnsi="楷体" w:eastAsia="楷体" w:cs="楷体"/>
          <w:b/>
          <w:bCs/>
          <w:szCs w:val="21"/>
          <w:u w:val="none"/>
        </w:rPr>
        <w:t>额</w:t>
      </w:r>
      <w:r>
        <w:rPr>
          <w:rFonts w:hint="eastAsia" w:ascii="楷体" w:hAnsi="楷体" w:eastAsia="楷体" w:cs="楷体"/>
          <w:b/>
          <w:bCs/>
          <w:u w:val="none"/>
        </w:rPr>
        <w:t>（赎回申请份额总数扣除申购申请份额总数）</w:t>
      </w:r>
      <w:r>
        <w:rPr>
          <w:rFonts w:hint="eastAsia" w:ascii="楷体" w:hAnsi="楷体" w:eastAsia="楷体" w:cs="楷体"/>
          <w:b/>
          <w:bCs/>
          <w:szCs w:val="21"/>
          <w:u w:val="none"/>
        </w:rPr>
        <w:t>合计超过理财产品上一</w:t>
      </w:r>
      <w:r>
        <w:rPr>
          <w:rFonts w:hint="eastAsia" w:ascii="楷体" w:hAnsi="楷体" w:eastAsia="楷体" w:cs="楷体"/>
          <w:b/>
          <w:bCs/>
          <w:szCs w:val="21"/>
          <w:u w:val="none"/>
          <w:lang w:eastAsia="zh-CN"/>
        </w:rPr>
        <w:t>【交易日】</w:t>
      </w:r>
      <w:r>
        <w:rPr>
          <w:rFonts w:hint="eastAsia" w:ascii="楷体" w:hAnsi="楷体" w:eastAsia="楷体" w:cs="楷体"/>
          <w:b/>
          <w:bCs/>
          <w:szCs w:val="21"/>
          <w:u w:val="none"/>
        </w:rPr>
        <w:t>日终总份额的</w:t>
      </w:r>
      <w:r>
        <w:rPr>
          <w:rFonts w:hint="eastAsia" w:ascii="楷体" w:hAnsi="楷体" w:eastAsia="楷体" w:cs="楷体"/>
          <w:b/>
          <w:bCs/>
          <w:color w:val="auto"/>
          <w:szCs w:val="21"/>
          <w:u w:val="none"/>
        </w:rPr>
        <w:t>10%</w:t>
      </w:r>
      <w:r>
        <w:rPr>
          <w:rFonts w:hint="eastAsia" w:ascii="楷体" w:hAnsi="楷体" w:eastAsia="楷体" w:cs="楷体"/>
          <w:b/>
          <w:bCs/>
          <w:szCs w:val="21"/>
          <w:u w:val="none"/>
        </w:rPr>
        <w:t>，则发生巨额赎回事件。</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巨额赎回的处理方式</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在发生巨额赎回时，管理人有权依照理财产品当时的资产组合状况决定全额赎回、部分赎回或延缓支付。</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A</w:t>
      </w:r>
      <w:r>
        <w:rPr>
          <w:rFonts w:hint="eastAsia" w:ascii="楷体" w:hAnsi="楷体" w:eastAsia="楷体" w:cs="楷体"/>
          <w:b/>
          <w:bCs/>
          <w:szCs w:val="21"/>
          <w:u w:val="none"/>
        </w:rPr>
        <w:t>.全额赎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rPr>
        <w:t>当管理人有能力支付投资者的全部赎回申请时，按正常赎回程序</w:t>
      </w:r>
      <w:r>
        <w:rPr>
          <w:rFonts w:hint="eastAsia" w:ascii="楷体" w:hAnsi="楷体" w:eastAsia="楷体" w:cs="楷体"/>
          <w:b w:val="0"/>
          <w:bCs w:val="0"/>
          <w:szCs w:val="21"/>
          <w:u w:val="none"/>
          <w:lang w:val="en-US" w:eastAsia="zh-CN"/>
        </w:rPr>
        <w:t>执</w:t>
      </w:r>
      <w:r>
        <w:rPr>
          <w:rFonts w:hint="eastAsia" w:ascii="楷体" w:hAnsi="楷体" w:eastAsia="楷体" w:cs="楷体"/>
          <w:b w:val="0"/>
          <w:bCs w:val="0"/>
          <w:szCs w:val="21"/>
          <w:u w:val="none"/>
        </w:rPr>
        <w:t>行；</w:t>
      </w:r>
    </w:p>
    <w:p>
      <w:pPr>
        <w:spacing w:line="360" w:lineRule="auto"/>
        <w:ind w:firstLine="422" w:firstLineChars="200"/>
        <w:contextualSpacing/>
        <w:rPr>
          <w:rFonts w:hint="eastAsia" w:ascii="楷体" w:hAnsi="楷体" w:eastAsia="楷体" w:cs="楷体"/>
          <w:b w:val="0"/>
          <w:bCs w:val="0"/>
          <w:color w:val="auto"/>
          <w:szCs w:val="21"/>
          <w:u w:val="none"/>
        </w:rPr>
      </w:pPr>
      <w:r>
        <w:rPr>
          <w:rFonts w:hint="eastAsia" w:ascii="楷体" w:hAnsi="楷体" w:eastAsia="楷体" w:cs="楷体"/>
          <w:b/>
          <w:bCs/>
          <w:szCs w:val="21"/>
          <w:u w:val="none"/>
        </w:rPr>
        <w:t>B.部分赎</w:t>
      </w:r>
      <w:r>
        <w:rPr>
          <w:rFonts w:hint="eastAsia" w:ascii="楷体" w:hAnsi="楷体" w:eastAsia="楷体" w:cs="楷体"/>
          <w:b/>
          <w:bCs/>
          <w:spacing w:val="20"/>
          <w:sz w:val="21"/>
          <w:szCs w:val="21"/>
          <w:u w:val="none"/>
        </w:rPr>
        <w:t>回：</w:t>
      </w:r>
      <w:r>
        <w:rPr>
          <w:rFonts w:hint="eastAsia" w:ascii="楷体" w:hAnsi="楷体" w:eastAsia="楷体" w:cs="楷体"/>
          <w:b w:val="0"/>
          <w:bCs w:val="0"/>
          <w:szCs w:val="21"/>
          <w:u w:val="none"/>
          <w:lang w:val="en-US" w:eastAsia="zh-CN"/>
        </w:rPr>
        <w:t>当管理人认为支付投资者的赎回款项有困难或认为因支付投资者的赎回款项而进行的资产变现可能会对理财产品资产净值造成较大波动等情形时，在当日接受赎回比</w:t>
      </w:r>
      <w:r>
        <w:rPr>
          <w:rFonts w:hint="eastAsia" w:ascii="楷体" w:hAnsi="楷体" w:eastAsia="楷体" w:cs="楷体"/>
          <w:b w:val="0"/>
          <w:bCs w:val="0"/>
          <w:color w:val="auto"/>
          <w:szCs w:val="21"/>
          <w:u w:val="none"/>
          <w:lang w:val="en-US" w:eastAsia="zh-CN"/>
        </w:rPr>
        <w:t>例不低于上一【交易日】日终理财产品总份额的10%的前提下，管理人有权暂停接受超过 10%以上部分的赎回申请，或对超过10%以上部分的赎回申请延期办理。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若管理人对于超过10%以上部分的赎回申请选择延期办理，</w:t>
      </w:r>
      <w:r>
        <w:rPr>
          <w:rFonts w:hint="eastAsia" w:ascii="楷体" w:hAnsi="楷体" w:eastAsia="楷体" w:cs="楷体"/>
          <w:b w:val="0"/>
          <w:bCs w:val="0"/>
          <w:color w:val="auto"/>
          <w:szCs w:val="21"/>
          <w:u w:val="none"/>
        </w:rPr>
        <w:t>管理人有权按照赎回开放日内投资者赎回递交申请的顺序，依照时间优先（即先申请、先赎回）的原则确认投资者的赎回申请；或对赎回开放日内投资者的所有赎回申请同等按照一定比例进行确认。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 xml:space="preserve">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 </w:t>
      </w:r>
    </w:p>
    <w:p>
      <w:pPr>
        <w:spacing w:line="360" w:lineRule="auto"/>
        <w:ind w:firstLine="422" w:firstLineChars="200"/>
        <w:contextualSpacing/>
        <w:rPr>
          <w:rFonts w:hint="eastAsia" w:ascii="楷体" w:hAnsi="楷体" w:eastAsia="楷体" w:cs="楷体"/>
          <w:b w:val="0"/>
          <w:bCs w:val="0"/>
          <w:color w:val="auto"/>
          <w:szCs w:val="21"/>
          <w:u w:val="none"/>
          <w:lang w:eastAsia="zh-CN"/>
        </w:rPr>
      </w:pPr>
      <w:r>
        <w:rPr>
          <w:rFonts w:hint="eastAsia" w:ascii="楷体" w:hAnsi="楷体" w:eastAsia="楷体" w:cs="楷体"/>
          <w:b/>
          <w:bCs/>
          <w:color w:val="auto"/>
          <w:szCs w:val="21"/>
          <w:u w:val="none"/>
          <w:lang w:val="en-US" w:eastAsia="zh-CN"/>
        </w:rPr>
        <w:t>C</w:t>
      </w:r>
      <w:r>
        <w:rPr>
          <w:rFonts w:hint="eastAsia" w:ascii="楷体" w:hAnsi="楷体" w:eastAsia="楷体" w:cs="楷体"/>
          <w:b/>
          <w:bCs/>
          <w:color w:val="auto"/>
          <w:szCs w:val="21"/>
          <w:u w:val="none"/>
        </w:rPr>
        <w:t>.</w:t>
      </w:r>
      <w:r>
        <w:rPr>
          <w:rFonts w:hint="eastAsia" w:ascii="楷体" w:hAnsi="楷体" w:eastAsia="楷体" w:cs="楷体"/>
          <w:b/>
          <w:bCs/>
          <w:color w:val="auto"/>
          <w:szCs w:val="21"/>
          <w:u w:val="none"/>
          <w:lang w:val="en-US" w:eastAsia="zh-CN"/>
        </w:rPr>
        <w:t>延缓支</w:t>
      </w:r>
      <w:r>
        <w:rPr>
          <w:rFonts w:hint="eastAsia" w:ascii="楷体" w:hAnsi="楷体" w:eastAsia="楷体" w:cs="楷体"/>
          <w:b/>
          <w:bCs/>
          <w:spacing w:val="23"/>
          <w:sz w:val="21"/>
          <w:szCs w:val="21"/>
          <w:u w:val="none"/>
          <w:lang w:val="en-US" w:eastAsia="zh-CN"/>
        </w:rPr>
        <w:t>付</w:t>
      </w:r>
      <w:r>
        <w:rPr>
          <w:rFonts w:hint="eastAsia" w:ascii="楷体" w:hAnsi="楷体" w:eastAsia="楷体" w:cs="楷体"/>
          <w:b/>
          <w:bCs/>
          <w:spacing w:val="23"/>
          <w:sz w:val="21"/>
          <w:szCs w:val="21"/>
          <w:u w:val="none"/>
        </w:rPr>
        <w:t>：</w:t>
      </w:r>
      <w:r>
        <w:rPr>
          <w:rFonts w:hint="eastAsia" w:ascii="楷体" w:hAnsi="楷体" w:eastAsia="楷体" w:cs="楷体"/>
          <w:b w:val="0"/>
          <w:bCs w:val="0"/>
          <w:color w:val="auto"/>
          <w:szCs w:val="21"/>
          <w:u w:val="none"/>
        </w:rPr>
        <w:t>选择延缓支付时，管理人应当接受并确认所有的赎回申请，当日按比例办理的赎回份额不得低于理财产品上一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产品总份额的10%，其余赎回申请可以延缓支付赎回款项，但延缓支付的期限不得超过</w:t>
      </w:r>
      <w:r>
        <w:rPr>
          <w:rFonts w:hint="eastAsia" w:ascii="楷体" w:hAnsi="楷体" w:eastAsia="楷体" w:cs="楷体"/>
          <w:b w:val="0"/>
          <w:bCs w:val="0"/>
          <w:color w:val="auto"/>
          <w:szCs w:val="21"/>
          <w:u w:val="none"/>
          <w:lang w:val="en-US" w:eastAsia="zh-CN"/>
        </w:rPr>
        <w:t>20</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当发生巨额赎回或连续巨额赎回，管理人选择延期办理巨额赎回申请、暂停接受赎回申请或延缓支付时，管理人将根据本理财《产品说明书》“信息披露”约定的方式向投资者进行信息披露。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示例：如果最新理财产品的在赎回开放日的上一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的总存续份额为2000万份，在赎回开放日投资者净赎回</w:t>
      </w:r>
      <w:r>
        <w:rPr>
          <w:rFonts w:hint="eastAsia" w:ascii="楷体" w:hAnsi="楷体" w:eastAsia="楷体" w:cs="楷体"/>
          <w:b w:val="0"/>
          <w:bCs w:val="0"/>
          <w:color w:val="auto"/>
          <w:szCs w:val="21"/>
          <w:u w:val="none"/>
          <w:lang w:val="en-US" w:eastAsia="zh-CN"/>
        </w:rPr>
        <w:t>申请</w:t>
      </w:r>
      <w:r>
        <w:rPr>
          <w:rFonts w:hint="eastAsia" w:ascii="楷体" w:hAnsi="楷体" w:eastAsia="楷体" w:cs="楷体"/>
          <w:b w:val="0"/>
          <w:bCs w:val="0"/>
          <w:color w:val="auto"/>
          <w:szCs w:val="21"/>
          <w:u w:val="none"/>
        </w:rPr>
        <w:t>份额大于200万份，管理人有权选择接受全部赎回申请，或选择接受部分赎回或延缓支付赎回款项。选择部分赎回或延缓支付时，按正常赎回程序执行总的净赎回申请不得低于200万份。</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szCs w:val="21"/>
          <w:u w:val="none"/>
        </w:rPr>
        <w:t>、申购、赎回程序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（1）申购、赎回的申请方式</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投资者必须在投资封闭期之后的开放日提出申购</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赎回</w:t>
      </w:r>
      <w:r>
        <w:rPr>
          <w:rFonts w:hint="eastAsia" w:ascii="楷体" w:hAnsi="楷体" w:eastAsia="楷体" w:cs="楷体"/>
          <w:b w:val="0"/>
          <w:bCs w:val="0"/>
          <w:color w:val="auto"/>
          <w:szCs w:val="21"/>
          <w:u w:val="none"/>
        </w:rPr>
        <w:t>申请。</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投资者在提交申购申请时，须备足申购资金。投资者的申购申请被受理后，销售机构有权冻结人民币资金形式的申购款项，冻结期间管理人不向投资者计付利息，是否计付利息以销售机构为准。</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投资者提交赎回申请时，必须有足够的理财产品份额余额。</w:t>
      </w:r>
    </w:p>
    <w:p>
      <w:pPr>
        <w:numPr>
          <w:ilvl w:val="0"/>
          <w:numId w:val="5"/>
        </w:num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申购和赎回的确认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管理人在申购、赎回确认日对投资者的申购、赎回申请的有效性进行登记并确认。</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本理财产品交易时段为管理人业务处理系统记录的每日北京时间</w:t>
      </w: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u w:val="none"/>
        </w:rPr>
        <w:t>起至</w:t>
      </w:r>
      <w:r>
        <w:rPr>
          <w:rFonts w:hint="eastAsia" w:ascii="楷体" w:hAnsi="楷体" w:eastAsia="楷体" w:cs="楷体"/>
          <w:b w:val="0"/>
          <w:bCs w:val="0"/>
          <w:color w:val="auto"/>
          <w:szCs w:val="21"/>
          <w:u w:val="none"/>
          <w:lang w:eastAsia="zh-CN"/>
        </w:rPr>
        <w:t>24:00</w:t>
      </w:r>
      <w:r>
        <w:rPr>
          <w:rFonts w:hint="eastAsia" w:ascii="楷体" w:hAnsi="楷体" w:eastAsia="楷体" w:cs="楷体"/>
          <w:b w:val="0"/>
          <w:bCs w:val="0"/>
          <w:color w:val="auto"/>
          <w:szCs w:val="21"/>
          <w:u w:val="none"/>
        </w:rPr>
        <w:t>止（系统清算时间除外），</w:t>
      </w:r>
      <w:r>
        <w:rPr>
          <w:rFonts w:hint="eastAsia" w:ascii="楷体" w:hAnsi="楷体" w:eastAsia="楷体" w:cs="楷体"/>
          <w:b/>
          <w:bCs/>
          <w:color w:val="auto"/>
          <w:szCs w:val="21"/>
          <w:u w:val="none"/>
          <w:lang w:val="en-US" w:eastAsia="zh-CN"/>
        </w:rPr>
        <w:t>销售机构</w:t>
      </w:r>
      <w:r>
        <w:rPr>
          <w:rFonts w:hint="eastAsia" w:ascii="楷体" w:hAnsi="楷体" w:eastAsia="楷体" w:cs="楷体"/>
          <w:b/>
          <w:bCs/>
          <w:color w:val="auto"/>
          <w:szCs w:val="21"/>
          <w:u w:val="none"/>
        </w:rPr>
        <w:t>实际受理申购或赎回的时间可能与说明书不一致，具体以销售机构</w:t>
      </w:r>
      <w:r>
        <w:rPr>
          <w:rFonts w:hint="eastAsia" w:ascii="楷体" w:hAnsi="楷体" w:eastAsia="楷体" w:cs="楷体"/>
          <w:b/>
          <w:bCs/>
          <w:color w:val="auto"/>
          <w:szCs w:val="21"/>
          <w:u w:val="none"/>
          <w:lang w:val="en-US" w:eastAsia="zh-CN"/>
        </w:rPr>
        <w:t>规则</w:t>
      </w:r>
      <w:r>
        <w:rPr>
          <w:rFonts w:hint="eastAsia" w:ascii="楷体" w:hAnsi="楷体" w:eastAsia="楷体" w:cs="楷体"/>
          <w:b/>
          <w:bCs/>
          <w:color w:val="auto"/>
          <w:szCs w:val="21"/>
          <w:u w:val="none"/>
        </w:rPr>
        <w:t>为准。</w:t>
      </w:r>
      <w:r>
        <w:rPr>
          <w:rFonts w:hint="eastAsia" w:ascii="楷体" w:hAnsi="楷体" w:eastAsia="楷体" w:cs="楷体"/>
          <w:b w:val="0"/>
          <w:bCs w:val="0"/>
          <w:color w:val="auto"/>
          <w:szCs w:val="21"/>
          <w:u w:val="none"/>
        </w:rPr>
        <w:t>具体申购、赎回份额确认规则如下：</w:t>
      </w:r>
    </w:p>
    <w:tbl>
      <w:tblPr>
        <w:tblStyle w:val="10"/>
        <w:tblW w:w="76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0"/>
        <w:gridCol w:w="2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交易申请时间</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bCs/>
                <w:color w:val="auto"/>
                <w:szCs w:val="21"/>
                <w:u w:val="none"/>
              </w:rPr>
            </w:pPr>
            <w:r>
              <w:rPr>
                <w:rFonts w:hint="eastAsia" w:ascii="楷体" w:hAnsi="楷体" w:eastAsia="楷体" w:cs="楷体"/>
                <w:b/>
                <w:bCs/>
                <w:color w:val="auto"/>
                <w:szCs w:val="21"/>
                <w:u w:val="none"/>
              </w:rPr>
              <w:t>交易确认日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楷体" w:hAnsi="楷体" w:eastAsia="楷体" w:cs="楷体"/>
                <w:b w:val="0"/>
                <w:bCs w:val="0"/>
                <w:color w:val="auto"/>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u w:val="none"/>
                <w:lang w:eastAsia="zh-CN"/>
              </w:rPr>
              <w:t>0:00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【16:00】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【1】【交易日】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highlight w:val="none"/>
                <w:u w:val="none"/>
              </w:rPr>
            </w:pPr>
            <w:r>
              <w:rPr>
                <w:rFonts w:hint="eastAsia" w:ascii="楷体" w:hAnsi="楷体" w:eastAsia="楷体" w:cs="楷体"/>
                <w:b w:val="0"/>
                <w:bCs w:val="0"/>
                <w:color w:val="auto"/>
                <w:szCs w:val="21"/>
                <w:highlight w:val="none"/>
                <w:u w:val="none"/>
              </w:rPr>
              <w:t>每个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highlight w:val="none"/>
                <w:u w:val="none"/>
              </w:rPr>
              <w:t>（T日）</w:t>
            </w:r>
          </w:p>
          <w:p>
            <w:pPr>
              <w:contextualSpacing/>
              <w:jc w:val="center"/>
              <w:rPr>
                <w:rFonts w:hint="eastAsia" w:ascii="楷体" w:hAnsi="楷体" w:eastAsia="楷体" w:cs="楷体"/>
                <w:b w:val="0"/>
                <w:bCs w:val="0"/>
                <w:color w:val="auto"/>
                <w:szCs w:val="21"/>
                <w:highlight w:val="none"/>
                <w:u w:val="none"/>
                <w:lang w:eastAsia="zh-CN"/>
              </w:rPr>
            </w:pPr>
            <w:r>
              <w:rPr>
                <w:rFonts w:hint="eastAsia" w:ascii="楷体" w:hAnsi="楷体" w:eastAsia="楷体" w:cs="楷体"/>
                <w:b w:val="0"/>
                <w:bCs w:val="0"/>
                <w:color w:val="auto"/>
                <w:szCs w:val="21"/>
                <w:u w:val="none"/>
                <w:lang w:eastAsia="zh-CN"/>
              </w:rPr>
              <w:t>【16:00】</w:t>
            </w:r>
            <w:r>
              <w:rPr>
                <w:rFonts w:hint="eastAsia" w:ascii="楷体" w:hAnsi="楷体" w:eastAsia="楷体" w:cs="楷体"/>
                <w:b w:val="0"/>
                <w:bCs w:val="0"/>
                <w:color w:val="auto"/>
                <w:szCs w:val="21"/>
                <w:highlight w:val="none"/>
                <w:u w:val="none"/>
              </w:rPr>
              <w:t>-</w:t>
            </w:r>
            <w:r>
              <w:rPr>
                <w:rFonts w:hint="eastAsia" w:ascii="楷体" w:hAnsi="楷体" w:eastAsia="楷体" w:cs="楷体"/>
                <w:b w:val="0"/>
                <w:bCs w:val="0"/>
                <w:color w:val="auto"/>
                <w:szCs w:val="21"/>
                <w:u w:val="none"/>
                <w:lang w:eastAsia="zh-CN"/>
              </w:rPr>
              <w:t>24:00</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5500" w:type="dxa"/>
            <w:tcBorders>
              <w:top w:val="single" w:color="000000" w:sz="4" w:space="0"/>
              <w:left w:val="single" w:color="000000" w:sz="4" w:space="0"/>
              <w:bottom w:val="single" w:color="000000" w:sz="4" w:space="0"/>
              <w:right w:val="single" w:color="000000" w:sz="4" w:space="0"/>
            </w:tcBorders>
            <w:vAlign w:val="center"/>
          </w:tcPr>
          <w:p>
            <w:pPr>
              <w:contextualSpacing w:val="0"/>
              <w:jc w:val="center"/>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（T日）</w:t>
            </w:r>
          </w:p>
        </w:tc>
        <w:tc>
          <w:tcPr>
            <w:tcW w:w="2109" w:type="dxa"/>
            <w:tcBorders>
              <w:top w:val="single" w:color="000000" w:sz="4" w:space="0"/>
              <w:left w:val="single" w:color="000000" w:sz="4" w:space="0"/>
              <w:bottom w:val="single" w:color="000000" w:sz="4" w:space="0"/>
              <w:right w:val="single" w:color="000000" w:sz="4" w:space="0"/>
            </w:tcBorders>
            <w:vAlign w:val="center"/>
          </w:tcPr>
          <w:p>
            <w:pPr>
              <w:contextualSpacing/>
              <w:jc w:val="center"/>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rPr>
              <w:t>T+</w:t>
            </w:r>
            <w:r>
              <w:rPr>
                <w:rFonts w:hint="eastAsia" w:ascii="楷体" w:hAnsi="楷体" w:eastAsia="楷体" w:cs="楷体"/>
                <w:b w:val="0"/>
                <w:bCs w:val="0"/>
                <w:color w:val="auto"/>
                <w:szCs w:val="21"/>
                <w:u w:val="none"/>
                <w:lang w:eastAsia="zh-CN"/>
              </w:rPr>
              <w:t>【2】【交易日】</w:t>
            </w:r>
          </w:p>
        </w:tc>
      </w:tr>
    </w:tbl>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3</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申购和赎回的支付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管理人在申购交易确认日（见受理、交易确认与估值对应时间部分的内容）进行投资者份额确认并由销售机构扣减投资者账户资金，扣划款项成功后投资者申购成功。投资者申购成功后，可在此后该理财份额对应的任意可赎回开放日赎回部分或全部申购份额。</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确认投资者赎回成功后，管理人将为投资者扣减份额，并将投资者应得的赎回资金于赎回确认日后3个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内通过销售机构划转至投资者账户。</w:t>
      </w:r>
    </w:p>
    <w:p>
      <w:pPr>
        <w:spacing w:line="360" w:lineRule="auto"/>
        <w:ind w:firstLine="420" w:firstLineChars="200"/>
        <w:contextualSpacing/>
        <w:outlineLvl w:val="2"/>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7</w:t>
      </w:r>
      <w:r>
        <w:rPr>
          <w:rFonts w:hint="eastAsia" w:ascii="楷体" w:hAnsi="楷体" w:eastAsia="楷体" w:cs="楷体"/>
          <w:b w:val="0"/>
          <w:bCs w:val="0"/>
          <w:color w:val="auto"/>
          <w:szCs w:val="21"/>
          <w:u w:val="none"/>
        </w:rPr>
        <w:t>.申购份额和赎回金额的计算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（1）申购份额的计算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本理财产品申购份额的具体计算方法如下：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申购份额＝申购金额÷（1+申购费率）÷确认日</w:t>
      </w:r>
      <w:r>
        <w:rPr>
          <w:rFonts w:hint="eastAsia" w:ascii="楷体" w:hAnsi="楷体" w:eastAsia="楷体" w:cs="楷体"/>
          <w:b w:val="0"/>
          <w:bCs w:val="0"/>
          <w:color w:val="auto"/>
          <w:szCs w:val="21"/>
          <w:u w:val="none"/>
          <w:lang w:val="en-US" w:eastAsia="zh-CN"/>
        </w:rPr>
        <w:t>前</w:t>
      </w:r>
      <w:r>
        <w:rPr>
          <w:rFonts w:hint="eastAsia" w:ascii="楷体" w:hAnsi="楷体" w:eastAsia="楷体" w:cs="楷体"/>
          <w:b w:val="0"/>
          <w:bCs w:val="0"/>
          <w:color w:val="auto"/>
          <w:szCs w:val="21"/>
          <w:u w:val="none"/>
          <w:lang w:eastAsia="zh-CN"/>
        </w:rPr>
        <w:t>【1】</w:t>
      </w:r>
      <w:r>
        <w:rPr>
          <w:rFonts w:hint="eastAsia" w:ascii="楷体" w:hAnsi="楷体" w:eastAsia="楷体" w:cs="楷体"/>
          <w:b w:val="0"/>
          <w:bCs w:val="0"/>
          <w:color w:val="auto"/>
          <w:szCs w:val="21"/>
          <w:u w:val="none"/>
          <w:lang w:val="en-US" w:eastAsia="zh-CN"/>
        </w:rPr>
        <w:t>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申购份额保留至小数点后2位（保留2位小数，四舍五入）。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w:t>
      </w:r>
      <w:r>
        <w:rPr>
          <w:rFonts w:hint="eastAsia" w:ascii="楷体" w:hAnsi="楷体" w:eastAsia="楷体" w:cs="楷体"/>
          <w:b w:val="0"/>
          <w:bCs w:val="0"/>
          <w:color w:val="auto"/>
          <w:szCs w:val="21"/>
          <w:u w:val="none"/>
        </w:rPr>
        <w:t>申购费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由投资者承担并于申购份额时一次性支付。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【假定某投资者投资500元人民币申购本理财产品，申购费率为0.00%，理财产品份额净值为1.02500元人民币，则其可得到的申购份额计算如下：</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申购份数＝500÷(1+0.00%)÷1.02500＝487.80份】</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（2）理财产品赎回金额的计算</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理财产品采用“份额赎回”方式，赎回价格以赎回</w:t>
      </w:r>
      <w:r>
        <w:rPr>
          <w:rFonts w:hint="eastAsia" w:ascii="楷体" w:hAnsi="楷体" w:eastAsia="楷体" w:cs="楷体"/>
          <w:b w:val="0"/>
          <w:bCs w:val="0"/>
          <w:color w:val="auto"/>
          <w:szCs w:val="21"/>
          <w:u w:val="none"/>
          <w:lang w:val="en-US" w:eastAsia="zh-CN"/>
        </w:rPr>
        <w:t>确认日前【1】个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净值为基准进行计算,计算公式如下：</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赎回资金＝总赎回份额×（1-赎回费率）×确认日</w:t>
      </w:r>
      <w:r>
        <w:rPr>
          <w:rFonts w:hint="eastAsia" w:ascii="楷体" w:hAnsi="楷体" w:eastAsia="楷体" w:cs="楷体"/>
          <w:b w:val="0"/>
          <w:bCs w:val="0"/>
          <w:color w:val="auto"/>
          <w:szCs w:val="21"/>
          <w:u w:val="none"/>
          <w:lang w:val="en-US" w:eastAsia="zh-CN"/>
        </w:rPr>
        <w:t>前【1】个</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的理财产品</w:t>
      </w:r>
      <w:r>
        <w:rPr>
          <w:rFonts w:hint="eastAsia" w:ascii="楷体" w:hAnsi="楷体" w:eastAsia="楷体" w:cs="楷体"/>
          <w:b w:val="0"/>
          <w:bCs w:val="0"/>
          <w:color w:val="auto"/>
          <w:szCs w:val="21"/>
          <w:u w:val="none"/>
          <w:lang w:val="en-US" w:eastAsia="zh-CN"/>
        </w:rPr>
        <w:t>份额</w:t>
      </w:r>
      <w:r>
        <w:rPr>
          <w:rFonts w:hint="eastAsia" w:ascii="楷体" w:hAnsi="楷体" w:eastAsia="楷体" w:cs="楷体"/>
          <w:b w:val="0"/>
          <w:bCs w:val="0"/>
          <w:color w:val="auto"/>
          <w:szCs w:val="21"/>
          <w:u w:val="none"/>
        </w:rPr>
        <w:t>净</w:t>
      </w:r>
      <w:r>
        <w:rPr>
          <w:rFonts w:hint="eastAsia" w:ascii="楷体" w:hAnsi="楷体" w:eastAsia="楷体" w:cs="楷体"/>
          <w:b w:val="0"/>
          <w:bCs w:val="0"/>
          <w:color w:val="auto"/>
          <w:szCs w:val="21"/>
          <w:u w:val="none"/>
          <w:lang w:val="en-US" w:eastAsia="zh-CN"/>
        </w:rPr>
        <w:t>值</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赎回份额保留至小数点后2位（保留2位小数，四舍五入）。</w:t>
      </w:r>
    </w:p>
    <w:p>
      <w:pPr>
        <w:spacing w:line="360" w:lineRule="auto"/>
        <w:ind w:firstLine="420" w:firstLineChars="200"/>
        <w:contextualSpacing/>
        <w:rPr>
          <w:rFonts w:hint="eastAsia" w:ascii="楷体" w:hAnsi="楷体" w:eastAsia="楷体" w:cs="楷体"/>
          <w:b w:val="0"/>
          <w:bCs w:val="0"/>
          <w:color w:val="auto"/>
          <w:szCs w:val="21"/>
          <w:highlight w:val="none"/>
          <w:u w:val="none"/>
          <w:lang w:val="en-US" w:eastAsia="zh-CN"/>
        </w:rPr>
      </w:pPr>
      <w:r>
        <w:rPr>
          <w:rFonts w:hint="eastAsia" w:ascii="楷体" w:hAnsi="楷体" w:eastAsia="楷体" w:cs="楷体"/>
          <w:b w:val="0"/>
          <w:bCs w:val="0"/>
          <w:color w:val="auto"/>
          <w:szCs w:val="21"/>
          <w:u w:val="none"/>
          <w:lang w:val="en-US" w:eastAsia="zh-CN"/>
        </w:rPr>
        <w:t>本理财产品赎回</w:t>
      </w:r>
      <w:r>
        <w:rPr>
          <w:rFonts w:hint="eastAsia" w:ascii="楷体" w:hAnsi="楷体" w:eastAsia="楷体" w:cs="楷体"/>
          <w:b w:val="0"/>
          <w:bCs w:val="0"/>
          <w:color w:val="auto"/>
          <w:szCs w:val="21"/>
          <w:u w:val="none"/>
        </w:rPr>
        <w:t>费</w:t>
      </w:r>
      <w:r>
        <w:rPr>
          <w:rFonts w:hint="eastAsia" w:ascii="楷体" w:hAnsi="楷体" w:eastAsia="楷体" w:cs="楷体"/>
          <w:b w:val="0"/>
          <w:bCs w:val="0"/>
          <w:color w:val="auto"/>
          <w:szCs w:val="21"/>
          <w:u w:val="none"/>
          <w:lang w:val="en-US" w:eastAsia="zh-CN"/>
        </w:rPr>
        <w:t>率</w:t>
      </w:r>
      <w:r>
        <w:rPr>
          <w:rFonts w:hint="eastAsia" w:ascii="楷体" w:hAnsi="楷体" w:eastAsia="楷体" w:cs="楷体"/>
          <w:b w:val="0"/>
          <w:bCs w:val="0"/>
          <w:color w:val="auto"/>
          <w:szCs w:val="21"/>
          <w:highlight w:val="none"/>
          <w:u w:val="none"/>
          <w:lang w:val="en-US" w:eastAsia="zh-CN"/>
        </w:rPr>
        <w:t>：</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highlight w:val="none"/>
          <w:u w:val="none"/>
          <w:lang w:val="en-US" w:eastAsia="zh-CN"/>
        </w:rPr>
        <w:t>。</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2"/>
          <w:u w:val="none"/>
          <w:lang w:val="en-US" w:eastAsia="zh-CN"/>
        </w:rPr>
        <w:t>该费用</w:t>
      </w:r>
      <w:r>
        <w:rPr>
          <w:rFonts w:hint="eastAsia" w:ascii="楷体" w:hAnsi="楷体" w:eastAsia="楷体" w:cs="楷体"/>
          <w:b w:val="0"/>
          <w:bCs w:val="0"/>
          <w:color w:val="auto"/>
          <w:szCs w:val="21"/>
          <w:u w:val="none"/>
          <w:lang w:val="en-US" w:eastAsia="zh-CN"/>
        </w:rPr>
        <w:t>由投资者承担并于赎回份额时一次性支付。</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示例：</w:t>
      </w:r>
      <w:r>
        <w:rPr>
          <w:rFonts w:hint="eastAsia" w:ascii="楷体" w:hAnsi="楷体" w:eastAsia="楷体" w:cs="楷体"/>
          <w:b w:val="0"/>
          <w:bCs w:val="0"/>
          <w:color w:val="auto"/>
          <w:szCs w:val="21"/>
          <w:u w:val="none"/>
          <w:lang w:eastAsia="zh-CN"/>
        </w:rPr>
        <w:t>【假定某投资者在赎回开放日赎回100份理财产品份额，赎回费率为0.00%，理财产品份额净值为1.05300元人民币时赎回。</w:t>
      </w:r>
      <w:r>
        <w:rPr>
          <w:rFonts w:hint="eastAsia" w:ascii="楷体" w:hAnsi="楷体" w:eastAsia="楷体" w:cs="楷体"/>
          <w:b w:val="0"/>
          <w:bCs w:val="0"/>
          <w:color w:val="auto"/>
          <w:szCs w:val="21"/>
          <w:u w:val="none"/>
          <w:lang w:eastAsia="zh-CN"/>
        </w:rPr>
        <w:br w:type="textWrapping"/>
      </w:r>
      <w:r>
        <w:rPr>
          <w:rFonts w:hint="eastAsia" w:ascii="楷体" w:hAnsi="楷体" w:eastAsia="楷体" w:cs="楷体"/>
          <w:b w:val="0"/>
          <w:bCs w:val="0"/>
          <w:color w:val="auto"/>
          <w:szCs w:val="21"/>
          <w:u w:val="none"/>
          <w:lang w:eastAsia="zh-CN"/>
        </w:rPr>
        <w:t xml:space="preserve">    投资者应得赎回资金＝100×（1-0.00%）×1.05300＝105.30元人民币】</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（三）产品的其他交易规则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1</w:t>
      </w:r>
      <w:r>
        <w:rPr>
          <w:rFonts w:hint="eastAsia" w:ascii="楷体" w:hAnsi="楷体" w:eastAsia="楷体" w:cs="楷体"/>
          <w:b w:val="0"/>
          <w:bCs w:val="0"/>
          <w:szCs w:val="21"/>
          <w:u w:val="none"/>
        </w:rPr>
        <w:t>.非交易过户：因司法执行、继承和赠予等活动产生的相关理财产品份额的过户为非交易过户，进行非交易过户的转出方和转入方都须在销售机构开设有本理财业务的授权指定账户，并须向管理人出示相关的法律文件正本及相关复印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.份额冻结：管理人、销售机构可协助司法机关等因执行公务需要冻结客户的理财份额。</w:t>
      </w:r>
    </w:p>
    <w:p>
      <w:pPr>
        <w:spacing w:before="120" w:after="120"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.强制赎回：管理人、销售机构可协助司法机关等因执行公务需要，凭有关执行文件强制将客户本产品理财份额赎回，赎回的金额将划入该客户原授权指定账户。</w:t>
      </w:r>
    </w:p>
    <w:p>
      <w:pPr>
        <w:spacing w:before="120" w:after="120" w:line="360" w:lineRule="auto"/>
        <w:ind w:firstLine="0" w:firstLineChars="0"/>
        <w:contextualSpacing/>
        <w:rPr>
          <w:rFonts w:hint="eastAsia" w:ascii="楷体" w:hAnsi="楷体" w:eastAsia="楷体" w:cs="楷体"/>
          <w:b/>
          <w:bCs/>
          <w:sz w:val="28"/>
          <w:szCs w:val="28"/>
          <w:u w:val="none"/>
        </w:rPr>
      </w:pPr>
      <w:r>
        <w:rPr>
          <w:rFonts w:hint="eastAsia" w:ascii="楷体" w:hAnsi="楷体" w:eastAsia="楷体"/>
          <w:b/>
          <w:bCs/>
          <w:sz w:val="28"/>
          <w:szCs w:val="28"/>
          <w:u w:val="none"/>
        </w:rPr>
        <w:t>六、</w:t>
      </w:r>
      <w:r>
        <w:rPr>
          <w:rFonts w:hint="eastAsia" w:ascii="楷体" w:hAnsi="楷体" w:eastAsia="楷体" w:cs="楷体"/>
          <w:b/>
          <w:bCs/>
          <w:sz w:val="28"/>
          <w:szCs w:val="28"/>
          <w:u w:val="none"/>
        </w:rPr>
        <w:t>理财产品估值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u w:val="none"/>
          <w:lang w:eastAsia="zh-CN"/>
        </w:rPr>
        <w:t>【本理财产品存续期间（除封闭期起始日至封闭期结束日前一日外），每个交易日、理财产品收益分配基准日以及理财产品终止日为估值日，投资封闭期内每月的27日（如遇非交易日则提前至上一个交易日）为产品估值日】</w:t>
      </w:r>
      <w:r>
        <w:rPr>
          <w:rFonts w:hint="eastAsia" w:ascii="楷体" w:hAnsi="楷体" w:eastAsia="楷体" w:cs="楷体"/>
          <w:b w:val="0"/>
          <w:bCs w:val="0"/>
          <w:szCs w:val="21"/>
          <w:highlight w:val="none"/>
          <w:u w:val="none"/>
        </w:rPr>
        <w:t>。</w:t>
      </w:r>
      <w:r>
        <w:rPr>
          <w:rFonts w:hint="eastAsia" w:ascii="楷体" w:hAnsi="楷体" w:eastAsia="楷体" w:cs="楷体"/>
          <w:b w:val="0"/>
          <w:bCs w:val="0"/>
          <w:color w:val="auto"/>
          <w:u w:val="none"/>
        </w:rPr>
        <w:t>管理人在估值日扣除理财产品承担的各项费用、税费（如有）后，计算理财产品</w:t>
      </w:r>
      <w:r>
        <w:rPr>
          <w:rFonts w:hint="eastAsia" w:ascii="楷体" w:hAnsi="楷体" w:eastAsia="楷体" w:cs="楷体"/>
          <w:b w:val="0"/>
          <w:bCs w:val="0"/>
          <w:color w:val="auto"/>
          <w:u w:val="none"/>
          <w:lang w:val="en-US" w:eastAsia="zh-CN"/>
        </w:rPr>
        <w:t>份额</w:t>
      </w:r>
      <w:r>
        <w:rPr>
          <w:rFonts w:hint="eastAsia" w:ascii="楷体" w:hAnsi="楷体" w:eastAsia="楷体" w:cs="楷体"/>
          <w:b w:val="0"/>
          <w:bCs w:val="0"/>
          <w:color w:val="auto"/>
          <w:u w:val="none"/>
        </w:rPr>
        <w:t>净值</w:t>
      </w:r>
      <w:r>
        <w:rPr>
          <w:rFonts w:hint="eastAsia" w:ascii="楷体" w:hAnsi="楷体" w:eastAsia="楷体" w:cs="楷体"/>
          <w:b w:val="0"/>
          <w:bCs w:val="0"/>
          <w:color w:val="auto"/>
          <w:u w:val="none"/>
          <w:lang w:val="en-US" w:eastAsia="zh-CN"/>
        </w:rPr>
        <w:t>和</w:t>
      </w:r>
      <w:r>
        <w:rPr>
          <w:rFonts w:hint="eastAsia" w:ascii="楷体" w:hAnsi="楷体" w:eastAsia="楷体" w:cs="楷体"/>
          <w:b w:val="0"/>
          <w:bCs w:val="0"/>
          <w:color w:val="auto"/>
          <w:szCs w:val="21"/>
          <w:u w:val="none"/>
          <w:lang w:val="en-US" w:eastAsia="zh-CN"/>
        </w:rPr>
        <w:t>理财产品份额累计净值</w:t>
      </w:r>
      <w:r>
        <w:rPr>
          <w:rFonts w:hint="eastAsia" w:ascii="楷体" w:hAnsi="楷体" w:eastAsia="楷体" w:cs="楷体"/>
          <w:b w:val="0"/>
          <w:bCs w:val="0"/>
          <w:color w:val="auto"/>
          <w:u w:val="none"/>
        </w:rPr>
        <w:t>，并于估值日后</w:t>
      </w:r>
      <w:r>
        <w:rPr>
          <w:rFonts w:hint="eastAsia" w:ascii="楷体" w:hAnsi="楷体" w:eastAsia="楷体" w:cs="楷体"/>
          <w:b w:val="0"/>
          <w:bCs w:val="0"/>
          <w:color w:val="auto"/>
          <w:highlight w:val="none"/>
          <w:u w:val="none"/>
          <w:lang w:val="en-US" w:eastAsia="zh-CN"/>
        </w:rPr>
        <w:t>2个工作日</w:t>
      </w:r>
      <w:r>
        <w:rPr>
          <w:rFonts w:hint="eastAsia" w:ascii="楷体" w:hAnsi="楷体" w:eastAsia="楷体" w:cs="楷体"/>
          <w:b w:val="0"/>
          <w:bCs w:val="0"/>
          <w:color w:val="auto"/>
          <w:u w:val="none"/>
        </w:rPr>
        <w:t>内通过“信息披露”约定的渠道发布。</w:t>
      </w:r>
      <w:r>
        <w:rPr>
          <w:rFonts w:hint="eastAsia" w:ascii="楷体" w:hAnsi="楷体" w:eastAsia="楷体" w:cs="楷体"/>
          <w:b w:val="0"/>
          <w:bCs w:val="0"/>
          <w:szCs w:val="21"/>
          <w:highlight w:val="none"/>
          <w:u w:val="none"/>
        </w:rPr>
        <w:t>管理人有权对以上</w:t>
      </w:r>
      <w:r>
        <w:rPr>
          <w:rFonts w:hint="eastAsia" w:ascii="楷体" w:hAnsi="楷体" w:eastAsia="楷体" w:cs="楷体"/>
          <w:b w:val="0"/>
          <w:bCs w:val="0"/>
          <w:szCs w:val="21"/>
          <w:highlight w:val="none"/>
          <w:u w:val="none"/>
          <w:lang w:eastAsia="zh-CN"/>
        </w:rPr>
        <w:t>产品估值规则</w:t>
      </w:r>
      <w:r>
        <w:rPr>
          <w:rFonts w:hint="eastAsia" w:ascii="楷体" w:hAnsi="楷体" w:eastAsia="楷体" w:cs="楷体"/>
          <w:b w:val="0"/>
          <w:bCs w:val="0"/>
          <w:szCs w:val="21"/>
          <w:highlight w:val="none"/>
          <w:u w:val="none"/>
        </w:rPr>
        <w:t>进行修改，并通过</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lang w:val="en-US" w:eastAsia="zh-CN"/>
        </w:rPr>
        <w:t>产品说明书</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“信息披露”约定的方式进行披露。</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净值指1份理财产品份额以人民币计价的价格。</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理财产品某一类份额的</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净值＝理财产品该类份额</w:t>
      </w:r>
      <w:r>
        <w:rPr>
          <w:rFonts w:hint="eastAsia" w:ascii="楷体" w:hAnsi="楷体" w:eastAsia="楷体" w:cs="楷体"/>
          <w:b w:val="0"/>
          <w:bCs w:val="0"/>
          <w:szCs w:val="21"/>
          <w:highlight w:val="none"/>
          <w:u w:val="none"/>
          <w:lang w:val="en-US" w:eastAsia="zh-CN"/>
        </w:rPr>
        <w:t>资产净值</w:t>
      </w:r>
      <w:r>
        <w:rPr>
          <w:rFonts w:hint="eastAsia" w:ascii="楷体" w:hAnsi="楷体" w:eastAsia="楷体" w:cs="楷体"/>
          <w:b w:val="0"/>
          <w:bCs w:val="0"/>
          <w:szCs w:val="21"/>
          <w:highlight w:val="none"/>
          <w:u w:val="none"/>
        </w:rPr>
        <w:t>÷理财产品该类份额总份额</w:t>
      </w:r>
    </w:p>
    <w:p>
      <w:pPr>
        <w:spacing w:line="360" w:lineRule="auto"/>
        <w:ind w:firstLine="422" w:firstLineChars="200"/>
        <w:contextualSpacing/>
        <w:outlineLvl w:val="1"/>
        <w:rPr>
          <w:rFonts w:hint="eastAsia" w:ascii="楷体" w:hAnsi="楷体" w:eastAsia="楷体" w:cs="楷体"/>
          <w:b/>
          <w:bCs/>
          <w:szCs w:val="21"/>
          <w:u w:val="none"/>
        </w:rPr>
      </w:pPr>
      <w:r>
        <w:rPr>
          <w:rFonts w:hint="eastAsia" w:ascii="楷体" w:hAnsi="楷体" w:eastAsia="楷体" w:cs="楷体"/>
          <w:b/>
          <w:bCs/>
          <w:szCs w:val="21"/>
          <w:u w:val="none"/>
          <w:lang w:val="en-US" w:eastAsia="zh-CN"/>
        </w:rPr>
        <w:t xml:space="preserve">（一）估值原则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1.适配性原则：金融资产的估值方法与理财产品的类型相匹配。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2.审慎性原则：审慎确认和计量金融资产的公允价值，不高估公允价值收益，不低估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textAlignment w:val="auto"/>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公允价值损失。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3.充分性原则：估值过程中充分考虑金融资产的性质、重要性级及复杂程度等因素。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4.清晰性原则：估值方法应清晰明了，便于理解和应用，能清晰反应金融资产的性质。</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二</w:t>
      </w:r>
      <w:r>
        <w:rPr>
          <w:rFonts w:hint="eastAsia" w:ascii="楷体" w:hAnsi="楷体" w:eastAsia="楷体" w:cs="楷体"/>
          <w:sz w:val="21"/>
          <w:u w:val="none"/>
        </w:rPr>
        <w:t>）估值方法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直接持有在证券交易所上市的股票，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直接持有的在证券交易所和全国银行间市场交易的债券，按第三方估值机构（中债、中证等）提供的估值数据，对本组合持有的债券进行估值，具体第三方估值机构由管理人和托管行具体协商确定。如监管另有规定的，按照监管的最新规定进行调整。如本组合持有的债券在本产品存续期内，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3.未上市期间的有价证券（如有）应区分如下情况处理：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（1）送股、转增股、配股和公开增发新股，按估值日在证券交易所挂牌的同一股票的市价（收盘价）估值；该日无交易的，以最近交易日市价（收盘价）估值；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（2）首次公开发行未上市或未挂牌转让的股票、债券，采用估值技术确定公允价值，在估值技术难以可靠计量公允价值的情况下，按成本估值；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4.交易所上市未实行净价交易的债券按估值日收盘全价或第三方估值机构提供的相应品种当日的估值全价减去收盘价或估值全价中所含的债券应收利息得到的净价进行估值。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5.可转换私募债券（如有）和可交换私募债券（如有）未转股前按照公允价值估值。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6.投资于信托计划、资产管理计划等的资产：</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（1）按合同约定的估值方案，以信托计划的受托人、资产管理计划的管理人等和资产托管人共同确认的最新估值数据对本组合持有的资管计划进行估值；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（2）非标准化债权资产通常不存在活跃报价的交易市场，通过估值技术确定其公允价值。如监管另有规定的，按照监管的最新规定进行调整。</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7.债券回购和拆借按买入成本列示，按照票面利率或者商定利率每日计提收益。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8.投资证券投资基金的估值方法：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（1）对于交易所上市的ETF基金、定期开放式基金、封闭式基金，按其所在证券交易所的收盘价估值；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（2）对于交易所上市的开放式基金（LOF），按所投资基金的基金管理人披露且可取得的最新净值（如无当日则为上一交易日）进行估值；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对于交易所上市交易型货币市场基金，如基金管理人披露单位净值，则按所投资基金的基金管理人披露的估值日单位净值进行估值；如基金管理人披露万份（百份）收益，则按所投资基金前一估值日后至估值日期间（含节假日）的万份（百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（4）对于未在交易所上市的场外基金，按可取得的最新净值（如无当日则为上一交易日）的基金单位净值估值；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（5）对于未在交易所上市的货币市场基金，按基金管理公司披露的可取得的最新净值（如无当日则为上一交易日）每万份收益计提收益；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如遇所投资基金不公布基金单位净值、进行折算或拆分、估值日无交易等特殊情况，应根据以下原则进行估值：以所投资基金的基金单位净值估值的，若所投资基金与理财产品估值频率一致但未公布估值日基金单位净值，以其最近公布的基金单位净值为基础估值。以所投资基金的收盘价估值的，若估值日无交易，且最近交易日后市场环境未发生重大变化，以最近交易日的收盘价估值；如最近交易日后市场环境发生了重大变化的，可使用最新的基金单位净值为基础或参考类似投资品种的现行市价及重大变化因素调整最近交易市价，确定公允价值。如果所投资基金前一估值日至估值日期间发生分红除权、折算或拆分，应根据基金单位净值或收盘价、单位基金份额分红金额、折算拆分比例、持仓份额等因素合理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证券交易所及全国中小企业股份转让系统等市场交易的优先股，其交易量及交易频率足以持续提供价格的，估值日有交易，可按估值日收盘价估值；估值日无交易，且最近交易日后市场环境未发生重大变化，可参考类似投资品种的现行市价及重大变化因素调整最近交易市价，确定公允价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不满足上述条件的，可根据优先股的股息支付条款，采用现金流折现模型等估值模型，或第三方估值机构提供的价格数据估值,当上述价格难以获取且认为成本能够近似体现公允价值，可采用成本法估值。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10.若理财产品存续期间持有其他投资品种，以理财产品管理人和理财产品托管人共同认可的方法估值。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11.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12.对于以上估值方法，相关法律法规以及监管部门有另行规定的，按照监管最新规定执行。如监管并无明确规定和要求的，由产品管理人与托管人协商确定计算方法。</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13.按以上估值方法进行估值时，所造成的误差不作为理财产品单位资产净值错误处理。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14.扣除项：应由理财产品承担的固定投资管理费用、托管费、销售管理费和税款（如有）。</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三</w:t>
      </w:r>
      <w:r>
        <w:rPr>
          <w:rFonts w:hint="eastAsia" w:ascii="楷体" w:hAnsi="楷体" w:eastAsia="楷体" w:cs="楷体"/>
          <w:sz w:val="21"/>
          <w:u w:val="none"/>
        </w:rPr>
        <w:t>）暂停估值的情形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1.因不可抗力或其他情形致使理财产品管理人、理财产品托管人无法准确评估资产价值时；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理财产品投资的信托计划/资管计划合同约定暂停估值或无法估值的情形发生，导致理财产品无法估值的；其中，产品资产净值50%以上的资产不具备活跃交易市场或者在活跃市场中无报价，且不能采用估值技术可靠计量公允价值的，管理人应当暂停产品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3.占理财产品相当比例的投资品种的估值出现重大转变，而管理人为保障投资者的利益，已决定延迟估值；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4.投资管理人、理财产品托管人有合理理由认为将影响本理财产品估值的其他情形发生。</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四</w:t>
      </w:r>
      <w:r>
        <w:rPr>
          <w:rFonts w:hint="eastAsia" w:ascii="楷体" w:hAnsi="楷体" w:eastAsia="楷体" w:cs="楷体"/>
          <w:sz w:val="21"/>
          <w:u w:val="none"/>
        </w:rPr>
        <w:t>）估值错误的处理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理财产品管理人和理财产品托管人将采取必要、适当、合理的措施确保理财产品估值的准确性、及时性。</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1.估值错误处理原则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pPr>
        <w:spacing w:line="360" w:lineRule="auto"/>
        <w:ind w:firstLine="422" w:firstLineChars="200"/>
        <w:contextualSpacing/>
        <w:rPr>
          <w:rFonts w:hint="eastAsia" w:ascii="楷体" w:hAnsi="楷体" w:eastAsia="楷体" w:cs="楷体"/>
          <w:b/>
          <w:bCs/>
          <w:szCs w:val="21"/>
          <w:u w:val="none"/>
        </w:rPr>
      </w:pPr>
      <w:r>
        <w:rPr>
          <w:rFonts w:hint="eastAsia" w:ascii="楷体" w:hAnsi="楷体" w:eastAsia="楷体" w:cs="楷体"/>
          <w:b/>
          <w:bCs/>
          <w:szCs w:val="21"/>
          <w:u w:val="none"/>
        </w:rPr>
        <w:t>（4）当估值出现错误时，因估值错误而获得不当得利的投资者负有及时返还不当得利的义务。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（5）按法律法规规定的其他原则处理估值错误。</w:t>
      </w:r>
    </w:p>
    <w:p>
      <w:pPr>
        <w:spacing w:line="360" w:lineRule="auto"/>
        <w:ind w:firstLine="420" w:firstLineChars="200"/>
        <w:contextualSpacing/>
        <w:outlineLvl w:val="2"/>
        <w:rPr>
          <w:rFonts w:hint="eastAsia" w:ascii="楷体" w:hAnsi="楷体" w:eastAsia="楷体" w:cs="楷体"/>
          <w:b w:val="0"/>
          <w:bCs w:val="0"/>
          <w:szCs w:val="21"/>
          <w:u w:val="none"/>
        </w:rPr>
      </w:pPr>
      <w:r>
        <w:rPr>
          <w:rFonts w:hint="eastAsia" w:ascii="楷体" w:hAnsi="楷体" w:eastAsia="楷体" w:cs="楷体"/>
          <w:b w:val="0"/>
          <w:bCs w:val="0"/>
          <w:szCs w:val="21"/>
          <w:u w:val="none"/>
        </w:rPr>
        <w:t>2.估值错误处理程序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估值错误被发现后，理财产品管理人和理财产品托管人应当及时进行处理，处理的程序如下：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（1）查明估值错误发生的原因，列明所有的管理人和托管人并根据估值错误发生的原因确定估值错误的责任方；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（2）根据估值错误处理原则对因估值错误造成的损失进行评估；</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（3）根据理财产品管理人和理财产品托管人协商的方法，由理财产品管理人和理财产品托管人共同进行更正，由估值错误的责任方进行赔偿损失。</w:t>
      </w:r>
    </w:p>
    <w:p>
      <w:pPr>
        <w:pStyle w:val="3"/>
        <w:spacing w:before="0" w:after="0" w:line="360" w:lineRule="auto"/>
        <w:ind w:firstLine="422" w:firstLineChars="200"/>
        <w:rPr>
          <w:rFonts w:hint="eastAsia" w:ascii="楷体" w:hAnsi="楷体" w:eastAsia="楷体" w:cs="楷体"/>
          <w:sz w:val="21"/>
          <w:u w:val="none"/>
        </w:rPr>
      </w:pPr>
      <w:r>
        <w:rPr>
          <w:rFonts w:hint="eastAsia" w:ascii="楷体" w:hAnsi="楷体" w:eastAsia="楷体" w:cs="楷体"/>
          <w:sz w:val="21"/>
          <w:u w:val="none"/>
        </w:rPr>
        <w:t>（</w:t>
      </w:r>
      <w:r>
        <w:rPr>
          <w:rFonts w:hint="eastAsia" w:ascii="楷体" w:hAnsi="楷体" w:eastAsia="楷体" w:cs="楷体"/>
          <w:sz w:val="21"/>
          <w:u w:val="none"/>
          <w:lang w:val="en-US" w:eastAsia="zh-CN"/>
        </w:rPr>
        <w:t>五</w:t>
      </w:r>
      <w:r>
        <w:rPr>
          <w:rFonts w:hint="eastAsia" w:ascii="楷体" w:hAnsi="楷体" w:eastAsia="楷体" w:cs="楷体"/>
          <w:sz w:val="21"/>
          <w:u w:val="none"/>
        </w:rPr>
        <w:t>）特殊情况的处理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1.理财产品投资管理人、理财产品托管人按本说明书估值方法进行估值时，所造成的误差不作为估值错误处理。</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由于不可抗力原因，或由于证券交易所、期货交易所、第三方估值机构、信托公司、基金公司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前述内容如法律法规、监管机关另有规定的，或有关会计准则发生变化等，按照国家最新规定或理财产品管理人最新约定估值。如果行业另有通行做法，理财产品管理人和理财产品托管人本着平等和保护份额持有人利益的原则进行协商。</w:t>
      </w:r>
    </w:p>
    <w:p>
      <w:pPr>
        <w:pStyle w:val="2"/>
        <w:spacing w:before="120" w:after="120" w:line="240" w:lineRule="auto"/>
        <w:rPr>
          <w:rFonts w:hint="eastAsia" w:ascii="楷体" w:hAnsi="楷体" w:eastAsia="楷体" w:cs="楷体"/>
          <w:sz w:val="28"/>
          <w:szCs w:val="28"/>
          <w:u w:val="none"/>
        </w:rPr>
      </w:pPr>
      <w:bookmarkStart w:id="13" w:name="_Toc98680963"/>
      <w:r>
        <w:rPr>
          <w:rFonts w:hint="eastAsia" w:ascii="楷体" w:hAnsi="楷体" w:eastAsia="楷体"/>
          <w:sz w:val="28"/>
          <w:szCs w:val="28"/>
          <w:u w:val="none"/>
        </w:rPr>
        <w:t>七</w:t>
      </w:r>
      <w:r>
        <w:rPr>
          <w:rFonts w:ascii="楷体" w:hAnsi="楷体" w:eastAsia="楷体"/>
          <w:sz w:val="28"/>
          <w:szCs w:val="28"/>
          <w:u w:val="none"/>
        </w:rPr>
        <w:t>、</w:t>
      </w:r>
      <w:r>
        <w:rPr>
          <w:rFonts w:hint="eastAsia" w:ascii="楷体" w:hAnsi="楷体" w:eastAsia="楷体" w:cs="楷体"/>
          <w:sz w:val="28"/>
          <w:szCs w:val="28"/>
          <w:u w:val="none"/>
        </w:rPr>
        <w:t>产品管理人、托管人和销售机构</w:t>
      </w:r>
      <w:bookmarkEnd w:id="13"/>
    </w:p>
    <w:p>
      <w:pPr>
        <w:pStyle w:val="3"/>
        <w:spacing w:before="0" w:after="0" w:line="360" w:lineRule="auto"/>
        <w:ind w:firstLine="422" w:firstLineChars="200"/>
        <w:rPr>
          <w:rFonts w:hint="eastAsia" w:ascii="楷体" w:hAnsi="楷体" w:eastAsia="楷体" w:cs="楷体"/>
          <w:u w:val="none"/>
        </w:rPr>
      </w:pPr>
      <w:bookmarkStart w:id="14" w:name="_Toc98680964"/>
      <w:r>
        <w:rPr>
          <w:rFonts w:hint="eastAsia" w:ascii="楷体" w:hAnsi="楷体" w:eastAsia="楷体" w:cs="楷体"/>
          <w:sz w:val="21"/>
          <w:u w:val="none"/>
        </w:rPr>
        <w:t>（一）产品管理人</w:t>
      </w:r>
      <w:bookmarkEnd w:id="14"/>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本理财产品的产品管理人为上银理财有限责任公司。</w:t>
      </w:r>
    </w:p>
    <w:p>
      <w:pPr>
        <w:snapToGrid w:val="0"/>
        <w:spacing w:line="360" w:lineRule="auto"/>
        <w:ind w:firstLine="420" w:firstLineChars="200"/>
        <w:rPr>
          <w:rFonts w:hint="eastAsia" w:ascii="楷体" w:hAnsi="楷体" w:eastAsia="楷体" w:cs="楷体"/>
          <w:b w:val="0"/>
          <w:bCs w:val="0"/>
          <w:szCs w:val="21"/>
          <w:u w:val="none"/>
        </w:rPr>
      </w:pPr>
      <w:r>
        <w:rPr>
          <w:rFonts w:hint="eastAsia" w:ascii="楷体" w:hAnsi="楷体" w:eastAsia="楷体" w:cs="楷体"/>
          <w:b w:val="0"/>
          <w:bCs w:val="0"/>
          <w:szCs w:val="21"/>
          <w:u w:val="none"/>
        </w:rPr>
        <w:t>基本信息如下：</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机构名称</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地址</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上海市黄浦区中山南路666弄2幢2号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2"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上银理财有限责任公司负责本理财产品的投资运作和产品管理。</w:t>
            </w:r>
          </w:p>
        </w:tc>
      </w:tr>
    </w:tbl>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投资者在此授权并同意上银理财享有以下权利：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的约定，管理、运用和处分理财产品资金；</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2.按照本理财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的约定，及时、足额获得固定投资管理费和本《产品说明书》约定的其他费用（如有）；</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3.管理人以其固有财产先行垫付因处理本理财产品相关事务所支出的理财产品费用及税费的，对理财产品资金享有优先受偿的权利；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4.管理人有权根据本理财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的约定提前终止或延长本理财产品的期限；</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5.管理人有权单方调整本理财产品的</w:t>
      </w:r>
      <w:r>
        <w:rPr>
          <w:rFonts w:hint="eastAsia" w:ascii="楷体" w:hAnsi="楷体" w:eastAsia="楷体" w:cs="楷体"/>
          <w:b w:val="0"/>
          <w:bCs w:val="0"/>
          <w:szCs w:val="21"/>
          <w:u w:val="none"/>
          <w:lang w:val="en-US" w:eastAsia="zh-CN"/>
        </w:rPr>
        <w:t>销售起点金额及递增金额、投资者认购、申购和赎回的数量限制、投资者持有本产品的最高限额、最低限额、产品规模上限、业绩比较基准、费率</w:t>
      </w:r>
      <w:r>
        <w:rPr>
          <w:rFonts w:hint="eastAsia" w:ascii="楷体" w:hAnsi="楷体" w:eastAsia="楷体" w:cs="楷体"/>
          <w:b w:val="0"/>
          <w:bCs w:val="0"/>
          <w:szCs w:val="21"/>
          <w:u w:val="none"/>
        </w:rPr>
        <w:t>等要素；</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6.管理人有权按照法律规定和监管机构的要求将投资者的信息向有权部门或相关机构披露；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7.以理财产品投资管理人的名义，依照法律法规相关规定以及为理财产品的利益，对被投资的信托计划、资管计划、各类基金（含公募基金和私募基金）、公司/企业等行使出资人/投资者权利（包括但不限于表决投票的权利）以及行使因理财产品财产投资于证券类基础资产（含债券、股票等）或其他基础资产（包括但不限于债权类资产）所产生的相关权利。</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8.以理财产品投资管理人的名义，依照法律法规相关规定以及代表理财产品份额持有人的利益行使代为追索的权利（包括但不限于提起诉讼/仲裁、申请保全/执行的权利）或者实施其他风险处置，行使、放弃、变更相关权利义务等法律行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9.在法律法规、监管政策允许的前提下调整估值日。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10.法律法规、监管政策和本理财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约定的其他权利。</w:t>
      </w:r>
    </w:p>
    <w:p>
      <w:pPr>
        <w:pStyle w:val="3"/>
        <w:spacing w:before="0" w:after="0" w:line="360" w:lineRule="auto"/>
        <w:ind w:firstLine="422" w:firstLineChars="200"/>
        <w:rPr>
          <w:rFonts w:hint="eastAsia" w:ascii="楷体" w:hAnsi="楷体" w:eastAsia="楷体" w:cs="楷体"/>
          <w:sz w:val="21"/>
          <w:u w:val="none"/>
        </w:rPr>
      </w:pPr>
      <w:bookmarkStart w:id="15" w:name="_Toc98680965"/>
      <w:r>
        <w:rPr>
          <w:rFonts w:hint="eastAsia" w:ascii="楷体" w:hAnsi="楷体" w:eastAsia="楷体" w:cs="楷体"/>
          <w:sz w:val="21"/>
          <w:u w:val="none"/>
        </w:rPr>
        <w:t>（二）托管人</w:t>
      </w:r>
      <w:bookmarkEnd w:id="15"/>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szCs w:val="21"/>
          <w:u w:val="none"/>
        </w:rPr>
        <w:t>本理财产品的托管人</w:t>
      </w:r>
      <w:r>
        <w:rPr>
          <w:rFonts w:hint="eastAsia" w:ascii="楷体" w:hAnsi="楷体" w:eastAsia="楷体" w:cs="楷体"/>
          <w:b w:val="0"/>
          <w:bCs w:val="0"/>
          <w:color w:val="auto"/>
          <w:szCs w:val="21"/>
          <w:u w:val="none"/>
        </w:rPr>
        <w:t>为</w:t>
      </w:r>
      <w:r>
        <w:rPr>
          <w:rFonts w:hint="eastAsia" w:ascii="楷体" w:hAnsi="楷体" w:eastAsia="楷体" w:cs="楷体"/>
          <w:b w:val="0"/>
          <w:bCs w:val="0"/>
          <w:color w:val="auto"/>
          <w:szCs w:val="21"/>
          <w:u w:val="none"/>
          <w:lang w:eastAsia="zh-CN"/>
        </w:rPr>
        <w:t>【上海银行股份有限公司】</w:t>
      </w:r>
      <w:r>
        <w:rPr>
          <w:rFonts w:hint="eastAsia" w:ascii="楷体" w:hAnsi="楷体" w:eastAsia="楷体" w:cs="楷体"/>
          <w:b w:val="0"/>
          <w:bCs w:val="0"/>
          <w:color w:val="auto"/>
          <w:szCs w:val="21"/>
          <w:u w:val="none"/>
        </w:rPr>
        <w:t>。</w:t>
      </w:r>
    </w:p>
    <w:p>
      <w:pPr>
        <w:snapToGrid w:val="0"/>
        <w:spacing w:line="360" w:lineRule="auto"/>
        <w:ind w:firstLine="420" w:firstLineChars="200"/>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基本信息如下：</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5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9"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主要职责</w:t>
            </w:r>
          </w:p>
        </w:tc>
        <w:tc>
          <w:tcPr>
            <w:tcW w:w="5382"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bidi="ar"/>
              </w:rPr>
              <w:t>由</w:t>
            </w:r>
            <w:r>
              <w:rPr>
                <w:rFonts w:hint="eastAsia" w:ascii="楷体" w:hAnsi="楷体" w:eastAsia="楷体" w:cs="楷体"/>
                <w:b w:val="0"/>
                <w:bCs w:val="0"/>
                <w:color w:val="auto"/>
                <w:szCs w:val="21"/>
                <w:u w:val="none"/>
                <w:lang w:val="en-US" w:eastAsia="zh-CN" w:bidi="ar"/>
              </w:rPr>
              <w:t>托管人机构</w:t>
            </w:r>
            <w:r>
              <w:rPr>
                <w:rFonts w:hint="eastAsia" w:ascii="楷体" w:hAnsi="楷体" w:eastAsia="楷体" w:cs="楷体"/>
                <w:b w:val="0"/>
                <w:bCs w:val="0"/>
                <w:color w:val="auto"/>
                <w:szCs w:val="21"/>
                <w:u w:val="none"/>
                <w:lang w:bidi="ar"/>
              </w:rPr>
              <w:t>提供包括账户开立、资金保管、资金清算、估值核算等理财产品托管服务。</w:t>
            </w:r>
          </w:p>
        </w:tc>
      </w:tr>
    </w:tbl>
    <w:p>
      <w:pPr>
        <w:pStyle w:val="3"/>
        <w:spacing w:before="0" w:after="0" w:line="360" w:lineRule="auto"/>
        <w:ind w:firstLine="422" w:firstLineChars="200"/>
        <w:rPr>
          <w:rFonts w:hint="eastAsia" w:ascii="楷体" w:hAnsi="楷体" w:eastAsia="楷体" w:cs="楷体"/>
          <w:color w:val="auto"/>
          <w:sz w:val="21"/>
          <w:u w:val="none"/>
        </w:rPr>
      </w:pPr>
      <w:r>
        <w:rPr>
          <w:rFonts w:hint="eastAsia" w:ascii="楷体" w:hAnsi="楷体" w:eastAsia="楷体" w:cs="楷体"/>
          <w:color w:val="auto"/>
          <w:sz w:val="21"/>
          <w:u w:val="none"/>
        </w:rPr>
        <w:t>（三）销售机构</w:t>
      </w:r>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【张家口银行股份有限公司】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【河北省张家口市桥东区胜利北路51号】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【4006896368】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【江苏张家港农村商业银行股份有限公司】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【江苏省张家港市人民中路66号】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【96065】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【浙江上虞农村商业银行股份有限公司】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【浙江省百官街道德盛路55号】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【浙江桐乡农村商业银行股份有限公司】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【浙江省嘉兴市桐乡市梧桐街道校场东路59号】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【宁波鄞州农村商业银行股份有限公司】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【浙江省宁波市鄞州区民惠西路88号】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【956058】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【浙江乐清农村商业银行股份有限公司】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【浙江省乐清市城南街道伯乐西路99号】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【吉林银行股份有限公司】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【吉林省长春市南关区人民大街10666号】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【浙江青田农村商业银行股份有限公司】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【浙江省青田县鹤城街道鹤城东路180号】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【浙江义乌农村商业银行股份有限公司】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【浙江省义乌市福田街道城北路677号】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【浙江长兴农村商业银行股份有限公司】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【浙江省湖州市长兴县太湖街道明珠路1298号】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【杭州联合农村商业银行股份有限公司】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【浙江省杭州市上城区小营街道建国中路99号】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【浙江绍兴瑞丰农村商业银行股份有限公司】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【浙江省绍兴市柯桥区柯桥笛扬路1363号】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【4008896596】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【浙江德清农村商业银行股份有限公司】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【浙江省德清县武康街道沈长圩街50号】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【0572-8434389】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【上海市黄浦区中山南路688号】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【宁波镇海农村商业银行股份有限公司】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【浙江省宁波市镇海区骆驼街道镇海大道中段788号】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【九江银行股份有限公司】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【江西省九江市濂溪区长虹大道619号】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【95316】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【宁波慈溪农村商业银行股份有限公司】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【浙江省慈溪市浒山街道南城路25号、59号5-6层】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【(0571)96596】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tbl>
      <w:tblPr>
        <w:tblStyle w:val="10"/>
        <w:tblW w:w="7781" w:type="dxa"/>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7"/>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机构名称</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【苏州银行股份有限公司】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地址</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【江苏省苏州工业园区钟园路728号】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rPr>
              <w:t>客户服务热线</w:t>
            </w:r>
          </w:p>
        </w:tc>
        <w:tc>
          <w:tcPr>
            <w:tcW w:w="5384" w:type="dxa"/>
            <w:vAlign w:val="center"/>
          </w:tcPr>
          <w:p>
            <w:pPr>
              <w:contextualSpacing/>
              <w:rPr>
                <w:rFonts w:hint="eastAsia" w:ascii="楷体" w:hAnsi="楷体" w:eastAsia="楷体" w:cs="楷体"/>
                <w:b w:val="0"/>
                <w:bCs w:val="0"/>
                <w:color w:val="auto"/>
                <w:szCs w:val="21"/>
                <w:u w:val="none"/>
                <w:lang w:eastAsia="zh-CN"/>
              </w:rPr>
            </w:pPr>
            <w:r>
              <w:rPr>
                <w:rFonts w:hint="eastAsia" w:ascii="楷体" w:hAnsi="楷体" w:eastAsia="楷体" w:cs="楷体"/>
                <w:b w:val="0"/>
                <w:bCs w:val="0"/>
                <w:color w:val="auto"/>
                <w:szCs w:val="21"/>
                <w:u w:val="none"/>
                <w:lang w:eastAsia="zh-CN"/>
              </w:rPr>
              <w:t>【96067】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vAlign w:val="center"/>
          </w:tcPr>
          <w:p>
            <w:pPr>
              <w:contextualSpacing/>
              <w:rPr>
                <w:rFonts w:hint="eastAsia" w:ascii="楷体" w:hAnsi="楷体" w:eastAsia="楷体" w:cs="楷体"/>
                <w:b/>
                <w:bCs/>
                <w:szCs w:val="21"/>
                <w:u w:val="none"/>
              </w:rPr>
            </w:pPr>
            <w:r>
              <w:rPr>
                <w:rFonts w:hint="eastAsia" w:ascii="楷体" w:hAnsi="楷体" w:eastAsia="楷体" w:cs="楷体"/>
                <w:b/>
                <w:bCs/>
                <w:szCs w:val="21"/>
                <w:u w:val="none"/>
              </w:rPr>
              <w:t>主要职责</w:t>
            </w:r>
          </w:p>
        </w:tc>
        <w:tc>
          <w:tcPr>
            <w:tcW w:w="5384" w:type="dxa"/>
            <w:vAlign w:val="center"/>
          </w:tcPr>
          <w:p>
            <w:pPr>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销售机构及其分支机构提供包括理财产品宣传推广、投资者风险承受能力评估和投资者适当性管理、理财产品份额认购/申购/赎回、协助管理人与投资者订立理财产品合同、协助管理人与投资者沟通及进行信息披露、接受投资者咨询和客户维护等销售服务。</w:t>
            </w:r>
          </w:p>
        </w:tc>
      </w:tr>
    </w:tbl>
    <w:p>
      <w:pPr>
        <w:pStyle w:val="3"/>
        <w:spacing w:before="0" w:after="0" w:line="360" w:lineRule="auto"/>
        <w:ind w:firstLine="422" w:firstLineChars="200"/>
        <w:rPr>
          <w:rFonts w:hint="eastAsia" w:ascii="楷体" w:hAnsi="楷体" w:eastAsia="楷体" w:cs="楷体"/>
          <w:sz w:val="21"/>
          <w:u w:val="none"/>
        </w:rPr>
      </w:pPr>
      <w:bookmarkStart w:id="16" w:name="_Toc98680967"/>
      <w:r>
        <w:rPr>
          <w:rFonts w:hint="eastAsia" w:ascii="楷体" w:hAnsi="楷体" w:eastAsia="楷体" w:cs="楷体"/>
          <w:sz w:val="21"/>
          <w:u w:val="none"/>
        </w:rPr>
        <w:t>（四）其他合作机构</w:t>
      </w:r>
      <w:bookmarkEnd w:id="16"/>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本理财产品目前无特定具体理财投资合作机构，具体按</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“信息披露”约定的后续信息披露为准。</w:t>
      </w:r>
    </w:p>
    <w:p>
      <w:pPr>
        <w:pStyle w:val="2"/>
        <w:spacing w:before="120" w:after="120" w:line="240" w:lineRule="auto"/>
        <w:rPr>
          <w:rFonts w:hint="eastAsia" w:ascii="楷体" w:hAnsi="楷体" w:eastAsia="楷体" w:cs="楷体"/>
          <w:sz w:val="28"/>
          <w:szCs w:val="28"/>
          <w:u w:val="none"/>
        </w:rPr>
      </w:pPr>
      <w:bookmarkStart w:id="17" w:name="_Toc98680981"/>
      <w:r>
        <w:rPr>
          <w:rFonts w:hint="eastAsia" w:ascii="楷体" w:hAnsi="楷体" w:eastAsia="楷体" w:cs="楷体"/>
          <w:sz w:val="28"/>
          <w:szCs w:val="28"/>
          <w:u w:val="none"/>
          <w:lang w:val="en-US" w:eastAsia="zh-CN"/>
        </w:rPr>
        <w:t>八</w:t>
      </w:r>
      <w:r>
        <w:rPr>
          <w:rFonts w:hint="eastAsia" w:ascii="楷体" w:hAnsi="楷体" w:eastAsia="楷体" w:cs="楷体"/>
          <w:sz w:val="28"/>
          <w:szCs w:val="28"/>
          <w:u w:val="none"/>
        </w:rPr>
        <w:t>、产品的收益、费用及税费</w:t>
      </w:r>
      <w:bookmarkEnd w:id="17"/>
    </w:p>
    <w:p>
      <w:pPr>
        <w:pStyle w:val="3"/>
        <w:spacing w:before="0" w:after="0" w:line="360" w:lineRule="auto"/>
        <w:ind w:firstLine="422" w:firstLineChars="200"/>
        <w:rPr>
          <w:rFonts w:hint="eastAsia" w:ascii="楷体" w:hAnsi="楷体" w:eastAsia="楷体" w:cs="楷体"/>
          <w:sz w:val="21"/>
          <w:u w:val="none"/>
        </w:rPr>
      </w:pPr>
      <w:bookmarkStart w:id="18" w:name="_Toc98680982"/>
      <w:r>
        <w:rPr>
          <w:rFonts w:hint="eastAsia" w:ascii="楷体" w:hAnsi="楷体" w:eastAsia="楷体" w:cs="楷体"/>
          <w:sz w:val="21"/>
          <w:u w:val="none"/>
        </w:rPr>
        <w:t>（一）理财产品的收益分配</w:t>
      </w:r>
      <w:bookmarkEnd w:id="18"/>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1.投资者持有本理财产品期间及到期时，管理人不承诺保证投资本金安全且不保证理财收益，投资者收益（如有）随理财产品的投资盈亏水平浮动。</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2.就期间分配而言，</w:t>
      </w:r>
      <w:r>
        <w:rPr>
          <w:rFonts w:hint="eastAsia" w:ascii="楷体" w:hAnsi="楷体" w:eastAsia="楷体" w:cs="楷体"/>
          <w:b w:val="0"/>
          <w:bCs w:val="0"/>
          <w:szCs w:val="21"/>
          <w:u w:val="none"/>
        </w:rPr>
        <w:t>在满足</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分配基准日</w:t>
      </w:r>
      <w:r>
        <w:rPr>
          <w:rFonts w:hint="eastAsia" w:ascii="楷体" w:hAnsi="楷体" w:eastAsia="楷体" w:cs="楷体"/>
          <w:b w:val="0"/>
          <w:bCs w:val="0"/>
          <w:szCs w:val="21"/>
          <w:u w:val="none"/>
          <w:lang w:val="en-US" w:eastAsia="zh-CN"/>
        </w:rPr>
        <w:t>（以管理人确定的为准）</w:t>
      </w:r>
      <w:r>
        <w:rPr>
          <w:rFonts w:hint="eastAsia" w:ascii="楷体" w:hAnsi="楷体" w:eastAsia="楷体" w:cs="楷体"/>
          <w:b w:val="0"/>
          <w:bCs w:val="0"/>
          <w:szCs w:val="21"/>
          <w:u w:val="none"/>
        </w:rPr>
        <w:t>理财产品</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净值大于</w:t>
      </w:r>
      <w:r>
        <w:rPr>
          <w:rFonts w:hint="eastAsia" w:ascii="楷体" w:hAnsi="楷体" w:eastAsia="楷体" w:cs="楷体"/>
          <w:szCs w:val="21"/>
        </w:rPr>
        <w:t>理财产品初始份额净值</w:t>
      </w:r>
      <w:r>
        <w:rPr>
          <w:rFonts w:hint="eastAsia" w:ascii="楷体" w:hAnsi="楷体" w:eastAsia="楷体" w:cs="楷体"/>
          <w:b w:val="0"/>
          <w:bCs w:val="0"/>
          <w:szCs w:val="21"/>
          <w:u w:val="none"/>
        </w:rPr>
        <w:t>的条件下，理财产品管理人可进行不定期分配，分配方式为现金分配。</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期间分配原则及方式：</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（1）每一理财产品份额享有同等分配权；</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w:t>
      </w:r>
      <w:r>
        <w:rPr>
          <w:rFonts w:hint="eastAsia" w:ascii="楷体" w:hAnsi="楷体" w:eastAsia="楷体" w:cs="楷体"/>
          <w:b w:val="0"/>
          <w:bCs w:val="0"/>
          <w:szCs w:val="21"/>
          <w:highlight w:val="none"/>
          <w:u w:val="none"/>
        </w:rPr>
        <w:t>如需进行</w:t>
      </w:r>
      <w:r>
        <w:rPr>
          <w:rFonts w:hint="eastAsia" w:ascii="楷体" w:hAnsi="楷体" w:eastAsia="楷体" w:cs="楷体"/>
          <w:b w:val="0"/>
          <w:bCs w:val="0"/>
          <w:szCs w:val="21"/>
          <w:highlight w:val="none"/>
          <w:u w:val="none"/>
          <w:lang w:val="en-US" w:eastAsia="zh-CN"/>
        </w:rPr>
        <w:t>收益</w:t>
      </w:r>
      <w:r>
        <w:rPr>
          <w:rFonts w:hint="eastAsia" w:ascii="楷体" w:hAnsi="楷体" w:eastAsia="楷体" w:cs="楷体"/>
          <w:b w:val="0"/>
          <w:bCs w:val="0"/>
          <w:szCs w:val="21"/>
          <w:highlight w:val="none"/>
          <w:u w:val="none"/>
        </w:rPr>
        <w:t>分配，管</w:t>
      </w:r>
      <w:r>
        <w:rPr>
          <w:rFonts w:hint="eastAsia" w:ascii="楷体" w:hAnsi="楷体" w:eastAsia="楷体" w:cs="楷体"/>
          <w:b w:val="0"/>
          <w:bCs w:val="0"/>
          <w:szCs w:val="21"/>
          <w:u w:val="none"/>
        </w:rPr>
        <w:t>理人应至少在分红日后2个工作日内通过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分配方案，包括但不限于收益分配基准日、分红日、收益分配对象、收益分配方式、分配金额等内容。</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（3）原则上，管理人在理财产品分红日后5个工作日内将投资者可得资金转至投资者账户。超过5个工作日的，管理人将提前2个工作日通过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（4）在符合法律法规及理财产品合同约定，并对理财产品份额持有人利益无实质不利影响的前提下，理财产品管理人可通过公告形式对理财产品期间</w:t>
      </w:r>
      <w:r>
        <w:rPr>
          <w:rFonts w:hint="eastAsia" w:ascii="楷体" w:hAnsi="楷体" w:eastAsia="楷体" w:cs="楷体"/>
          <w:b w:val="0"/>
          <w:bCs w:val="0"/>
          <w:szCs w:val="21"/>
          <w:u w:val="none"/>
          <w:lang w:val="en-US" w:eastAsia="zh-CN"/>
        </w:rPr>
        <w:t>收益</w:t>
      </w:r>
      <w:r>
        <w:rPr>
          <w:rFonts w:hint="eastAsia" w:ascii="楷体" w:hAnsi="楷体" w:eastAsia="楷体" w:cs="楷体"/>
          <w:b w:val="0"/>
          <w:bCs w:val="0"/>
          <w:szCs w:val="21"/>
          <w:u w:val="none"/>
        </w:rPr>
        <w:t>分配原则及方式进行调整。</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rPr>
        <w:t>3.就终止分配而言，</w:t>
      </w:r>
      <w:r>
        <w:rPr>
          <w:rFonts w:hint="eastAsia" w:ascii="楷体" w:hAnsi="楷体" w:eastAsia="楷体" w:cs="楷体"/>
          <w:b w:val="0"/>
          <w:bCs w:val="0"/>
          <w:szCs w:val="21"/>
          <w:u w:val="none"/>
        </w:rPr>
        <w:t>在理财产品终止日如理财产品项下财产全部变现，管理人在理财产品终止日后的5个工作日内扣除应由理财产品承担的税费及费用（包括但不限于固定投资管理费、托管费、销售管理费等）后将投资者应得资金（如有）划转至投资者指定账户。</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终止日，如理财产品项下所投资的标的资产因市场风险、信用风险等原因不能全部变现，则管理人将现金类资产扣除应由理财产品承担的税费及费用（包括但不限于固定投资管理费、销售管理费、托管费等）后，按照各投资者持有理财产品份额比例在5个工作日内向投资者分配。对于未变现资产部分，管理人以投资者利益最大化的原则，寻求未变现资产变现方式，在资产变现后，扣除应由理财产品承担的费用（包括但不限于固定投资管理费、托管费、销售管理费等，由管理人、第三方垫付的费用）后，按照各投资者持有理财产品份额比例在5个工作日内向投资者分配。延期清算期间，本理财</w:t>
      </w:r>
      <w:r>
        <w:rPr>
          <w:rFonts w:hint="eastAsia" w:ascii="楷体" w:hAnsi="楷体" w:eastAsia="楷体" w:cs="楷体"/>
          <w:b w:val="0"/>
          <w:bCs w:val="0"/>
          <w:szCs w:val="21"/>
          <w:u w:val="none"/>
          <w:lang w:val="en-US" w:eastAsia="zh-CN"/>
        </w:rPr>
        <w:t>产品</w:t>
      </w:r>
      <w:r>
        <w:rPr>
          <w:rFonts w:hint="eastAsia" w:ascii="楷体" w:hAnsi="楷体" w:eastAsia="楷体" w:cs="楷体"/>
          <w:b w:val="0"/>
          <w:bCs w:val="0"/>
          <w:szCs w:val="21"/>
          <w:u w:val="none"/>
        </w:rPr>
        <w:t>不收取固定投资管理费、托管费及销售</w:t>
      </w:r>
      <w:r>
        <w:rPr>
          <w:rFonts w:hint="eastAsia" w:ascii="楷体" w:hAnsi="楷体" w:eastAsia="楷体" w:cs="楷体"/>
          <w:b w:val="0"/>
          <w:bCs w:val="0"/>
          <w:szCs w:val="21"/>
          <w:u w:val="none"/>
          <w:lang w:val="en-US" w:eastAsia="zh-CN"/>
        </w:rPr>
        <w:t>管理</w:t>
      </w:r>
      <w:r>
        <w:rPr>
          <w:rFonts w:hint="eastAsia" w:ascii="楷体" w:hAnsi="楷体" w:eastAsia="楷体" w:cs="楷体"/>
          <w:b w:val="0"/>
          <w:bCs w:val="0"/>
          <w:szCs w:val="21"/>
          <w:u w:val="none"/>
        </w:rPr>
        <w:t>费等。理财产品项下财产正常变现情况下，投资者理财产品终止日可得资金（如有）计算公式如下：</w:t>
      </w:r>
    </w:p>
    <w:p>
      <w:pPr>
        <w:spacing w:line="360" w:lineRule="auto"/>
        <w:ind w:firstLine="420" w:firstLineChars="200"/>
        <w:contextualSpacing/>
        <w:rPr>
          <w:rFonts w:hint="eastAsia" w:ascii="楷体" w:hAnsi="楷体" w:eastAsia="楷体" w:cs="楷体"/>
          <w:b w:val="0"/>
          <w:bCs w:val="0"/>
          <w:szCs w:val="21"/>
          <w:highlight w:val="none"/>
          <w:u w:val="none"/>
        </w:rPr>
      </w:pPr>
      <w:r>
        <w:rPr>
          <w:rFonts w:hint="eastAsia" w:ascii="楷体" w:hAnsi="楷体" w:eastAsia="楷体" w:cs="楷体"/>
          <w:b w:val="0"/>
          <w:bCs w:val="0"/>
          <w:szCs w:val="21"/>
          <w:highlight w:val="none"/>
          <w:u w:val="none"/>
        </w:rPr>
        <w:t>投资者可得资金=投资者理财产品终止日持有理财产品份额×理财产品终止日理财产品</w:t>
      </w:r>
      <w:r>
        <w:rPr>
          <w:rFonts w:hint="eastAsia" w:ascii="楷体" w:hAnsi="楷体" w:eastAsia="楷体" w:cs="楷体"/>
          <w:b w:val="0"/>
          <w:bCs w:val="0"/>
          <w:szCs w:val="21"/>
          <w:highlight w:val="none"/>
          <w:u w:val="none"/>
          <w:lang w:val="en-US" w:eastAsia="zh-CN"/>
        </w:rPr>
        <w:t>份额</w:t>
      </w:r>
      <w:r>
        <w:rPr>
          <w:rFonts w:hint="eastAsia" w:ascii="楷体" w:hAnsi="楷体" w:eastAsia="楷体" w:cs="楷体"/>
          <w:b w:val="0"/>
          <w:bCs w:val="0"/>
          <w:szCs w:val="21"/>
          <w:highlight w:val="none"/>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如因理财产品所投资的标的资产因市场风险、信用风险等原因，导致资产无法在理财产品终止日内变现，则投资者应得资金为理财产品变现金额扣除应由理财产品承担的费用、税费后的剩余金额。</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理财产品项下财产正常变现情况下，理财产品投资者在终止日可得收益（不包括投资者通过期间分配已经获得的收益）的计算公式为：</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每份额收益=理财产品终止日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净值-理财产品成立日</w:t>
      </w:r>
      <w:r>
        <w:rPr>
          <w:rFonts w:hint="eastAsia" w:ascii="楷体" w:hAnsi="楷体" w:eastAsia="楷体" w:cs="楷体"/>
          <w:b w:val="0"/>
          <w:bCs w:val="0"/>
          <w:szCs w:val="21"/>
          <w:u w:val="none"/>
          <w:lang w:val="en-US" w:eastAsia="zh-CN"/>
        </w:rPr>
        <w:t>份额</w:t>
      </w:r>
      <w:r>
        <w:rPr>
          <w:rFonts w:hint="eastAsia" w:ascii="楷体" w:hAnsi="楷体" w:eastAsia="楷体" w:cs="楷体"/>
          <w:b w:val="0"/>
          <w:bCs w:val="0"/>
          <w:szCs w:val="21"/>
          <w:u w:val="none"/>
        </w:rPr>
        <w:t>净值或投资者取得份额所在确认日前</w:t>
      </w:r>
      <w:r>
        <w:rPr>
          <w:rFonts w:hint="eastAsia" w:ascii="楷体" w:hAnsi="楷体" w:eastAsia="楷体" w:cs="楷体"/>
          <w:b w:val="0"/>
          <w:bCs w:val="0"/>
          <w:szCs w:val="21"/>
          <w:u w:val="none"/>
          <w:lang w:eastAsia="zh-CN"/>
        </w:rPr>
        <w:t>【1】</w:t>
      </w:r>
      <w:r>
        <w:rPr>
          <w:rFonts w:hint="eastAsia" w:ascii="楷体" w:hAnsi="楷体" w:eastAsia="楷体" w:cs="楷体"/>
          <w:b w:val="0"/>
          <w:bCs w:val="0"/>
          <w:szCs w:val="21"/>
          <w:u w:val="none"/>
          <w:lang w:val="en-US" w:eastAsia="zh-CN"/>
        </w:rPr>
        <w:t>个</w:t>
      </w:r>
      <w:r>
        <w:rPr>
          <w:rFonts w:hint="eastAsia" w:ascii="楷体" w:hAnsi="楷体" w:eastAsia="楷体" w:cs="楷体"/>
          <w:b w:val="0"/>
          <w:bCs w:val="0"/>
          <w:szCs w:val="21"/>
          <w:u w:val="none"/>
          <w:lang w:eastAsia="zh-CN"/>
        </w:rPr>
        <w:t>【交易日】</w:t>
      </w:r>
      <w:r>
        <w:rPr>
          <w:rFonts w:hint="eastAsia" w:ascii="楷体" w:hAnsi="楷体" w:eastAsia="楷体" w:cs="楷体"/>
          <w:b w:val="0"/>
          <w:bCs w:val="0"/>
          <w:szCs w:val="21"/>
          <w:u w:val="none"/>
          <w:lang w:val="en-US" w:eastAsia="zh-CN"/>
        </w:rPr>
        <w:t>的份额</w:t>
      </w:r>
      <w:r>
        <w:rPr>
          <w:rFonts w:hint="eastAsia" w:ascii="楷体" w:hAnsi="楷体" w:eastAsia="楷体" w:cs="楷体"/>
          <w:b w:val="0"/>
          <w:bCs w:val="0"/>
          <w:szCs w:val="21"/>
          <w:u w:val="none"/>
        </w:rPr>
        <w:t>净值</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投资者在终止日可得总收益=投资者理财产品终止日持有理财产品份额×每份额收益</w:t>
      </w:r>
    </w:p>
    <w:p>
      <w:pPr>
        <w:pStyle w:val="3"/>
        <w:spacing w:before="0" w:after="0" w:line="360" w:lineRule="auto"/>
        <w:ind w:firstLine="422" w:firstLineChars="200"/>
        <w:rPr>
          <w:rFonts w:hint="eastAsia" w:ascii="楷体" w:hAnsi="楷体" w:eastAsia="楷体" w:cs="楷体"/>
          <w:sz w:val="21"/>
          <w:u w:val="none"/>
        </w:rPr>
      </w:pPr>
      <w:bookmarkStart w:id="19" w:name="_Toc98680983"/>
      <w:r>
        <w:rPr>
          <w:rFonts w:hint="eastAsia" w:ascii="楷体" w:hAnsi="楷体" w:eastAsia="楷体" w:cs="楷体"/>
          <w:sz w:val="21"/>
          <w:u w:val="none"/>
        </w:rPr>
        <w:t>（二）理财产品费用</w:t>
      </w:r>
      <w:bookmarkEnd w:id="19"/>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w:t>
      </w:r>
      <w:r>
        <w:rPr>
          <w:rFonts w:hint="eastAsia" w:ascii="楷体" w:hAnsi="楷体" w:eastAsia="楷体" w:cs="楷体"/>
          <w:b w:val="0"/>
          <w:bCs w:val="0"/>
          <w:szCs w:val="21"/>
          <w:highlight w:val="none"/>
          <w:u w:val="none"/>
        </w:rPr>
        <w:t>理财产品费用指管理人为成立理财产品及处理理财产品事务目的而支出的所有费用，包括但不限于管理人收取的固定投资管理费、</w:t>
      </w:r>
      <w:r>
        <w:rPr>
          <w:rFonts w:hint="eastAsia" w:ascii="楷体" w:hAnsi="楷体" w:eastAsia="楷体" w:cs="楷体"/>
          <w:b w:val="0"/>
          <w:bCs w:val="0"/>
          <w:szCs w:val="21"/>
          <w:highlight w:val="none"/>
          <w:u w:val="none"/>
          <w:lang w:val="en-US" w:eastAsia="zh-CN"/>
        </w:rPr>
        <w:t>浮动投资管理费（如有）、</w:t>
      </w:r>
      <w:r>
        <w:rPr>
          <w:rFonts w:hint="eastAsia" w:ascii="楷体" w:hAnsi="楷体" w:eastAsia="楷体" w:cs="楷体"/>
          <w:b w:val="0"/>
          <w:bCs w:val="0"/>
          <w:szCs w:val="21"/>
          <w:highlight w:val="none"/>
          <w:u w:val="none"/>
        </w:rPr>
        <w:t>托管人收取的托管费、销售机构收取的销售管理费、因投资资产而产生的资产服务费（如有）</w:t>
      </w:r>
      <w:r>
        <w:rPr>
          <w:rFonts w:hint="eastAsia" w:ascii="楷体" w:hAnsi="楷体" w:eastAsia="楷体" w:cs="楷体"/>
          <w:b w:val="0"/>
          <w:bCs w:val="0"/>
          <w:szCs w:val="21"/>
          <w:highlight w:val="none"/>
          <w:u w:val="none"/>
          <w:lang w:eastAsia="zh-CN"/>
        </w:rPr>
        <w:t>、</w:t>
      </w:r>
      <w:r>
        <w:rPr>
          <w:rFonts w:hint="eastAsia" w:ascii="楷体" w:hAnsi="楷体" w:eastAsia="楷体" w:cs="楷体"/>
          <w:b w:val="0"/>
          <w:bCs w:val="0"/>
          <w:szCs w:val="21"/>
          <w:highlight w:val="none"/>
          <w:u w:val="none"/>
        </w:rPr>
        <w:t>交易费用（包括但不限于交易佣金、撮合费用等）、理财产品验资费、审</w:t>
      </w:r>
      <w:r>
        <w:rPr>
          <w:rFonts w:hint="eastAsia" w:ascii="楷体" w:hAnsi="楷体" w:eastAsia="楷体" w:cs="楷体"/>
          <w:b w:val="0"/>
          <w:bCs w:val="0"/>
          <w:szCs w:val="21"/>
          <w:u w:val="none"/>
        </w:rPr>
        <w:t>计费、保全费、律师费、信息披露费、清算费、执行费用、外包服务费、资产评估费、资产存续期管理所需费用及按照法律法规规章规定和理财产品销售文件约定应由产品承担的费用，具体以实际发生为准。</w:t>
      </w:r>
      <w:r>
        <w:rPr>
          <w:rFonts w:hint="eastAsia" w:ascii="楷体" w:hAnsi="楷体" w:eastAsia="楷体" w:cs="楷体"/>
          <w:b w:val="0"/>
          <w:bCs w:val="0"/>
          <w:szCs w:val="21"/>
          <w:u w:val="none"/>
          <w:lang w:val="en-US" w:eastAsia="zh-CN"/>
        </w:rPr>
        <w:t xml:space="preserve">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理财产品费用按本《产品说明书》及投资管理人与费用收取方之间的协议约定从理财产品资产中支付。投资管理人或理财产品参与方以固有财产先行垫付的，有权从理财产品资产中优先受偿。</w:t>
      </w:r>
    </w:p>
    <w:p>
      <w:pPr>
        <w:spacing w:line="360" w:lineRule="auto"/>
        <w:ind w:firstLine="420"/>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3.本理财产品</w:t>
      </w:r>
      <w:r>
        <w:rPr>
          <w:rFonts w:hint="eastAsia" w:ascii="楷体" w:hAnsi="楷体" w:eastAsia="楷体" w:cs="楷体"/>
          <w:b w:val="0"/>
          <w:bCs w:val="0"/>
          <w:szCs w:val="21"/>
          <w:u w:val="none"/>
        </w:rPr>
        <w:t>销售管理费、固定投资管理费、托管费均按日根据理财产品上一自然日日终产品</w:t>
      </w:r>
      <w:r>
        <w:rPr>
          <w:rFonts w:hint="eastAsia" w:ascii="楷体" w:hAnsi="楷体" w:eastAsia="楷体" w:cs="楷体"/>
          <w:b w:val="0"/>
          <w:bCs w:val="0"/>
          <w:szCs w:val="21"/>
          <w:u w:val="none"/>
          <w:lang w:val="en-US" w:eastAsia="zh-CN"/>
        </w:rPr>
        <w:t>资产</w:t>
      </w:r>
      <w:r>
        <w:rPr>
          <w:rFonts w:hint="eastAsia" w:ascii="楷体" w:hAnsi="楷体" w:eastAsia="楷体" w:cs="楷体"/>
          <w:b w:val="0"/>
          <w:bCs w:val="0"/>
          <w:szCs w:val="21"/>
          <w:u w:val="none"/>
        </w:rPr>
        <w:t>净值进行提取，均为年化费率</w:t>
      </w:r>
      <w:r>
        <w:rPr>
          <w:rFonts w:hint="eastAsia" w:ascii="楷体" w:hAnsi="楷体" w:eastAsia="楷体" w:cs="楷体"/>
          <w:b w:val="0"/>
          <w:bCs w:val="0"/>
          <w:szCs w:val="21"/>
          <w:u w:val="none"/>
          <w:lang w:val="en-US" w:eastAsia="zh-CN"/>
        </w:rPr>
        <w:t>：</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（1）销售管理费：年化费率0.60%。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（2）固定投资管理费：年化费率0.60%。</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（3）托管费：年化费率0.02%</w:t>
      </w:r>
    </w:p>
    <w:p>
      <w:pPr>
        <w:spacing w:line="360" w:lineRule="auto"/>
        <w:ind w:firstLine="420"/>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理财产品某一类份额每个自然日计提的</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上一自然日</w:t>
      </w:r>
      <w:r>
        <w:rPr>
          <w:rFonts w:hint="eastAsia" w:ascii="楷体" w:hAnsi="楷体" w:eastAsia="楷体" w:cs="楷体"/>
          <w:b w:val="0"/>
          <w:bCs w:val="0"/>
          <w:color w:val="auto"/>
          <w:szCs w:val="21"/>
          <w:u w:val="none"/>
          <w:lang w:val="en-US" w:eastAsia="zh-CN"/>
        </w:rPr>
        <w:t>理财产品该类份额资产净值×</w:t>
      </w:r>
      <w:r>
        <w:rPr>
          <w:rFonts w:hint="eastAsia" w:ascii="楷体" w:hAnsi="楷体" w:eastAsia="楷体" w:cs="楷体"/>
          <w:b w:val="0"/>
          <w:bCs w:val="0"/>
          <w:color w:val="auto"/>
          <w:szCs w:val="21"/>
          <w:u w:val="none"/>
        </w:rPr>
        <w:t>销售管理费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固定投资管理费</w:t>
      </w:r>
      <w:r>
        <w:rPr>
          <w:rFonts w:hint="eastAsia" w:ascii="楷体" w:hAnsi="楷体" w:eastAsia="楷体" w:cs="楷体"/>
          <w:b w:val="0"/>
          <w:bCs w:val="0"/>
          <w:color w:val="auto"/>
          <w:szCs w:val="21"/>
          <w:u w:val="none"/>
          <w:lang w:val="en-US" w:eastAsia="zh-CN"/>
        </w:rPr>
        <w:t>/</w:t>
      </w:r>
      <w:r>
        <w:rPr>
          <w:rFonts w:hint="eastAsia" w:ascii="楷体" w:hAnsi="楷体" w:eastAsia="楷体" w:cs="楷体"/>
          <w:b w:val="0"/>
          <w:bCs w:val="0"/>
          <w:color w:val="auto"/>
          <w:szCs w:val="21"/>
          <w:u w:val="none"/>
        </w:rPr>
        <w:t>托管费</w:t>
      </w:r>
      <w:r>
        <w:rPr>
          <w:rFonts w:hint="eastAsia" w:ascii="楷体" w:hAnsi="楷体" w:eastAsia="楷体" w:cs="楷体"/>
          <w:b w:val="0"/>
          <w:bCs w:val="0"/>
          <w:color w:val="auto"/>
          <w:szCs w:val="21"/>
          <w:u w:val="none"/>
          <w:lang w:val="en-US" w:eastAsia="zh-CN"/>
        </w:rPr>
        <w:t>年化费率÷365</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color w:val="auto"/>
          <w:szCs w:val="21"/>
          <w:u w:val="none"/>
          <w:lang w:val="en-US" w:eastAsia="zh-CN"/>
        </w:rPr>
        <w:t>4.管理人有权依照理财产品销售文件约定规则收取浮动投资管理费。</w:t>
      </w:r>
    </w:p>
    <w:p>
      <w:pPr>
        <w:spacing w:line="360" w:lineRule="auto"/>
        <w:ind w:firstLine="420" w:firstLineChars="200"/>
        <w:rPr>
          <w:rFonts w:hint="eastAsia" w:ascii="楷体" w:hAnsi="楷体" w:eastAsia="楷体" w:cs="楷体"/>
          <w:color w:val="auto"/>
          <w:szCs w:val="21"/>
        </w:rPr>
      </w:pPr>
      <w:r>
        <w:rPr>
          <w:rFonts w:hint="eastAsia" w:ascii="楷体" w:hAnsi="楷体" w:eastAsia="楷体" w:cs="楷体"/>
          <w:color w:val="auto"/>
          <w:szCs w:val="21"/>
        </w:rPr>
        <w:t>本理财产品浮动投资管理费收取比例：【/】</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5</w:t>
      </w:r>
      <w:r>
        <w:rPr>
          <w:rFonts w:hint="eastAsia" w:ascii="楷体" w:hAnsi="楷体" w:eastAsia="楷体" w:cs="楷体"/>
          <w:b w:val="0"/>
          <w:bCs w:val="0"/>
          <w:szCs w:val="21"/>
          <w:u w:val="none"/>
        </w:rPr>
        <w:t>.产品运作和清算中产生的其他资金汇划费、结算费、手续费、注册登记费、信息披露费、账户服务费、审计费、律师费、外包服务费、资产评估费、资产存续期管理所需费用及按照法律法规规章规定和理财产品销售文件约定应由产品承担的费用等，按照实际发生额从产品资产中列支。</w:t>
      </w:r>
    </w:p>
    <w:p>
      <w:pPr>
        <w:spacing w:line="360" w:lineRule="auto"/>
        <w:ind w:firstLine="420"/>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6</w:t>
      </w:r>
      <w:r>
        <w:rPr>
          <w:rFonts w:hint="eastAsia" w:ascii="楷体" w:hAnsi="楷体" w:eastAsia="楷体" w:cs="楷体"/>
          <w:b w:val="0"/>
          <w:bCs w:val="0"/>
          <w:szCs w:val="21"/>
          <w:u w:val="none"/>
        </w:rPr>
        <w:t>.管理人有权根据相关法律和国家政策规定调整产品费率，调整产品费率的公告将通过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“信息披露”约定的方式向投资者披露。投资者若不接受，可根据实际情况按照公告约定提前赎回本理财产品。</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7</w:t>
      </w:r>
      <w:r>
        <w:rPr>
          <w:rFonts w:hint="eastAsia" w:ascii="楷体" w:hAnsi="楷体" w:eastAsia="楷体" w:cs="楷体"/>
          <w:b/>
          <w:bCs/>
          <w:szCs w:val="21"/>
          <w:u w:val="none"/>
        </w:rPr>
        <w:t>.管理人有权根据国家政策和适用法律的规定，对本理财产品费用名目、收费条件、收费标准和收费方式进行调整，并通过</w:t>
      </w:r>
      <w:r>
        <w:rPr>
          <w:rFonts w:hint="eastAsia" w:ascii="楷体" w:hAnsi="楷体" w:eastAsia="楷体" w:cs="楷体"/>
          <w:b/>
          <w:bCs/>
          <w:szCs w:val="21"/>
          <w:u w:val="none"/>
          <w:lang w:eastAsia="zh-CN"/>
        </w:rPr>
        <w:t>《</w:t>
      </w:r>
      <w:r>
        <w:rPr>
          <w:rFonts w:hint="eastAsia" w:ascii="楷体" w:hAnsi="楷体" w:eastAsia="楷体" w:cs="楷体"/>
          <w:b/>
          <w:bCs/>
          <w:szCs w:val="21"/>
          <w:u w:val="none"/>
          <w:lang w:val="en-US" w:eastAsia="zh-CN"/>
        </w:rPr>
        <w:t>产品说明书</w:t>
      </w:r>
      <w:r>
        <w:rPr>
          <w:rFonts w:hint="eastAsia" w:ascii="楷体" w:hAnsi="楷体" w:eastAsia="楷体" w:cs="楷体"/>
          <w:b/>
          <w:bCs/>
          <w:szCs w:val="21"/>
          <w:u w:val="none"/>
          <w:lang w:eastAsia="zh-CN"/>
        </w:rPr>
        <w:t>》</w:t>
      </w:r>
      <w:r>
        <w:rPr>
          <w:rFonts w:hint="eastAsia" w:ascii="楷体" w:hAnsi="楷体" w:eastAsia="楷体" w:cs="楷体"/>
          <w:b/>
          <w:bCs/>
          <w:szCs w:val="21"/>
          <w:u w:val="none"/>
        </w:rPr>
        <w:t>“信息披露”约定的方式，向投资者披露。其中，对于管理人增加费用名目、提高收费标准等对投资者利益产生实质性影响的情形，投资者如不同意调整的，可在管理人信息披露的补充或修改后的相关业务调整生效前赎回本理财产品</w:t>
      </w:r>
      <w:r>
        <w:rPr>
          <w:rFonts w:hint="eastAsia" w:ascii="楷体" w:hAnsi="楷体" w:eastAsia="楷体" w:cs="楷体"/>
          <w:b/>
          <w:bCs/>
          <w:szCs w:val="21"/>
          <w:u w:val="none"/>
          <w:lang w:eastAsia="zh-CN"/>
        </w:rPr>
        <w:t>（</w:t>
      </w:r>
      <w:r>
        <w:rPr>
          <w:rFonts w:hint="eastAsia" w:ascii="楷体" w:hAnsi="楷体" w:eastAsia="楷体" w:cs="楷体"/>
          <w:b/>
          <w:bCs/>
          <w:szCs w:val="21"/>
          <w:u w:val="none"/>
        </w:rPr>
        <w:t>此种情况下管理人将可能在赎回开放日外单独开放特殊赎回期间，具体以届时管理人的公告为准</w:t>
      </w:r>
      <w:r>
        <w:rPr>
          <w:rFonts w:hint="eastAsia" w:ascii="楷体" w:hAnsi="楷体" w:eastAsia="楷体" w:cs="楷体"/>
          <w:b/>
          <w:bCs/>
          <w:szCs w:val="21"/>
          <w:u w:val="none"/>
          <w:lang w:eastAsia="zh-CN"/>
        </w:rPr>
        <w:t>）</w:t>
      </w:r>
      <w:r>
        <w:rPr>
          <w:rFonts w:hint="eastAsia" w:ascii="楷体" w:hAnsi="楷体" w:eastAsia="楷体" w:cs="楷体"/>
          <w:b/>
          <w:bCs/>
          <w:szCs w:val="21"/>
          <w:u w:val="none"/>
        </w:rPr>
        <w:t>，逾期未赎回的视为同意接受前述调整且继续持有本理财产品。</w:t>
      </w:r>
    </w:p>
    <w:p>
      <w:pPr>
        <w:pStyle w:val="3"/>
        <w:spacing w:before="0" w:after="0" w:line="360" w:lineRule="auto"/>
        <w:ind w:firstLine="422" w:firstLineChars="200"/>
        <w:rPr>
          <w:rFonts w:hint="eastAsia" w:ascii="楷体" w:hAnsi="楷体" w:eastAsia="楷体" w:cs="楷体"/>
          <w:b/>
          <w:bCs/>
          <w:sz w:val="21"/>
          <w:u w:val="none"/>
        </w:rPr>
      </w:pPr>
      <w:bookmarkStart w:id="20" w:name="_Toc98680984"/>
      <w:r>
        <w:rPr>
          <w:rFonts w:hint="eastAsia" w:ascii="楷体" w:hAnsi="楷体" w:eastAsia="楷体" w:cs="楷体"/>
          <w:b/>
          <w:bCs/>
          <w:sz w:val="21"/>
          <w:u w:val="none"/>
        </w:rPr>
        <w:t>（三）理财产品税费</w:t>
      </w:r>
      <w:bookmarkEnd w:id="20"/>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1.理财产品税费在理财产品资产中列支。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2.除理财</w:t>
      </w:r>
      <w:r>
        <w:rPr>
          <w:rFonts w:hint="eastAsia" w:ascii="楷体" w:hAnsi="楷体" w:eastAsia="楷体" w:cs="楷体"/>
          <w:b w:val="0"/>
          <w:bCs w:val="0"/>
          <w:szCs w:val="21"/>
          <w:u w:val="none"/>
          <w:lang w:eastAsia="zh-CN"/>
        </w:rPr>
        <w:t>产品销售文件</w:t>
      </w:r>
      <w:r>
        <w:rPr>
          <w:rFonts w:hint="eastAsia" w:ascii="楷体" w:hAnsi="楷体" w:eastAsia="楷体" w:cs="楷体"/>
          <w:b w:val="0"/>
          <w:bCs w:val="0"/>
          <w:szCs w:val="21"/>
          <w:u w:val="none"/>
        </w:rPr>
        <w:t>另有约定外，理财产品运作过程中涉及的各纳税主体，依照适用法律规定自行履行纳税义务。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3.若适用法律要求投资管理人代扣代缴理财产品份额持有人应纳税款的，投资管理人将依法履行扣缴义务，份额持有人对此应给予配合。</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本产品财产在管理、运用、处分过程中产生的税费（包括但不限于增值税及其相应的附加税费及其他按照国家有关规定可从产品中列支的费用等），由本产品财产承担；管理人对该等税费无垫付义务，若管理人以其固有财产先行垫付的，管理人对产品财产享有优先受偿权。前述税费的计算、提取及缴纳，由管理人按照应税行为发生时有效的相关法律法规的规定执行。客户投资产品所获收益的应纳税款应由客户自行申报及缴纳。管理人将根据本理财产品的性质，执行国家有关法律、法规、规章、政策等对代扣代缴税费的相关规定。在没有明文规定的情况下，管理人将遵循市场惯例进行操作。</w:t>
      </w:r>
    </w:p>
    <w:p>
      <w:pPr>
        <w:spacing w:before="120" w:after="120" w:line="360" w:lineRule="auto"/>
        <w:ind w:firstLine="0" w:firstLineChars="0"/>
        <w:contextualSpacing/>
        <w:rPr>
          <w:rFonts w:hint="eastAsia" w:ascii="楷体" w:hAnsi="楷体" w:eastAsia="楷体" w:cs="楷体"/>
          <w:b/>
          <w:bCs/>
          <w:sz w:val="28"/>
          <w:szCs w:val="28"/>
          <w:u w:val="none"/>
        </w:rPr>
      </w:pPr>
      <w:bookmarkStart w:id="21" w:name="_Toc98680985"/>
      <w:r>
        <w:rPr>
          <w:rFonts w:hint="eastAsia" w:ascii="楷体" w:hAnsi="楷体" w:eastAsia="楷体" w:cs="楷体"/>
          <w:b/>
          <w:bCs/>
          <w:sz w:val="28"/>
          <w:szCs w:val="28"/>
          <w:u w:val="none"/>
          <w:lang w:val="en-US" w:eastAsia="zh-CN"/>
        </w:rPr>
        <w:t>九</w:t>
      </w:r>
      <w:r>
        <w:rPr>
          <w:rFonts w:hint="eastAsia" w:ascii="楷体" w:hAnsi="楷体" w:eastAsia="楷体" w:cs="楷体"/>
          <w:b/>
          <w:bCs/>
          <w:sz w:val="28"/>
          <w:szCs w:val="28"/>
          <w:u w:val="none"/>
        </w:rPr>
        <w:t>、产品的延期、提前终止与产品资产清算</w:t>
      </w:r>
      <w:bookmarkEnd w:id="21"/>
    </w:p>
    <w:p>
      <w:pPr>
        <w:pStyle w:val="3"/>
        <w:spacing w:before="0" w:after="0" w:line="360" w:lineRule="auto"/>
        <w:ind w:firstLine="422" w:firstLineChars="200"/>
        <w:rPr>
          <w:rFonts w:hint="eastAsia" w:ascii="楷体" w:hAnsi="楷体" w:eastAsia="楷体" w:cs="楷体"/>
          <w:u w:val="none"/>
        </w:rPr>
      </w:pPr>
      <w:bookmarkStart w:id="22" w:name="_Toc98680986"/>
      <w:r>
        <w:rPr>
          <w:rFonts w:hint="eastAsia" w:ascii="楷体" w:hAnsi="楷体" w:eastAsia="楷体" w:cs="楷体"/>
          <w:sz w:val="21"/>
          <w:u w:val="none"/>
        </w:rPr>
        <w:t>（一）理财产品延期</w:t>
      </w:r>
      <w:bookmarkEnd w:id="22"/>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如本理财产品到期日逢非</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顺延至下一</w:t>
      </w:r>
      <w:r>
        <w:rPr>
          <w:rFonts w:hint="eastAsia" w:ascii="楷体" w:hAnsi="楷体" w:eastAsia="楷体" w:cs="楷体"/>
          <w:b w:val="0"/>
          <w:bCs w:val="0"/>
          <w:color w:val="auto"/>
          <w:szCs w:val="21"/>
          <w:u w:val="none"/>
          <w:lang w:eastAsia="zh-CN"/>
        </w:rPr>
        <w:t>【交易日】</w:t>
      </w:r>
      <w:r>
        <w:rPr>
          <w:rFonts w:hint="eastAsia" w:ascii="楷体" w:hAnsi="楷体" w:eastAsia="楷体" w:cs="楷体"/>
          <w:b w:val="0"/>
          <w:bCs w:val="0"/>
          <w:color w:val="auto"/>
          <w:szCs w:val="21"/>
          <w:u w:val="none"/>
        </w:rPr>
        <w:t>。发生下列任一情形的，理财产品管理人有权以投资者利益最大化为原则，根据市场情况综合判断决定延长产品期限，推迟理财产品到期日：</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1.预计在理财产品到期日，理财产品财产因理财产品所投资的资产的市场风险、信用风险等原因将无法全部变现；</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2.预计理财产品所投资的信托计划、资管计划、私募基金的受托人或管理人将不能按期向管理人划付理财产品的本金和收益；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color w:val="auto"/>
          <w:szCs w:val="21"/>
          <w:u w:val="none"/>
        </w:rPr>
        <w:t>3.理财产品财产涉及诉讼（或仲裁），且预计诉讼（或仲</w:t>
      </w:r>
      <w:r>
        <w:rPr>
          <w:rFonts w:hint="eastAsia" w:ascii="楷体" w:hAnsi="楷体" w:eastAsia="楷体" w:cs="楷体"/>
          <w:b w:val="0"/>
          <w:bCs w:val="0"/>
          <w:szCs w:val="21"/>
          <w:u w:val="none"/>
        </w:rPr>
        <w:t>裁）及执行程序于理财产品预计到期日尚未终结；</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4.管理人与托管人、销售机构协商一致决定延期；</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5.管理人认为有必要延期的其他情形；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6.法律规定的及本《产品说明书》约定的其他情形。</w:t>
      </w:r>
    </w:p>
    <w:p>
      <w:pPr>
        <w:spacing w:line="360" w:lineRule="auto"/>
        <w:ind w:firstLine="420" w:firstLineChars="200"/>
        <w:contextualSpacing/>
        <w:rPr>
          <w:rFonts w:hint="eastAsia" w:ascii="楷体" w:hAnsi="楷体" w:eastAsia="楷体" w:cs="楷体"/>
          <w:b/>
          <w:bCs/>
          <w:szCs w:val="21"/>
          <w:u w:val="none"/>
        </w:rPr>
      </w:pPr>
      <w:r>
        <w:rPr>
          <w:rFonts w:hint="eastAsia" w:ascii="楷体" w:hAnsi="楷体" w:eastAsia="楷体" w:cs="楷体"/>
          <w:b w:val="0"/>
          <w:bCs w:val="0"/>
          <w:szCs w:val="21"/>
          <w:u w:val="none"/>
        </w:rPr>
        <w:t>如管理人决定本理财产品延期的，将于理财产品预计到期日前2个工作日通过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对延期事项进行说明，并说明延期期限及到期之日，自披露之日即视为相关信息已送达，并据约定生效之日起生效。若投资者不同意延期的，可在信息披露的延期生效前赎回本理财产品（此种情况下可能开放特殊赎回期间，具体以届时的公告为准），</w:t>
      </w:r>
      <w:r>
        <w:rPr>
          <w:rFonts w:hint="eastAsia" w:ascii="楷体" w:hAnsi="楷体" w:eastAsia="楷体" w:cs="楷体"/>
          <w:b/>
          <w:bCs/>
          <w:szCs w:val="21"/>
          <w:u w:val="none"/>
        </w:rPr>
        <w:t>逾期未赎回的视为同意。</w:t>
      </w:r>
    </w:p>
    <w:p>
      <w:pPr>
        <w:pStyle w:val="3"/>
        <w:spacing w:before="0" w:after="0" w:line="360" w:lineRule="auto"/>
        <w:ind w:firstLine="422" w:firstLineChars="200"/>
        <w:rPr>
          <w:rFonts w:hint="eastAsia" w:ascii="楷体" w:hAnsi="楷体" w:eastAsia="楷体" w:cs="楷体"/>
          <w:sz w:val="21"/>
          <w:u w:val="none"/>
        </w:rPr>
      </w:pPr>
      <w:bookmarkStart w:id="23" w:name="_Toc98680987"/>
      <w:r>
        <w:rPr>
          <w:rFonts w:hint="eastAsia" w:ascii="楷体" w:hAnsi="楷体" w:eastAsia="楷体" w:cs="楷体"/>
          <w:sz w:val="21"/>
          <w:u w:val="none"/>
        </w:rPr>
        <w:t>（二）理财产品终止与清算</w:t>
      </w:r>
      <w:bookmarkEnd w:id="23"/>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1.为避免疑义，理财产品除因本条以下所列理财产品终止事件而终止外，投资者不得提议要求提前终止理财产品。</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（1）理财产品必须终止的事件：</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a.发生不可抗力事件导致理财产品不能存续；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b.理财产品被法院或仲裁机构依法撤销、被认定为无效或被判决、裁定终止或被监管机构要求终止的；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c.理财产品预计到期日届至且未延期的； </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 xml:space="preserve">d.理财产品延期期限届至且未再次延期，或出现适用法律规定应当终止理财产品的情形。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（2）理财产品管理人有权单方决定是否终止的事件：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a.理财存续期内，理财产品连续 10 个工作日总份额低于 1 亿份；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b.如遇国家金融政策出现重大调整或宏观经济形势发生重大变化并影响到本理财产品的正常运作；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c.本理财产品投向的金融资产所涉相关主体信用恶化，市场利率大幅下滑；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 xml:space="preserve">d.为保护投资者利益，理财产品投向的信托计划、资管计划等提前终止； </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e.为保护投资者利益，管理人有合理理由认为将影响本理财产品正常运作的其他情形。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2</w:t>
      </w:r>
      <w:r>
        <w:rPr>
          <w:rFonts w:hint="eastAsia" w:ascii="楷体" w:hAnsi="楷体" w:eastAsia="楷体" w:cs="楷体"/>
          <w:b w:val="0"/>
          <w:bCs w:val="0"/>
          <w:szCs w:val="21"/>
          <w:u w:val="none"/>
        </w:rPr>
        <w:t>.理财产品不因投资者死亡、丧失民事行为能力、破产而终止；投资者的法定继承人、承继人或指定受益人以及继任管理人承担本理财产品销售文件项下的相应权利和义务。</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rPr>
        <w:t>.如理财产品终止，除理财产品必须终止的事件第</w:t>
      </w:r>
      <w:r>
        <w:rPr>
          <w:rFonts w:hint="eastAsia" w:ascii="楷体" w:hAnsi="楷体" w:eastAsia="楷体" w:cs="楷体"/>
          <w:b w:val="0"/>
          <w:bCs w:val="0"/>
          <w:szCs w:val="21"/>
          <w:u w:val="none"/>
          <w:lang w:val="en-US" w:eastAsia="zh-CN"/>
        </w:rPr>
        <w:t>c</w:t>
      </w:r>
      <w:r>
        <w:rPr>
          <w:rFonts w:hint="eastAsia" w:ascii="楷体" w:hAnsi="楷体" w:eastAsia="楷体" w:cs="楷体"/>
          <w:b w:val="0"/>
          <w:bCs w:val="0"/>
          <w:szCs w:val="21"/>
          <w:u w:val="none"/>
        </w:rPr>
        <w:t>项及第</w:t>
      </w:r>
      <w:r>
        <w:rPr>
          <w:rFonts w:hint="eastAsia" w:ascii="楷体" w:hAnsi="楷体" w:eastAsia="楷体" w:cs="楷体"/>
          <w:b w:val="0"/>
          <w:bCs w:val="0"/>
          <w:szCs w:val="21"/>
          <w:u w:val="none"/>
          <w:lang w:val="en-US" w:eastAsia="zh-CN"/>
        </w:rPr>
        <w:t>d</w:t>
      </w:r>
      <w:r>
        <w:rPr>
          <w:rFonts w:hint="eastAsia" w:ascii="楷体" w:hAnsi="楷体" w:eastAsia="楷体" w:cs="楷体"/>
          <w:b w:val="0"/>
          <w:bCs w:val="0"/>
          <w:szCs w:val="21"/>
          <w:u w:val="none"/>
        </w:rPr>
        <w:t>项之外，理财产品管理人应提前2个工作日通过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“信息披露”约定的方式，向投资者披露，并披露理财产品终止之日。</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rPr>
        <w:t>.理财产品终止后，理财产品管理人将根据届时适用法律规定和监管机构的指引、要求及/或管理人的规定以及本理财产品销售文件的约定对本理财产品进行清算</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清算期不计算投资收益。理财资产清算后扣除理财相关费用、缴纳所欠税款并清偿理财产品负债后，理财利益按投资者持有的理财产品份额比例进行分配。清算期原则上不得超过5个工作日，清算期超过5个工作日的，将</w:t>
      </w:r>
      <w:r>
        <w:rPr>
          <w:rFonts w:hint="eastAsia" w:ascii="楷体" w:hAnsi="楷体" w:eastAsia="楷体" w:cs="楷体"/>
          <w:b w:val="0"/>
          <w:bCs w:val="0"/>
          <w:szCs w:val="21"/>
          <w:u w:val="none"/>
          <w:lang w:val="en-US" w:eastAsia="zh-CN"/>
        </w:rPr>
        <w:t>通过</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 xml:space="preserve">“信息披露”约定的方式向投资者披露。 </w:t>
      </w:r>
    </w:p>
    <w:p>
      <w:pPr>
        <w:spacing w:before="120" w:after="120" w:line="360" w:lineRule="auto"/>
        <w:ind w:firstLine="0" w:firstLineChars="0"/>
        <w:contextualSpacing/>
        <w:rPr>
          <w:rFonts w:hint="eastAsia" w:ascii="楷体" w:hAnsi="楷体" w:eastAsia="楷体" w:cs="楷体"/>
          <w:b/>
          <w:bCs/>
          <w:sz w:val="28"/>
          <w:szCs w:val="28"/>
          <w:u w:val="none"/>
        </w:rPr>
      </w:pPr>
      <w:bookmarkStart w:id="24" w:name="_Toc98680989"/>
      <w:r>
        <w:rPr>
          <w:rFonts w:hint="eastAsia" w:ascii="楷体" w:hAnsi="楷体" w:eastAsia="楷体" w:cs="楷体"/>
          <w:b/>
          <w:bCs/>
          <w:sz w:val="28"/>
          <w:szCs w:val="28"/>
          <w:u w:val="none"/>
        </w:rPr>
        <w:t>十、信息披露</w:t>
      </w:r>
      <w:bookmarkEnd w:id="24"/>
    </w:p>
    <w:p>
      <w:pPr>
        <w:pStyle w:val="3"/>
        <w:spacing w:before="0" w:after="0" w:line="360" w:lineRule="auto"/>
        <w:ind w:firstLine="422" w:firstLineChars="200"/>
        <w:rPr>
          <w:rFonts w:hint="eastAsia" w:ascii="楷体" w:hAnsi="楷体" w:eastAsia="楷体" w:cs="楷体"/>
          <w:b/>
          <w:bCs/>
          <w:sz w:val="21"/>
          <w:szCs w:val="32"/>
          <w:u w:val="none"/>
          <w:lang w:val="en-US" w:eastAsia="zh-CN"/>
        </w:rPr>
      </w:pPr>
      <w:bookmarkStart w:id="25" w:name="_Toc98680990"/>
      <w:r>
        <w:rPr>
          <w:rFonts w:hint="eastAsia" w:ascii="楷体" w:hAnsi="楷体" w:eastAsia="楷体" w:cs="楷体"/>
          <w:sz w:val="21"/>
          <w:u w:val="none"/>
        </w:rPr>
        <w:t>（一）信息披露的渠道</w:t>
      </w:r>
    </w:p>
    <w:p>
      <w:pPr>
        <w:spacing w:line="360" w:lineRule="auto"/>
        <w:ind w:firstLine="422" w:firstLineChars="200"/>
        <w:contextualSpacing/>
        <w:rPr>
          <w:rFonts w:hint="eastAsia" w:ascii="楷体" w:hAnsi="楷体" w:eastAsia="楷体" w:cs="楷体"/>
          <w:b/>
          <w:bCs/>
          <w:szCs w:val="21"/>
          <w:highlight w:val="none"/>
          <w:u w:val="none"/>
        </w:rPr>
      </w:pPr>
      <w:r>
        <w:rPr>
          <w:rFonts w:hint="eastAsia" w:ascii="楷体" w:hAnsi="楷体" w:eastAsia="楷体" w:cs="楷体"/>
          <w:b/>
          <w:bCs/>
          <w:szCs w:val="21"/>
          <w:highlight w:val="none"/>
          <w:u w:val="none"/>
          <w:lang w:val="en-US" w:eastAsia="zh-CN"/>
        </w:rPr>
        <w:t>1.</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产品认购期和</w:t>
      </w:r>
      <w:r>
        <w:rPr>
          <w:rFonts w:hint="eastAsia" w:ascii="楷体" w:hAnsi="楷体" w:eastAsia="楷体" w:cs="楷体"/>
          <w:b/>
          <w:bCs/>
          <w:szCs w:val="21"/>
          <w:highlight w:val="none"/>
          <w:u w:val="none"/>
        </w:rPr>
        <w:t>存续期间，</w:t>
      </w:r>
      <w:r>
        <w:rPr>
          <w:rFonts w:hint="eastAsia" w:ascii="楷体" w:hAnsi="楷体" w:eastAsia="楷体" w:cs="楷体"/>
          <w:b/>
          <w:bCs/>
          <w:szCs w:val="21"/>
          <w:highlight w:val="none"/>
          <w:u w:val="none"/>
          <w:lang w:val="en-US" w:eastAsia="zh-CN"/>
        </w:rPr>
        <w:t>将通过产品管理人官方网站或</w:t>
      </w:r>
      <w:r>
        <w:rPr>
          <w:rFonts w:hint="eastAsia" w:ascii="楷体" w:hAnsi="楷体" w:eastAsia="楷体" w:cs="楷体"/>
          <w:b/>
          <w:bCs/>
          <w:szCs w:val="21"/>
          <w:highlight w:val="none"/>
          <w:u w:val="none"/>
        </w:rPr>
        <w:t>销售机构的信息披露渠道（包括但不限于销售机构的营业网点、门户网站、电子销售渠道等）</w:t>
      </w:r>
      <w:r>
        <w:rPr>
          <w:rFonts w:hint="eastAsia" w:ascii="楷体" w:hAnsi="楷体" w:eastAsia="楷体" w:cs="楷体"/>
          <w:b/>
          <w:bCs/>
          <w:szCs w:val="21"/>
          <w:highlight w:val="none"/>
          <w:u w:val="none"/>
          <w:lang w:val="en-US" w:eastAsia="zh-CN"/>
        </w:rPr>
        <w:t>进行</w:t>
      </w:r>
      <w:r>
        <w:rPr>
          <w:rFonts w:hint="eastAsia" w:ascii="楷体" w:hAnsi="楷体" w:eastAsia="楷体" w:cs="楷体"/>
          <w:b/>
          <w:bCs/>
          <w:szCs w:val="21"/>
          <w:highlight w:val="none"/>
          <w:u w:val="none"/>
        </w:rPr>
        <w:t>本理财</w:t>
      </w:r>
      <w:r>
        <w:rPr>
          <w:rFonts w:hint="eastAsia" w:ascii="楷体" w:hAnsi="楷体" w:eastAsia="楷体" w:cs="楷体"/>
          <w:b/>
          <w:bCs/>
          <w:szCs w:val="21"/>
          <w:highlight w:val="none"/>
          <w:u w:val="none"/>
          <w:lang w:val="en-US" w:eastAsia="zh-CN"/>
        </w:rPr>
        <w:t>产品</w:t>
      </w:r>
      <w:r>
        <w:rPr>
          <w:rFonts w:hint="eastAsia" w:ascii="楷体" w:hAnsi="楷体" w:eastAsia="楷体" w:cs="楷体"/>
          <w:b/>
          <w:bCs/>
          <w:szCs w:val="21"/>
          <w:highlight w:val="none"/>
          <w:u w:val="none"/>
        </w:rPr>
        <w:t>的信息披露。</w:t>
      </w:r>
    </w:p>
    <w:p>
      <w:pPr>
        <w:spacing w:line="360" w:lineRule="auto"/>
        <w:ind w:firstLine="422" w:firstLineChars="200"/>
        <w:contextualSpacing/>
        <w:rPr>
          <w:rFonts w:hint="eastAsia" w:ascii="楷体" w:hAnsi="楷体" w:eastAsia="楷体" w:cs="楷体"/>
          <w:b w:val="0"/>
          <w:bCs w:val="0"/>
          <w:szCs w:val="21"/>
          <w:highlight w:val="none"/>
          <w:u w:val="none"/>
        </w:rPr>
      </w:pPr>
      <w:r>
        <w:rPr>
          <w:rFonts w:hint="eastAsia" w:ascii="楷体" w:hAnsi="楷体" w:eastAsia="楷体" w:cs="楷体"/>
          <w:b/>
          <w:bCs/>
          <w:szCs w:val="21"/>
          <w:highlight w:val="none"/>
          <w:u w:val="none"/>
          <w:lang w:val="en-US" w:eastAsia="zh-CN"/>
        </w:rPr>
        <w:t>2.</w:t>
      </w:r>
      <w:r>
        <w:rPr>
          <w:rFonts w:hint="eastAsia" w:ascii="楷体" w:hAnsi="楷体" w:eastAsia="楷体" w:cs="楷体"/>
          <w:b/>
          <w:bCs/>
          <w:szCs w:val="21"/>
          <w:highlight w:val="none"/>
          <w:u w:val="none"/>
        </w:rPr>
        <w:t>产品管理人通过信息披露渠道发布理财产品有关信息，即视为已适当履行其信息披露义务。</w:t>
      </w:r>
      <w:r>
        <w:rPr>
          <w:rFonts w:hint="eastAsia" w:ascii="楷体" w:hAnsi="楷体" w:eastAsia="楷体" w:cs="楷体"/>
          <w:b w:val="0"/>
          <w:bCs w:val="0"/>
          <w:szCs w:val="21"/>
          <w:highlight w:val="none"/>
          <w:u w:val="none"/>
        </w:rPr>
        <w:t>如产品管理人认为需要直接联系投资者的，将依据本说明书投资者信息中投资者预留的信息进行通知。</w:t>
      </w:r>
    </w:p>
    <w:p>
      <w:pPr>
        <w:spacing w:line="360" w:lineRule="auto"/>
        <w:ind w:firstLine="422" w:firstLineChars="200"/>
        <w:contextualSpacing/>
        <w:rPr>
          <w:rFonts w:hint="eastAsia" w:ascii="楷体" w:hAnsi="楷体" w:eastAsia="楷体" w:cs="楷体"/>
          <w:b w:val="0"/>
          <w:bCs w:val="0"/>
          <w:szCs w:val="21"/>
          <w:u w:val="none"/>
        </w:rPr>
      </w:pPr>
      <w:r>
        <w:rPr>
          <w:rFonts w:hint="eastAsia" w:ascii="楷体" w:hAnsi="楷体" w:eastAsia="楷体" w:cs="楷体"/>
          <w:b/>
          <w:bCs/>
          <w:szCs w:val="21"/>
          <w:u w:val="none"/>
          <w:lang w:val="en-US" w:eastAsia="zh-CN"/>
        </w:rPr>
        <w:t>3.</w:t>
      </w:r>
      <w:r>
        <w:rPr>
          <w:rFonts w:hint="eastAsia" w:ascii="楷体" w:hAnsi="楷体" w:eastAsia="楷体" w:cs="楷体"/>
          <w:b/>
          <w:bCs/>
          <w:szCs w:val="21"/>
          <w:u w:val="none"/>
        </w:rPr>
        <w:t>投资者应定期通过约定的相关渠道获知有关本理财产品相关信息。以上相关信息自披露之日即视为已送达投资者，也视为产品管理人已适当披露代销理财产品相关信息。投资者承诺将及时接收、浏览和阅读该等信息。</w:t>
      </w:r>
      <w:r>
        <w:rPr>
          <w:rFonts w:hint="eastAsia" w:ascii="楷体" w:hAnsi="楷体" w:eastAsia="楷体" w:cs="楷体"/>
          <w:b w:val="0"/>
          <w:bCs w:val="0"/>
          <w:szCs w:val="21"/>
          <w:u w:val="none"/>
        </w:rPr>
        <w:t>如投资者对本产品的运作状况有任何疑问，可向产品管理人或销售机构进行咨询。</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4.在保障投资者知情权的前提下，产品管理人保留变更信息披露渠道的权利。</w:t>
      </w:r>
    </w:p>
    <w:bookmarkEnd w:id="25"/>
    <w:p>
      <w:pPr>
        <w:pStyle w:val="3"/>
        <w:spacing w:before="0" w:after="0" w:line="360" w:lineRule="auto"/>
        <w:ind w:firstLine="422" w:firstLineChars="200"/>
        <w:rPr>
          <w:rFonts w:hint="eastAsia" w:ascii="楷体" w:hAnsi="楷体" w:eastAsia="楷体" w:cs="楷体"/>
          <w:sz w:val="21"/>
          <w:u w:val="none"/>
        </w:rPr>
      </w:pPr>
      <w:bookmarkStart w:id="26" w:name="_Toc98680991"/>
      <w:r>
        <w:rPr>
          <w:rFonts w:hint="eastAsia" w:ascii="楷体" w:hAnsi="楷体" w:eastAsia="楷体" w:cs="楷体"/>
          <w:sz w:val="21"/>
          <w:u w:val="none"/>
        </w:rPr>
        <w:t>（二）信息披露的内容和时间</w:t>
      </w:r>
      <w:bookmarkEnd w:id="26"/>
    </w:p>
    <w:p>
      <w:pPr>
        <w:spacing w:line="360" w:lineRule="auto"/>
        <w:ind w:firstLine="420" w:firstLineChars="200"/>
        <w:contextualSpacing/>
        <w:rPr>
          <w:rFonts w:hint="eastAsia" w:ascii="楷体" w:hAnsi="楷体" w:eastAsia="楷体" w:cs="楷体"/>
          <w:b w:val="0"/>
          <w:bCs w:val="0"/>
          <w:szCs w:val="21"/>
          <w:u w:val="none"/>
          <w:lang w:eastAsia="zh-CN"/>
        </w:rPr>
      </w:pPr>
      <w:r>
        <w:rPr>
          <w:rFonts w:hint="eastAsia" w:ascii="楷体" w:hAnsi="楷体" w:eastAsia="楷体" w:cs="楷体"/>
          <w:b w:val="0"/>
          <w:bCs w:val="0"/>
          <w:szCs w:val="21"/>
          <w:u w:val="none"/>
        </w:rPr>
        <w:t>1.理财产品发行公告</w:t>
      </w:r>
    </w:p>
    <w:p>
      <w:pPr>
        <w:spacing w:line="360" w:lineRule="auto"/>
        <w:ind w:firstLine="420" w:firstLineChars="200"/>
        <w:contextualSpacing/>
        <w:rPr>
          <w:rFonts w:hint="eastAsia" w:ascii="楷体" w:hAnsi="楷体" w:eastAsia="楷体" w:cs="楷体"/>
          <w:b w:val="0"/>
          <w:bCs w:val="0"/>
          <w:color w:val="auto"/>
          <w:szCs w:val="21"/>
          <w:u w:val="none"/>
          <w:lang w:val="en-US" w:eastAsia="zh-CN"/>
        </w:rPr>
      </w:pPr>
      <w:r>
        <w:rPr>
          <w:rFonts w:hint="eastAsia" w:ascii="楷体" w:hAnsi="楷体" w:eastAsia="楷体" w:cs="楷体"/>
          <w:b w:val="0"/>
          <w:bCs w:val="0"/>
          <w:szCs w:val="21"/>
          <w:u w:val="none"/>
        </w:rPr>
        <w:t>管理人将在理财产品成立之后5个工作日内披露发行公告，包括理财产品成立日期和募集规模等信息。若募集期新出台的法律、法规导致本理财产品不适宜成立运行，或理财产品认购总金额未达到认购规模下限，</w:t>
      </w:r>
      <w:r>
        <w:rPr>
          <w:rFonts w:hint="eastAsia" w:ascii="楷体" w:hAnsi="楷体" w:eastAsia="楷体" w:cs="楷体"/>
          <w:b w:val="0"/>
          <w:bCs w:val="0"/>
          <w:color w:val="auto"/>
          <w:szCs w:val="21"/>
          <w:u w:val="none"/>
        </w:rPr>
        <w:t>或出现其他</w:t>
      </w:r>
      <w:r>
        <w:rPr>
          <w:rFonts w:hint="eastAsia" w:ascii="楷体" w:hAnsi="楷体" w:eastAsia="楷体" w:cs="楷体"/>
          <w:b w:val="0"/>
          <w:bCs w:val="0"/>
          <w:color w:val="auto"/>
          <w:szCs w:val="21"/>
          <w:u w:val="none"/>
          <w:lang w:val="en-US" w:eastAsia="zh-CN"/>
        </w:rPr>
        <w:t>影响</w:t>
      </w:r>
      <w:r>
        <w:rPr>
          <w:rFonts w:hint="eastAsia" w:ascii="楷体" w:hAnsi="楷体" w:eastAsia="楷体" w:cs="楷体"/>
          <w:b w:val="0"/>
          <w:bCs w:val="0"/>
          <w:color w:val="auto"/>
          <w:szCs w:val="21"/>
          <w:u w:val="none"/>
        </w:rPr>
        <w:t>理财产品正常运作的情况，则理财产品管理人有权宣布本理财产品不能成立，并在理财产品不能成立的2个工作日内披露。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2.理财产品定期报告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理财产品管理人将在每个季度结束之日起15个工作日内、每个上半年结束之日起60个工作日内、每个年度结束之日起90个工作日内，向投资者披露季度、半年和年度报告等定期报告。理财产品成立不足90个工作日或者剩余存续期不超过90个工作日的，管理人可以不编制理财产品当期的季度、半年和年度报告。</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3.理财产品临时性信息披露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1</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产品存续期间，对于提高收费标准、增加收费项目等事项，管理人将提前3个月以临时公告形式向投资者进行信息披露。</w:t>
      </w:r>
    </w:p>
    <w:p>
      <w:p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在产品存续期间，管理人可以提前</w:t>
      </w:r>
      <w:r>
        <w:rPr>
          <w:rFonts w:hint="eastAsia" w:ascii="楷体" w:hAnsi="楷体" w:eastAsia="楷体" w:cs="楷体"/>
          <w:b w:val="0"/>
          <w:bCs w:val="0"/>
          <w:color w:val="auto"/>
          <w:szCs w:val="21"/>
          <w:u w:val="none"/>
          <w:lang w:val="en-US" w:eastAsia="zh-CN"/>
        </w:rPr>
        <w:t>2</w:t>
      </w:r>
      <w:r>
        <w:rPr>
          <w:rFonts w:hint="eastAsia" w:ascii="楷体" w:hAnsi="楷体" w:eastAsia="楷体" w:cs="楷体"/>
          <w:b w:val="0"/>
          <w:bCs w:val="0"/>
          <w:color w:val="auto"/>
          <w:szCs w:val="21"/>
          <w:u w:val="none"/>
        </w:rPr>
        <w:t>个工作日</w:t>
      </w:r>
      <w:r>
        <w:rPr>
          <w:rFonts w:hint="eastAsia" w:ascii="楷体" w:hAnsi="楷体" w:eastAsia="楷体" w:cs="楷体"/>
          <w:b w:val="0"/>
          <w:bCs w:val="0"/>
          <w:color w:val="auto"/>
          <w:szCs w:val="21"/>
          <w:u w:val="none"/>
          <w:lang w:val="en-US" w:eastAsia="zh-CN"/>
        </w:rPr>
        <w:t>通过约定的信息披露渠道</w:t>
      </w:r>
      <w:r>
        <w:rPr>
          <w:rFonts w:hint="eastAsia" w:ascii="楷体" w:hAnsi="楷体" w:eastAsia="楷体" w:cs="楷体"/>
          <w:b w:val="0"/>
          <w:bCs w:val="0"/>
          <w:color w:val="auto"/>
          <w:szCs w:val="21"/>
          <w:u w:val="none"/>
        </w:rPr>
        <w:t>进行信息披露，</w:t>
      </w:r>
      <w:r>
        <w:rPr>
          <w:rFonts w:hint="eastAsia" w:ascii="楷体" w:hAnsi="楷体" w:eastAsia="楷体" w:cs="楷体"/>
          <w:b w:val="0"/>
          <w:bCs w:val="0"/>
          <w:color w:val="auto"/>
          <w:szCs w:val="21"/>
          <w:u w:val="none"/>
          <w:lang w:val="en-US" w:eastAsia="zh-CN"/>
        </w:rPr>
        <w:t>根据市场情况</w:t>
      </w:r>
      <w:r>
        <w:rPr>
          <w:rFonts w:hint="eastAsia" w:ascii="楷体" w:hAnsi="楷体" w:eastAsia="楷体" w:cs="楷体"/>
          <w:b w:val="0"/>
          <w:bCs w:val="0"/>
          <w:color w:val="auto"/>
          <w:szCs w:val="21"/>
          <w:u w:val="none"/>
        </w:rPr>
        <w:t>对理财产品投资范围、投资</w:t>
      </w:r>
      <w:r>
        <w:rPr>
          <w:rFonts w:hint="eastAsia" w:ascii="楷体" w:hAnsi="楷体" w:eastAsia="楷体" w:cs="楷体"/>
          <w:b w:val="0"/>
          <w:bCs w:val="0"/>
          <w:color w:val="auto"/>
          <w:szCs w:val="21"/>
          <w:u w:val="none"/>
          <w:lang w:val="en-US" w:eastAsia="zh-CN"/>
        </w:rPr>
        <w:t>资产种类</w:t>
      </w:r>
      <w:r>
        <w:rPr>
          <w:rFonts w:hint="eastAsia" w:ascii="楷体" w:hAnsi="楷体" w:eastAsia="楷体" w:cs="楷体"/>
          <w:b w:val="0"/>
          <w:bCs w:val="0"/>
          <w:color w:val="auto"/>
          <w:szCs w:val="21"/>
          <w:u w:val="none"/>
        </w:rPr>
        <w:t>或</w:t>
      </w:r>
      <w:r>
        <w:rPr>
          <w:rFonts w:hint="eastAsia" w:ascii="楷体" w:hAnsi="楷体" w:eastAsia="楷体" w:cs="楷体"/>
          <w:b w:val="0"/>
          <w:bCs w:val="0"/>
          <w:color w:val="auto"/>
          <w:szCs w:val="21"/>
          <w:u w:val="none"/>
          <w:lang w:val="en-US" w:eastAsia="zh-CN"/>
        </w:rPr>
        <w:t>投资</w:t>
      </w:r>
      <w:r>
        <w:rPr>
          <w:rFonts w:hint="eastAsia" w:ascii="楷体" w:hAnsi="楷体" w:eastAsia="楷体" w:cs="楷体"/>
          <w:b w:val="0"/>
          <w:bCs w:val="0"/>
          <w:color w:val="auto"/>
          <w:szCs w:val="21"/>
          <w:u w:val="none"/>
        </w:rPr>
        <w:t>比例、</w:t>
      </w:r>
      <w:r>
        <w:rPr>
          <w:rFonts w:hint="eastAsia" w:ascii="楷体" w:hAnsi="楷体" w:eastAsia="楷体" w:cs="楷体"/>
          <w:b w:val="0"/>
          <w:bCs w:val="0"/>
          <w:color w:val="auto"/>
          <w:szCs w:val="21"/>
          <w:u w:val="none"/>
          <w:lang w:val="en-US" w:eastAsia="zh-CN"/>
        </w:rPr>
        <w:t>募集期</w:t>
      </w:r>
      <w:r>
        <w:rPr>
          <w:rFonts w:hint="eastAsia" w:ascii="楷体" w:hAnsi="楷体" w:eastAsia="楷体" w:cs="楷体"/>
          <w:b w:val="0"/>
          <w:bCs w:val="0"/>
          <w:color w:val="auto"/>
          <w:szCs w:val="21"/>
          <w:u w:val="none"/>
        </w:rPr>
        <w:t>期延长</w:t>
      </w:r>
      <w:r>
        <w:rPr>
          <w:rFonts w:hint="eastAsia" w:ascii="楷体" w:hAnsi="楷体" w:eastAsia="楷体" w:cs="楷体"/>
          <w:b w:val="0"/>
          <w:bCs w:val="0"/>
          <w:color w:val="auto"/>
          <w:szCs w:val="21"/>
          <w:u w:val="none"/>
          <w:lang w:val="en-US" w:eastAsia="zh-CN"/>
        </w:rPr>
        <w:t>或提前结束募集</w:t>
      </w:r>
      <w:r>
        <w:rPr>
          <w:rFonts w:hint="eastAsia" w:ascii="楷体" w:hAnsi="楷体" w:eastAsia="楷体" w:cs="楷体"/>
          <w:b w:val="0"/>
          <w:bCs w:val="0"/>
          <w:color w:val="auto"/>
          <w:szCs w:val="21"/>
          <w:u w:val="none"/>
        </w:rPr>
        <w:t>、</w:t>
      </w:r>
      <w:r>
        <w:rPr>
          <w:rFonts w:hint="eastAsia" w:ascii="楷体" w:hAnsi="楷体" w:eastAsia="楷体" w:cs="楷体"/>
          <w:b w:val="0"/>
          <w:bCs w:val="0"/>
          <w:color w:val="auto"/>
          <w:szCs w:val="21"/>
          <w:u w:val="none"/>
          <w:lang w:val="en-US" w:eastAsia="zh-CN"/>
        </w:rPr>
        <w:t>已约定的收费项目、条件</w:t>
      </w:r>
      <w:r>
        <w:rPr>
          <w:rFonts w:hint="eastAsia" w:ascii="楷体" w:hAnsi="楷体" w:eastAsia="楷体" w:cs="楷体"/>
          <w:b w:val="0"/>
          <w:bCs w:val="0"/>
          <w:color w:val="auto"/>
          <w:szCs w:val="21"/>
          <w:u w:val="none"/>
          <w:lang w:eastAsia="zh-CN"/>
        </w:rPr>
        <w:t>、</w:t>
      </w:r>
      <w:r>
        <w:rPr>
          <w:rFonts w:hint="eastAsia" w:ascii="楷体" w:hAnsi="楷体" w:eastAsia="楷体" w:cs="楷体"/>
          <w:b w:val="0"/>
          <w:bCs w:val="0"/>
          <w:color w:val="auto"/>
          <w:szCs w:val="21"/>
          <w:u w:val="none"/>
        </w:rPr>
        <w:t>标准或计提方式、</w:t>
      </w:r>
      <w:r>
        <w:rPr>
          <w:rFonts w:hint="eastAsia" w:ascii="楷体" w:hAnsi="楷体" w:eastAsia="楷体" w:cs="楷体"/>
          <w:b w:val="0"/>
          <w:bCs w:val="0"/>
          <w:color w:val="auto"/>
          <w:szCs w:val="21"/>
          <w:u w:val="none"/>
          <w:lang w:val="en-US" w:eastAsia="zh-CN"/>
        </w:rPr>
        <w:t>风险等级、交易结构、</w:t>
      </w:r>
      <w:r>
        <w:rPr>
          <w:rFonts w:hint="eastAsia" w:ascii="楷体" w:hAnsi="楷体" w:eastAsia="楷体" w:cs="楷体"/>
          <w:b w:val="0"/>
          <w:bCs w:val="0"/>
          <w:color w:val="auto"/>
          <w:szCs w:val="21"/>
          <w:u w:val="none"/>
        </w:rPr>
        <w:t>规模上限</w:t>
      </w:r>
      <w:r>
        <w:rPr>
          <w:rFonts w:hint="eastAsia" w:ascii="楷体" w:hAnsi="楷体" w:eastAsia="楷体" w:cs="楷体"/>
          <w:b w:val="0"/>
          <w:bCs w:val="0"/>
          <w:color w:val="auto"/>
          <w:szCs w:val="21"/>
          <w:u w:val="none"/>
          <w:lang w:val="en-US" w:eastAsia="zh-CN"/>
        </w:rPr>
        <w:t>或下限、申购赎回约定、投资起点金额、追加投资金额</w:t>
      </w:r>
      <w:r>
        <w:rPr>
          <w:rFonts w:hint="eastAsia" w:ascii="楷体" w:hAnsi="楷体" w:eastAsia="楷体" w:cs="楷体"/>
          <w:b w:val="0"/>
          <w:bCs w:val="0"/>
          <w:color w:val="auto"/>
          <w:szCs w:val="21"/>
          <w:u w:val="none"/>
        </w:rPr>
        <w:t>或其他经管理人判断可能对理财产品份额持有人权益产生影响的条款进行补充、说明和修改。</w:t>
      </w:r>
    </w:p>
    <w:p>
      <w:pPr>
        <w:spacing w:line="360" w:lineRule="auto"/>
        <w:ind w:firstLine="420" w:firstLineChars="200"/>
        <w:contextualSpacing/>
        <w:rPr>
          <w:rFonts w:hint="eastAsia" w:ascii="楷体" w:hAnsi="楷体" w:eastAsia="楷体" w:cs="楷体"/>
          <w:u w:val="none"/>
        </w:rPr>
      </w:pPr>
      <w:r>
        <w:rPr>
          <w:rFonts w:hint="eastAsia" w:ascii="楷体" w:hAnsi="楷体" w:eastAsia="楷体" w:cs="楷体"/>
          <w:b w:val="0"/>
          <w:bCs w:val="0"/>
          <w:szCs w:val="21"/>
          <w:u w:val="none"/>
        </w:rPr>
        <w:t>其中，涉及投资范围、投资品种、投资比例调整导致其超出销售文件约定比例的，除超出比例投资比本理财产品风险更低的资产外，需取得投资者书面同意。</w:t>
      </w:r>
      <w:r>
        <w:rPr>
          <w:rFonts w:hint="eastAsia" w:ascii="楷体" w:hAnsi="楷体" w:eastAsia="楷体" w:cs="楷体"/>
          <w:b/>
          <w:bCs/>
          <w:szCs w:val="21"/>
          <w:u w:val="none"/>
        </w:rPr>
        <w:t>对于投资者利益产生实质影响的事项（如对投资范围、投资品种、投资比例进行调整，但因国家法律法规、监管规定发生变化导致的除外），投资者如不同意相关调整的，可在管理人披露的相关调整生效前赎回本理财产品（此种情况下管理人将可能在赎回开放日外单独开放特殊赎回期间，具体以届时管理人的公告为准），</w:t>
      </w:r>
      <w:r>
        <w:rPr>
          <w:rFonts w:hint="eastAsia" w:ascii="楷体" w:hAnsi="楷体" w:eastAsia="楷体" w:cs="楷体"/>
          <w:b w:val="0"/>
          <w:bCs w:val="0"/>
          <w:szCs w:val="21"/>
          <w:u w:val="none"/>
        </w:rPr>
        <w:t>投资者本金和收益（如有）将在赎回确认日后10个工作日内通过销售机构划转至投资者账户。</w:t>
      </w:r>
      <w:r>
        <w:rPr>
          <w:rFonts w:hint="eastAsia" w:ascii="楷体" w:hAnsi="楷体" w:eastAsia="楷体" w:cs="楷体"/>
          <w:b/>
          <w:bCs/>
          <w:szCs w:val="21"/>
          <w:u w:val="none"/>
        </w:rPr>
        <w:t>逾期未赎回的视为投资者书面同意相关调整并继续持有本理财产品。</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3</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在产品存续期间，若金融市场发生重大变化导致理财产品投资比例暂时超出浮动区间且可能对理财产品收益产生重大影响或理财产品持有的单笔资产发生信用风险时间且对理财产品投资收益产生较大影响时，在发生涉及理财产品认（申）购、赎回事项调整或潜在影响投资者赎回等事项时，管理人应于3个工作日内向投资者进行信息披露。</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lang w:val="en-US" w:eastAsia="zh-CN"/>
        </w:rPr>
        <w:t>4</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在管理人运用</w:t>
      </w:r>
      <w:r>
        <w:rPr>
          <w:rFonts w:hint="eastAsia" w:ascii="楷体" w:hAnsi="楷体" w:eastAsia="楷体" w:cs="楷体"/>
          <w:b w:val="0"/>
          <w:bCs w:val="0"/>
          <w:color w:val="auto"/>
          <w:szCs w:val="21"/>
          <w:u w:val="none"/>
        </w:rPr>
        <w:t>收取短期赎回费（如有）、摆动定价机制、暂</w:t>
      </w:r>
      <w:r>
        <w:rPr>
          <w:rFonts w:hint="eastAsia" w:ascii="楷体" w:hAnsi="楷体" w:eastAsia="楷体" w:cs="楷体"/>
          <w:b w:val="0"/>
          <w:bCs w:val="0"/>
          <w:szCs w:val="21"/>
          <w:u w:val="none"/>
        </w:rPr>
        <w:t>停认/申购、延期办理</w:t>
      </w:r>
      <w:r>
        <w:rPr>
          <w:rFonts w:hint="eastAsia" w:ascii="楷体" w:hAnsi="楷体" w:eastAsia="楷体" w:cs="楷体"/>
          <w:b w:val="0"/>
          <w:bCs w:val="0"/>
          <w:szCs w:val="21"/>
          <w:u w:val="none"/>
          <w:lang w:val="en-US" w:eastAsia="zh-CN"/>
        </w:rPr>
        <w:t>巨额</w:t>
      </w:r>
      <w:r>
        <w:rPr>
          <w:rFonts w:hint="eastAsia" w:ascii="楷体" w:hAnsi="楷体" w:eastAsia="楷体" w:cs="楷体"/>
          <w:b w:val="0"/>
          <w:bCs w:val="0"/>
          <w:szCs w:val="21"/>
          <w:u w:val="none"/>
        </w:rPr>
        <w:t>赎回申请、暂停接受赎回申请、延缓支付赎回款项、暂停估值等措施后，应当通过本理财</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产品说明书</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信息披露</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约定的方式在3个交易日内告知该理财产品的投资者，并说明运用相关措施的原因、拟采取的应对安排等。</w:t>
      </w:r>
      <w:r>
        <w:rPr>
          <w:rFonts w:hint="eastAsia" w:ascii="楷体" w:hAnsi="楷体" w:eastAsia="楷体" w:cs="楷体"/>
          <w:b w:val="0"/>
          <w:bCs w:val="0"/>
          <w:szCs w:val="21"/>
          <w:u w:val="none"/>
          <w:lang w:val="en-US" w:eastAsia="zh-CN"/>
        </w:rPr>
        <w:t xml:space="preserve">    </w:t>
      </w:r>
    </w:p>
    <w:p>
      <w:pPr>
        <w:numPr>
          <w:ilvl w:val="12"/>
          <w:numId w:val="0"/>
        </w:num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lang w:val="en-US" w:eastAsia="zh-CN"/>
        </w:rPr>
        <w:t>（5）理财产品清算期超过5个工作日的，产品管理人应当在理财产品终止前，根据与投资者的约定，在指定渠道向理财产品投资者进行披露。</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4.理财产品重大事项公告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理财产品存续期间，如果发生管理人认为可能影响产品运作的重大不利事项时，包括但不限于未按照本《产品说明书》约定分配收益；</w:t>
      </w:r>
      <w:r>
        <w:rPr>
          <w:rFonts w:hint="eastAsia" w:ascii="楷体" w:hAnsi="楷体" w:eastAsia="楷体" w:cs="楷体"/>
          <w:b w:val="0"/>
          <w:bCs w:val="0"/>
          <w:szCs w:val="21"/>
          <w:u w:val="none"/>
          <w:lang w:val="en-US" w:eastAsia="zh-CN"/>
        </w:rPr>
        <w:t>理财产品所投资资产发生重大损失；</w:t>
      </w:r>
      <w:r>
        <w:rPr>
          <w:rFonts w:hint="eastAsia" w:ascii="楷体" w:hAnsi="楷体" w:eastAsia="楷体" w:cs="楷体"/>
          <w:b w:val="0"/>
          <w:bCs w:val="0"/>
          <w:szCs w:val="21"/>
          <w:u w:val="none"/>
        </w:rPr>
        <w:t>理财产品管理人、托管人</w:t>
      </w:r>
      <w:r>
        <w:rPr>
          <w:rFonts w:hint="eastAsia" w:ascii="楷体" w:hAnsi="楷体" w:eastAsia="楷体" w:cs="楷体"/>
          <w:b w:val="0"/>
          <w:bCs w:val="0"/>
          <w:szCs w:val="21"/>
          <w:u w:val="none"/>
          <w:lang w:val="en-US" w:eastAsia="zh-CN"/>
        </w:rPr>
        <w:t>等出现</w:t>
      </w:r>
      <w:r>
        <w:rPr>
          <w:rFonts w:hint="eastAsia" w:ascii="楷体" w:hAnsi="楷体" w:eastAsia="楷体" w:cs="楷体"/>
          <w:b w:val="0"/>
          <w:bCs w:val="0"/>
          <w:szCs w:val="21"/>
          <w:u w:val="none"/>
        </w:rPr>
        <w:t>变更</w:t>
      </w:r>
      <w:r>
        <w:rPr>
          <w:rFonts w:hint="eastAsia" w:ascii="楷体" w:hAnsi="楷体" w:eastAsia="楷体" w:cs="楷体"/>
          <w:b w:val="0"/>
          <w:bCs w:val="0"/>
          <w:szCs w:val="21"/>
          <w:u w:val="none"/>
          <w:lang w:eastAsia="zh-CN"/>
        </w:rPr>
        <w:t>；</w:t>
      </w:r>
      <w:r>
        <w:rPr>
          <w:rFonts w:hint="eastAsia" w:ascii="楷体" w:hAnsi="楷体" w:eastAsia="楷体" w:cs="楷体"/>
          <w:b w:val="0"/>
          <w:bCs w:val="0"/>
          <w:szCs w:val="21"/>
          <w:u w:val="none"/>
        </w:rPr>
        <w:t>市场发生重大变化、投资的资产质量发生重大变化或者其它可能对投资者权益产生重大影响的突发事件等经管理人判断对理财投资价值有实质性影响的重大事件，管理人将在2个工作日内向投资者披露相关信息。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5.理财产品终止公告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管理人将在理财产品终止后的5个工作日内披露。终止公告的内容包括理财产品存续期限、终止日期、收费情况和收益分配情况等信息。</w:t>
      </w:r>
    </w:p>
    <w:p>
      <w:pPr>
        <w:numPr>
          <w:ilvl w:val="12"/>
          <w:numId w:val="0"/>
        </w:numPr>
        <w:spacing w:line="360" w:lineRule="auto"/>
        <w:ind w:firstLine="420" w:firstLineChars="200"/>
        <w:contextualSpacing/>
        <w:rPr>
          <w:rFonts w:hint="eastAsia" w:ascii="楷体" w:hAnsi="楷体" w:eastAsia="楷体" w:cs="楷体"/>
          <w:b w:val="0"/>
          <w:bCs w:val="0"/>
          <w:color w:val="auto"/>
          <w:szCs w:val="21"/>
          <w:u w:val="none"/>
        </w:rPr>
      </w:pPr>
      <w:r>
        <w:rPr>
          <w:rFonts w:hint="eastAsia" w:ascii="楷体" w:hAnsi="楷体" w:eastAsia="楷体" w:cs="楷体"/>
          <w:b w:val="0"/>
          <w:bCs w:val="0"/>
          <w:color w:val="auto"/>
          <w:szCs w:val="21"/>
          <w:u w:val="none"/>
          <w:lang w:val="en-US" w:eastAsia="zh-CN"/>
        </w:rPr>
        <w:t>6.</w:t>
      </w:r>
      <w:r>
        <w:rPr>
          <w:rFonts w:hint="eastAsia" w:ascii="楷体" w:hAnsi="楷体" w:eastAsia="楷体" w:cs="楷体"/>
          <w:b w:val="0"/>
          <w:bCs w:val="0"/>
          <w:color w:val="auto"/>
          <w:szCs w:val="21"/>
          <w:u w:val="none"/>
        </w:rPr>
        <w:t>所有产品披露以产品管理人完成信息发布时间为准，如遇渠道方系统故障等情况不影响披露时间效力。</w:t>
      </w:r>
    </w:p>
    <w:p>
      <w:pPr>
        <w:numPr>
          <w:ilvl w:val="12"/>
          <w:numId w:val="0"/>
        </w:numPr>
        <w:spacing w:line="360" w:lineRule="auto"/>
        <w:ind w:firstLine="422" w:firstLineChars="200"/>
        <w:contextualSpacing/>
        <w:rPr>
          <w:rFonts w:hint="eastAsia" w:ascii="楷体" w:hAnsi="楷体" w:eastAsia="楷体" w:cs="楷体"/>
          <w:b/>
          <w:bCs/>
          <w:color w:val="auto"/>
          <w:szCs w:val="21"/>
          <w:u w:val="none"/>
        </w:rPr>
      </w:pPr>
      <w:r>
        <w:rPr>
          <w:rFonts w:hint="eastAsia" w:ascii="楷体" w:hAnsi="楷体" w:eastAsia="楷体" w:cs="楷体"/>
          <w:b/>
          <w:bCs/>
          <w:color w:val="auto"/>
          <w:szCs w:val="21"/>
          <w:u w:val="none"/>
          <w:lang w:val="en-US" w:eastAsia="zh-CN"/>
        </w:rPr>
        <w:t>7.</w:t>
      </w:r>
      <w:r>
        <w:rPr>
          <w:rFonts w:hint="eastAsia" w:ascii="楷体" w:hAnsi="楷体" w:eastAsia="楷体" w:cs="楷体"/>
          <w:b/>
          <w:bCs/>
          <w:color w:val="auto"/>
          <w:szCs w:val="21"/>
          <w:u w:val="none"/>
        </w:rPr>
        <w:t>在本理财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存续期内，如出于维持本理财</w:t>
      </w:r>
      <w:r>
        <w:rPr>
          <w:rFonts w:hint="eastAsia" w:ascii="楷体" w:hAnsi="楷体" w:eastAsia="楷体" w:cs="楷体"/>
          <w:b/>
          <w:bCs/>
          <w:color w:val="auto"/>
          <w:szCs w:val="21"/>
          <w:u w:val="none"/>
          <w:lang w:val="en-US" w:eastAsia="zh-CN"/>
        </w:rPr>
        <w:t>产品</w:t>
      </w:r>
      <w:r>
        <w:rPr>
          <w:rFonts w:hint="eastAsia" w:ascii="楷体" w:hAnsi="楷体" w:eastAsia="楷体" w:cs="楷体"/>
          <w:b/>
          <w:bCs/>
          <w:color w:val="auto"/>
          <w:szCs w:val="21"/>
          <w:u w:val="none"/>
        </w:rPr>
        <w:t>正常运营的需要且在不损害投资者利益的前提下，或因国家法律法规、监管规定发生变化，管理人有权单方对本理财</w:t>
      </w:r>
      <w:r>
        <w:rPr>
          <w:rFonts w:hint="eastAsia" w:ascii="楷体" w:hAnsi="楷体" w:eastAsia="楷体" w:cs="楷体"/>
          <w:b/>
          <w:bCs/>
          <w:color w:val="auto"/>
          <w:szCs w:val="21"/>
          <w:u w:val="none"/>
          <w:lang w:val="en-US" w:eastAsia="zh-CN"/>
        </w:rPr>
        <w:t>产品合同</w:t>
      </w:r>
      <w:r>
        <w:rPr>
          <w:rFonts w:hint="eastAsia" w:ascii="楷体" w:hAnsi="楷体" w:eastAsia="楷体" w:cs="楷体"/>
          <w:b/>
          <w:bCs/>
          <w:color w:val="auto"/>
          <w:szCs w:val="21"/>
          <w:u w:val="none"/>
        </w:rPr>
        <w:t>进行修订。管理人决定对</w:t>
      </w:r>
      <w:r>
        <w:rPr>
          <w:rFonts w:hint="eastAsia" w:ascii="楷体" w:hAnsi="楷体" w:eastAsia="楷体" w:cs="楷体"/>
          <w:b/>
          <w:bCs/>
          <w:color w:val="auto"/>
          <w:szCs w:val="21"/>
          <w:u w:val="none"/>
          <w:lang w:val="en-US" w:eastAsia="zh-CN"/>
        </w:rPr>
        <w:t>理财</w:t>
      </w:r>
      <w:r>
        <w:rPr>
          <w:rFonts w:hint="eastAsia" w:ascii="楷体" w:hAnsi="楷体" w:eastAsia="楷体" w:cs="楷体"/>
          <w:b/>
          <w:bCs/>
          <w:color w:val="auto"/>
          <w:szCs w:val="21"/>
          <w:u w:val="none"/>
        </w:rPr>
        <w:t>产品</w:t>
      </w:r>
      <w:r>
        <w:rPr>
          <w:rFonts w:hint="eastAsia" w:ascii="楷体" w:hAnsi="楷体" w:eastAsia="楷体" w:cs="楷体"/>
          <w:b/>
          <w:bCs/>
          <w:color w:val="auto"/>
          <w:szCs w:val="21"/>
          <w:u w:val="none"/>
          <w:lang w:val="en-US" w:eastAsia="zh-CN"/>
        </w:rPr>
        <w:t>合同</w:t>
      </w:r>
      <w:r>
        <w:rPr>
          <w:rFonts w:hint="eastAsia" w:ascii="楷体" w:hAnsi="楷体" w:eastAsia="楷体" w:cs="楷体"/>
          <w:b/>
          <w:bCs/>
          <w:color w:val="auto"/>
          <w:szCs w:val="21"/>
          <w:u w:val="none"/>
        </w:rPr>
        <w:t>进行修订的，将提前</w:t>
      </w:r>
      <w:r>
        <w:rPr>
          <w:rFonts w:hint="eastAsia" w:ascii="楷体" w:hAnsi="楷体" w:eastAsia="楷体" w:cs="楷体"/>
          <w:b/>
          <w:bCs/>
          <w:color w:val="auto"/>
          <w:szCs w:val="21"/>
          <w:u w:val="none"/>
          <w:lang w:val="en-US" w:eastAsia="zh-CN"/>
        </w:rPr>
        <w:t>2</w:t>
      </w:r>
      <w:r>
        <w:rPr>
          <w:rFonts w:hint="eastAsia" w:ascii="楷体" w:hAnsi="楷体" w:eastAsia="楷体" w:cs="楷体"/>
          <w:b/>
          <w:bCs/>
          <w:color w:val="auto"/>
          <w:szCs w:val="21"/>
          <w:u w:val="none"/>
        </w:rPr>
        <w:t>个工作日通过</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信息披露</w:t>
      </w:r>
      <w:r>
        <w:rPr>
          <w:rFonts w:hint="eastAsia" w:ascii="楷体" w:hAnsi="楷体" w:eastAsia="楷体" w:cs="楷体"/>
          <w:b/>
          <w:bCs/>
          <w:color w:val="auto"/>
          <w:szCs w:val="21"/>
          <w:u w:val="none"/>
          <w:lang w:eastAsia="zh-CN"/>
        </w:rPr>
        <w:t>”</w:t>
      </w:r>
      <w:r>
        <w:rPr>
          <w:rFonts w:hint="eastAsia" w:ascii="楷体" w:hAnsi="楷体" w:eastAsia="楷体" w:cs="楷体"/>
          <w:b/>
          <w:bCs/>
          <w:color w:val="auto"/>
          <w:szCs w:val="21"/>
          <w:u w:val="none"/>
        </w:rPr>
        <w:t>章节约定的信息披露渠道发布相关信息公告通知投资者。修订后的</w:t>
      </w:r>
      <w:r>
        <w:rPr>
          <w:rFonts w:hint="eastAsia" w:ascii="楷体" w:hAnsi="楷体" w:eastAsia="楷体" w:cs="楷体"/>
          <w:b/>
          <w:bCs/>
          <w:color w:val="auto"/>
          <w:szCs w:val="21"/>
          <w:u w:val="none"/>
          <w:lang w:val="en-US" w:eastAsia="zh-CN"/>
        </w:rPr>
        <w:t>理财产品合同</w:t>
      </w:r>
      <w:r>
        <w:rPr>
          <w:rFonts w:hint="eastAsia" w:ascii="楷体" w:hAnsi="楷体" w:eastAsia="楷体" w:cs="楷体"/>
          <w:b/>
          <w:bCs/>
          <w:color w:val="auto"/>
          <w:szCs w:val="21"/>
          <w:u w:val="none"/>
        </w:rPr>
        <w:t>对投资者具有法律约束力。</w:t>
      </w:r>
    </w:p>
    <w:p>
      <w:pPr>
        <w:pStyle w:val="2"/>
        <w:spacing w:before="120" w:after="120" w:line="240" w:lineRule="auto"/>
        <w:rPr>
          <w:rFonts w:hint="eastAsia" w:ascii="楷体" w:hAnsi="楷体" w:eastAsia="楷体" w:cs="楷体"/>
          <w:sz w:val="28"/>
          <w:szCs w:val="28"/>
          <w:u w:val="none"/>
        </w:rPr>
      </w:pPr>
      <w:r>
        <w:rPr>
          <w:rFonts w:hint="eastAsia" w:ascii="楷体" w:hAnsi="楷体" w:eastAsia="楷体"/>
          <w:sz w:val="28"/>
          <w:szCs w:val="28"/>
          <w:u w:val="none"/>
        </w:rPr>
        <w:t>十</w:t>
      </w:r>
      <w:r>
        <w:rPr>
          <w:rFonts w:hint="eastAsia" w:ascii="楷体" w:hAnsi="楷体" w:eastAsia="楷体"/>
          <w:sz w:val="28"/>
          <w:szCs w:val="28"/>
          <w:u w:val="none"/>
          <w:lang w:val="en-US" w:eastAsia="zh-CN"/>
        </w:rPr>
        <w:t>一</w:t>
      </w:r>
      <w:r>
        <w:rPr>
          <w:rFonts w:ascii="楷体" w:hAnsi="楷体" w:eastAsia="楷体"/>
          <w:sz w:val="28"/>
          <w:szCs w:val="28"/>
          <w:u w:val="none"/>
        </w:rPr>
        <w:t>、</w:t>
      </w:r>
      <w:r>
        <w:rPr>
          <w:rFonts w:hint="eastAsia" w:ascii="楷体" w:hAnsi="楷体" w:eastAsia="楷体" w:cs="楷体"/>
          <w:sz w:val="28"/>
          <w:szCs w:val="28"/>
          <w:u w:val="none"/>
        </w:rPr>
        <w:t>保密原则</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2.产品管理人应保密的投资人的保密信息包括不限于投资者身份证件、联系电话、产品持有份额等个人敏感信息。</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3.投资者、理财产品管理人有义务对上述保密信息采取保密措施，未经对方同意不得向任何第三方披露保密信息，否则应承担相应违约责任，但以下情形除外：</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（1）向与本次投资有关而需要获知以上信息并受保密协议约束的律师、会计师、顾问和咨询人员披露的；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（2）根据适用的法律法规和规章制度要求，向有关政府部门、监管机构或者管理机构（包括证券交易所）披露的；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（3）本《产品说明书》另有约定的。</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4.前述保密义务不因本理财产品销售文件或相关协议的无效、被撤销、终止、变更、中止、解除而受影响。</w:t>
      </w:r>
    </w:p>
    <w:p>
      <w:pPr>
        <w:spacing w:before="120" w:after="120" w:line="360" w:lineRule="auto"/>
        <w:ind w:firstLine="0" w:firstLineChars="0"/>
        <w:contextualSpacing/>
        <w:rPr>
          <w:rFonts w:hint="eastAsia" w:ascii="楷体" w:hAnsi="楷体" w:eastAsia="楷体" w:cs="楷体"/>
          <w:b/>
          <w:bCs/>
          <w:sz w:val="28"/>
          <w:szCs w:val="28"/>
          <w:u w:val="none"/>
        </w:rPr>
      </w:pPr>
      <w:bookmarkStart w:id="27" w:name="_Toc98680992"/>
      <w:r>
        <w:rPr>
          <w:rFonts w:hint="eastAsia" w:ascii="楷体" w:hAnsi="楷体" w:eastAsia="楷体" w:cs="楷体"/>
          <w:b/>
          <w:bCs/>
          <w:sz w:val="28"/>
          <w:szCs w:val="28"/>
          <w:u w:val="none"/>
        </w:rPr>
        <w:t>十</w:t>
      </w:r>
      <w:r>
        <w:rPr>
          <w:rFonts w:hint="eastAsia" w:ascii="楷体" w:hAnsi="楷体" w:eastAsia="楷体" w:cs="楷体"/>
          <w:b/>
          <w:bCs/>
          <w:sz w:val="28"/>
          <w:szCs w:val="28"/>
          <w:u w:val="none"/>
          <w:lang w:val="en-US" w:eastAsia="zh-CN"/>
        </w:rPr>
        <w:t>二</w:t>
      </w:r>
      <w:r>
        <w:rPr>
          <w:rFonts w:hint="eastAsia" w:ascii="楷体" w:hAnsi="楷体" w:eastAsia="楷体" w:cs="楷体"/>
          <w:b/>
          <w:bCs/>
          <w:sz w:val="28"/>
          <w:szCs w:val="28"/>
          <w:u w:val="none"/>
        </w:rPr>
        <w:t>、相关事项说明</w:t>
      </w:r>
      <w:bookmarkEnd w:id="27"/>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1.本理财产品中示例均采用假设数据，并不代表客户实际可获得的收益。</w:t>
      </w:r>
    </w:p>
    <w:p>
      <w:pPr>
        <w:spacing w:line="360" w:lineRule="auto"/>
        <w:ind w:firstLine="420" w:firstLineChars="200"/>
        <w:contextualSpacing/>
        <w:rPr>
          <w:rFonts w:hint="eastAsia" w:ascii="楷体" w:hAnsi="楷体" w:eastAsia="楷体" w:cs="楷体"/>
          <w:b w:val="0"/>
          <w:bCs w:val="0"/>
          <w:szCs w:val="21"/>
          <w:u w:val="none"/>
        </w:rPr>
      </w:pPr>
      <w:r>
        <w:rPr>
          <w:rFonts w:hint="eastAsia" w:ascii="楷体" w:hAnsi="楷体" w:eastAsia="楷体" w:cs="楷体"/>
          <w:b w:val="0"/>
          <w:bCs w:val="0"/>
          <w:szCs w:val="21"/>
          <w:u w:val="none"/>
        </w:rPr>
        <w:t>2.业务受理、信息公布的相关时间以上银理财业务系统所记北京时间为准。</w:t>
      </w:r>
    </w:p>
    <w:p>
      <w:pPr>
        <w:spacing w:line="360" w:lineRule="auto"/>
        <w:ind w:firstLine="420" w:firstLineChars="200"/>
        <w:contextualSpacing/>
        <w:rPr>
          <w:rFonts w:hint="eastAsia" w:ascii="楷体" w:hAnsi="楷体" w:eastAsia="楷体" w:cs="楷体"/>
          <w:b w:val="0"/>
          <w:bCs w:val="0"/>
          <w:szCs w:val="21"/>
          <w:u w:val="none"/>
          <w:lang w:val="en-US" w:eastAsia="zh-CN"/>
        </w:rPr>
      </w:pPr>
      <w:r>
        <w:rPr>
          <w:rFonts w:hint="eastAsia" w:ascii="楷体" w:hAnsi="楷体" w:eastAsia="楷体" w:cs="楷体"/>
          <w:b w:val="0"/>
          <w:bCs w:val="0"/>
          <w:szCs w:val="21"/>
          <w:u w:val="none"/>
        </w:rPr>
        <w:t>3.本理财产品</w:t>
      </w:r>
      <w:r>
        <w:rPr>
          <w:rFonts w:hint="eastAsia" w:ascii="楷体" w:hAnsi="楷体" w:eastAsia="楷体" w:cs="楷体"/>
          <w:b w:val="0"/>
          <w:bCs w:val="0"/>
          <w:szCs w:val="21"/>
          <w:u w:val="none"/>
          <w:lang w:val="en-US" w:eastAsia="zh-CN"/>
        </w:rPr>
        <w:t>合同</w:t>
      </w:r>
      <w:r>
        <w:rPr>
          <w:rFonts w:hint="eastAsia" w:ascii="楷体" w:hAnsi="楷体" w:eastAsia="楷体" w:cs="楷体"/>
          <w:b w:val="0"/>
          <w:bCs w:val="0"/>
          <w:szCs w:val="21"/>
          <w:u w:val="none"/>
        </w:rPr>
        <w:t>适用中华人民共和国大陆地区的法律，其项下及与之有关的一切争议，投资者与产品管理人、销售机构应首先友好协商解决。协商未达成一致的，任何一方可向产品管理人所在地法院提起诉讼</w:t>
      </w:r>
      <w:r>
        <w:rPr>
          <w:rFonts w:hint="eastAsia" w:ascii="楷体" w:hAnsi="楷体" w:eastAsia="楷体" w:cs="楷体"/>
          <w:b w:val="0"/>
          <w:bCs w:val="0"/>
          <w:szCs w:val="21"/>
          <w:u w:val="none"/>
          <w:lang w:eastAsia="zh-CN"/>
        </w:rPr>
        <w:t>。</w:t>
      </w:r>
    </w:p>
    <w:p>
      <w:pPr>
        <w:spacing w:line="360" w:lineRule="auto"/>
        <w:ind w:firstLine="420" w:firstLineChars="200"/>
        <w:contextualSpacing/>
        <w:rPr>
          <w:rFonts w:hint="eastAsia" w:ascii="楷体" w:hAnsi="楷体" w:eastAsia="楷体" w:cs="楷体"/>
          <w:b w:val="0"/>
          <w:bCs w:val="0"/>
          <w:u w:val="none"/>
        </w:rPr>
      </w:pPr>
      <w:r>
        <w:rPr>
          <w:rFonts w:hint="eastAsia" w:ascii="楷体" w:hAnsi="楷体" w:eastAsia="楷体" w:cs="楷体"/>
          <w:b w:val="0"/>
          <w:bCs w:val="0"/>
          <w:szCs w:val="21"/>
          <w:u w:val="none"/>
        </w:rPr>
        <w:t>4.</w:t>
      </w:r>
      <w:r>
        <w:rPr>
          <w:rFonts w:hint="eastAsia" w:ascii="楷体" w:hAnsi="楷体" w:eastAsia="楷体" w:cs="楷体"/>
          <w:b w:val="0"/>
          <w:bCs w:val="0"/>
          <w:u w:val="none"/>
        </w:rPr>
        <w:t>本理财产品</w:t>
      </w:r>
      <w:r>
        <w:rPr>
          <w:rFonts w:hint="eastAsia" w:ascii="楷体" w:hAnsi="楷体" w:eastAsia="楷体" w:cs="楷体"/>
          <w:b w:val="0"/>
          <w:bCs w:val="0"/>
          <w:u w:val="none"/>
          <w:lang w:val="en-US" w:eastAsia="zh-CN"/>
        </w:rPr>
        <w:t>合同</w:t>
      </w:r>
      <w:r>
        <w:rPr>
          <w:rFonts w:hint="eastAsia" w:ascii="楷体" w:hAnsi="楷体" w:eastAsia="楷体" w:cs="楷体"/>
          <w:b w:val="0"/>
          <w:bCs w:val="0"/>
          <w:u w:val="none"/>
        </w:rPr>
        <w:t>在法律许可的范围内由管理人负责解释。若客户对上述内容有任何疑问，请联系销售机构</w:t>
      </w:r>
      <w:r>
        <w:rPr>
          <w:rFonts w:hint="eastAsia" w:ascii="楷体" w:hAnsi="楷体" w:eastAsia="楷体" w:cs="楷体"/>
          <w:b w:val="0"/>
          <w:bCs w:val="0"/>
          <w:u w:val="none"/>
          <w:lang w:val="en-US" w:eastAsia="zh-CN"/>
        </w:rPr>
        <w:t>咨询</w:t>
      </w:r>
      <w:r>
        <w:rPr>
          <w:rFonts w:hint="eastAsia" w:ascii="楷体" w:hAnsi="楷体" w:eastAsia="楷体" w:cs="楷体"/>
          <w:b w:val="0"/>
          <w:bCs w:val="0"/>
          <w:u w:val="none"/>
        </w:rPr>
        <w:t>，也可致电销售机构全国统一客户服务热线。</w:t>
      </w:r>
    </w:p>
    <w:p>
      <w:pPr>
        <w:ind w:firstLine="0" w:firstLineChars="0"/>
        <w:rPr>
          <w:rFonts w:hint="eastAsia" w:ascii="楷体" w:hAnsi="楷体" w:eastAsia="楷体" w:cs="楷体"/>
          <w:b w:val="0"/>
          <w:bCs w:val="0"/>
          <w:u w:val="none"/>
        </w:rPr>
      </w:pPr>
    </w:p>
    <w:p>
      <w:pPr>
        <w:ind w:firstLine="0" w:firstLineChars="0"/>
        <w:rPr>
          <w:rFonts w:ascii="楷体" w:hAnsi="楷体" w:eastAsia="楷体"/>
          <w:b/>
          <w:bCs/>
          <w:u w:val="none"/>
        </w:rPr>
      </w:pPr>
    </w:p>
    <w:p>
      <w:pPr>
        <w:rPr>
          <w:rFonts w:hint="eastAsia" w:ascii="楷体" w:hAnsi="楷体" w:eastAsia="楷体"/>
          <w:b/>
          <w:bCs/>
          <w:u w:val="none"/>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ind w:firstLine="0" w:firstLineChars="0"/>
        <w:rPr>
          <w:rFonts w:ascii="楷体" w:hAnsi="楷体" w:eastAsia="楷体"/>
          <w:b/>
          <w:bCs/>
        </w:rPr>
      </w:pPr>
    </w:p>
    <w:p>
      <w:pPr>
        <w:widowControl/>
        <w:spacing w:line="360" w:lineRule="auto"/>
        <w:jc w:val="left"/>
        <w:rPr>
          <w:rFonts w:ascii="楷体_GB2312" w:hAnsi="宋体" w:eastAsia="楷体_GB2312"/>
          <w:b/>
          <w:bCs/>
          <w:szCs w:val="21"/>
        </w:rPr>
      </w:pPr>
    </w:p>
    <w:p>
      <w:pPr>
        <w:pStyle w:val="2"/>
        <w:spacing w:after="0" w:line="360" w:lineRule="auto"/>
        <w:jc w:val="center"/>
        <w:rPr>
          <w:rFonts w:ascii="黑体" w:hAnsi="黑体" w:eastAsia="黑体" w:cs="黑体"/>
          <w:sz w:val="36"/>
          <w:szCs w:val="36"/>
        </w:rPr>
      </w:pPr>
      <w:r>
        <w:rPr>
          <w:rFonts w:hint="eastAsia" w:ascii="黑体" w:hAnsi="黑体" w:eastAsia="黑体" w:cs="黑体"/>
          <w:sz w:val="36"/>
          <w:szCs w:val="36"/>
        </w:rPr>
        <w:t>上银理财有限责任公司</w:t>
      </w:r>
      <w:r>
        <w:rPr>
          <w:rFonts w:hint="eastAsia" w:ascii="黑体" w:hAnsi="黑体" w:eastAsia="黑体" w:cs="黑体"/>
          <w:sz w:val="36"/>
          <w:szCs w:val="36"/>
          <w:lang w:val="en-US" w:eastAsia="zh-CN"/>
        </w:rPr>
        <w:t>理财</w:t>
      </w:r>
      <w:r>
        <w:rPr>
          <w:rFonts w:hint="eastAsia" w:ascii="黑体" w:hAnsi="黑体" w:eastAsia="黑体" w:cs="黑体"/>
          <w:sz w:val="36"/>
          <w:szCs w:val="36"/>
        </w:rPr>
        <w:t>产品投资协议书</w:t>
      </w:r>
    </w:p>
    <w:p>
      <w:pPr>
        <w:spacing w:line="360" w:lineRule="auto"/>
        <w:ind w:firstLine="720"/>
        <w:jc w:val="center"/>
        <w:rPr>
          <w:rFonts w:ascii="黑体" w:hAnsi="黑体" w:eastAsia="黑体"/>
          <w:b/>
          <w:bCs/>
          <w:sz w:val="28"/>
        </w:rPr>
      </w:pPr>
      <w:r>
        <w:rPr>
          <w:rFonts w:hint="eastAsia" w:ascii="黑体" w:hAnsi="黑体" w:eastAsia="黑体"/>
          <w:b/>
          <w:bCs/>
          <w:sz w:val="28"/>
        </w:rPr>
        <w:t>（版本号：20</w:t>
      </w:r>
      <w:r>
        <w:rPr>
          <w:rFonts w:hint="eastAsia" w:ascii="黑体" w:hAnsi="黑体" w:eastAsia="黑体"/>
          <w:b/>
          <w:bCs/>
          <w:sz w:val="28"/>
          <w:lang w:val="en-US" w:eastAsia="zh-CN"/>
        </w:rPr>
        <w:t>24</w:t>
      </w:r>
      <w:r>
        <w:rPr>
          <w:rFonts w:hint="eastAsia" w:ascii="黑体" w:hAnsi="黑体" w:eastAsia="黑体"/>
          <w:b/>
          <w:bCs/>
          <w:sz w:val="28"/>
        </w:rPr>
        <w:t>.01）</w:t>
      </w:r>
    </w:p>
    <w:p>
      <w:pPr>
        <w:widowControl/>
        <w:spacing w:line="360" w:lineRule="auto"/>
        <w:ind w:firstLine="480"/>
        <w:jc w:val="center"/>
        <w:rPr>
          <w:rFonts w:ascii="仿宋" w:hAnsi="仿宋" w:eastAsia="仿宋" w:cs="仿宋"/>
          <w:b/>
          <w:kern w:val="0"/>
          <w:sz w:val="24"/>
          <w:lang w:bidi="ar"/>
        </w:rPr>
      </w:pPr>
    </w:p>
    <w:p>
      <w:pPr>
        <w:spacing w:line="360" w:lineRule="auto"/>
        <w:ind w:firstLine="720"/>
        <w:jc w:val="center"/>
        <w:rPr>
          <w:rFonts w:ascii="黑体" w:hAnsi="黑体" w:eastAsia="黑体"/>
          <w:b/>
          <w:bCs/>
          <w:sz w:val="28"/>
        </w:rPr>
      </w:pPr>
      <w:r>
        <w:rPr>
          <w:rFonts w:hint="eastAsia" w:ascii="黑体" w:hAnsi="黑体" w:eastAsia="黑体"/>
          <w:b/>
          <w:bCs/>
          <w:sz w:val="28"/>
        </w:rPr>
        <w:t>理财非存款、产品有风险、投资须谨慎。</w:t>
      </w:r>
    </w:p>
    <w:p>
      <w:pPr>
        <w:pStyle w:val="3"/>
        <w:spacing w:before="0" w:after="0" w:line="360" w:lineRule="auto"/>
        <w:jc w:val="left"/>
        <w:rPr>
          <w:rFonts w:ascii="仿宋" w:hAnsi="仿宋" w:eastAsia="仿宋" w:cs="仿宋"/>
          <w:sz w:val="24"/>
          <w:szCs w:val="24"/>
        </w:rPr>
      </w:pP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投资者（以下简称“甲方”）自愿购买由上银理财有限责任公司（以下简称“乙方”）作为管理人发行的【         】理财产品（产品代码：【        】以下简称“本理财产品”），并签订本协议。</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本协议为规范甲乙双方在理财业务中权利和义务的法律文件。订立本协议的原则是平等自愿、诚实信用、充分保护投资者的合法权益。</w:t>
      </w:r>
      <w:r>
        <w:rPr>
          <w:rFonts w:hint="eastAsia" w:ascii="仿宋" w:hAnsi="仿宋" w:eastAsia="仿宋" w:cs="仿宋"/>
          <w:b/>
          <w:bCs/>
          <w:kern w:val="0"/>
          <w:sz w:val="24"/>
          <w:lang w:bidi="ar"/>
        </w:rPr>
        <w:t>请投资者认真阅读以下条款，尤其是标注加粗的条款。如果投资者不同意本协议的任何内容，或者无法准确理解相关条款的解释，请不要进行后续操作。</w:t>
      </w:r>
    </w:p>
    <w:p>
      <w:pPr>
        <w:widowControl/>
        <w:spacing w:line="360" w:lineRule="auto"/>
        <w:ind w:firstLine="420"/>
        <w:rPr>
          <w:rFonts w:ascii="仿宋" w:hAnsi="仿宋" w:eastAsia="仿宋" w:cs="仿宋"/>
          <w:b/>
          <w:bCs/>
          <w:sz w:val="24"/>
        </w:rPr>
      </w:pPr>
      <w:r>
        <w:rPr>
          <w:rFonts w:hint="eastAsia" w:ascii="仿宋" w:hAnsi="仿宋" w:eastAsia="仿宋" w:cs="仿宋"/>
          <w:b/>
          <w:bCs/>
          <w:kern w:val="0"/>
          <w:sz w:val="24"/>
          <w:lang w:bidi="ar"/>
        </w:rPr>
        <w:t>甲方承诺：</w:t>
      </w:r>
      <w:r>
        <w:rPr>
          <w:rFonts w:hint="eastAsia" w:ascii="仿宋" w:hAnsi="仿宋" w:eastAsia="仿宋" w:cs="仿宋"/>
          <w:b/>
          <w:sz w:val="24"/>
          <w:szCs w:val="28"/>
          <w:lang w:bidi="ar"/>
        </w:rPr>
        <w:t>甲方已经阅读本理财产品所有销售文件，清楚知晓其内容，对有关条款不存在任何疑问或异议，接受并签署本投资协议书。</w:t>
      </w:r>
      <w:r>
        <w:rPr>
          <w:rFonts w:hint="eastAsia" w:ascii="仿宋" w:hAnsi="仿宋" w:eastAsia="仿宋" w:cs="仿宋"/>
          <w:b/>
          <w:sz w:val="24"/>
          <w:szCs w:val="28"/>
        </w:rPr>
        <w:t>甲方以自身合法持有的资金购买乙方发行并管理的产品，并能充分理解所购买产品的内容，完全知晓产品可能出现的各种风险，愿意并能够承担风险；如甲方在本协议项下投资的理财产品为“私募理财产品”，甲方符合监管要求的合格投资者条件。乙方向甲方提供的市场分析和预测仅供参考，甲方据此做出的任何决策均出于甲方自身的判断，并自愿承担购买</w:t>
      </w:r>
      <w:r>
        <w:rPr>
          <w:rFonts w:hint="eastAsia" w:ascii="仿宋" w:hAnsi="仿宋" w:eastAsia="仿宋" w:cs="仿宋"/>
          <w:b/>
          <w:sz w:val="24"/>
          <w:szCs w:val="28"/>
          <w:lang w:bidi="ar"/>
        </w:rPr>
        <w:t>（或赎回、撤单等其他行为）</w:t>
      </w:r>
      <w:r>
        <w:rPr>
          <w:rFonts w:hint="eastAsia" w:ascii="仿宋" w:hAnsi="仿宋" w:eastAsia="仿宋" w:cs="仿宋"/>
          <w:b/>
          <w:sz w:val="24"/>
          <w:szCs w:val="28"/>
        </w:rPr>
        <w:t>理财产品所产生的相关风险和全部后果。</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第一条 协议的构成和效力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本协议与相应期次理财产品的《产品说明书》、《风险揭示书》、《销售协议书》、《客户权益须知》等相关文件共同构成一份完整且不可分割的、关于甲方投资乙方理财产品的法律文件（以下简称“理财产品文件”）。本协议与《产品说明书》不一致的内容，以《产品说明书》约定为准。</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第二条 风险揭示</w:t>
      </w:r>
    </w:p>
    <w:p>
      <w:pPr>
        <w:widowControl/>
        <w:spacing w:line="360" w:lineRule="auto"/>
        <w:ind w:firstLine="482"/>
        <w:rPr>
          <w:rFonts w:ascii="仿宋" w:hAnsi="仿宋" w:eastAsia="仿宋" w:cs="仿宋"/>
          <w:b/>
          <w:bCs/>
          <w:sz w:val="24"/>
        </w:rPr>
      </w:pPr>
      <w:r>
        <w:rPr>
          <w:rFonts w:hint="eastAsia" w:ascii="仿宋" w:hAnsi="仿宋" w:eastAsia="仿宋" w:cs="仿宋"/>
          <w:b/>
          <w:bCs/>
          <w:kern w:val="0"/>
          <w:sz w:val="24"/>
          <w:lang w:bidi="ar"/>
        </w:rPr>
        <w:t>理财非存款、产品有风险、投资须谨慎。理财产品过往业绩不代表其未来表现，不等于理财产品实际收益。投资理财产品可能面临各种风险因素，具体于相应期次理财产品《风险揭示书》中进行揭示，甲方应仔细阅读并充分理解相关销售文件。</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第三条 甲方的权利和义务</w:t>
      </w:r>
    </w:p>
    <w:p>
      <w:pPr>
        <w:widowControl/>
        <w:spacing w:line="360" w:lineRule="auto"/>
        <w:ind w:firstLine="480" w:firstLineChars="200"/>
        <w:rPr>
          <w:rFonts w:hint="eastAsia" w:ascii="仿宋" w:hAnsi="仿宋" w:eastAsia="仿宋" w:cs="仿宋"/>
          <w:kern w:val="0"/>
          <w:sz w:val="24"/>
          <w:lang w:val="en-US" w:eastAsia="zh-CN" w:bidi="ar"/>
        </w:rPr>
      </w:pPr>
      <w:bookmarkStart w:id="28" w:name="_Hlk100080347"/>
      <w:r>
        <w:rPr>
          <w:rFonts w:hint="eastAsia" w:ascii="仿宋" w:hAnsi="仿宋" w:eastAsia="仿宋" w:cs="仿宋"/>
          <w:kern w:val="0"/>
          <w:sz w:val="24"/>
          <w:lang w:bidi="ar"/>
        </w:rPr>
        <w:t>1.</w:t>
      </w:r>
      <w:r>
        <w:rPr>
          <w:rFonts w:hint="eastAsia" w:ascii="仿宋" w:hAnsi="仿宋" w:eastAsia="仿宋" w:cs="仿宋"/>
          <w:kern w:val="0"/>
          <w:sz w:val="24"/>
          <w:lang w:val="en-US" w:eastAsia="zh-CN" w:bidi="ar"/>
        </w:rPr>
        <w:t>【适用于个人投资者】甲方具有完全民事行为能力，有完全适当的资格与能力签订并履行理财产品合同，不存在法律、行政法规有关规定禁止或限制投资理财产品的情形。</w:t>
      </w:r>
    </w:p>
    <w:p>
      <w:pPr>
        <w:widowControl/>
        <w:spacing w:line="360" w:lineRule="auto"/>
        <w:ind w:firstLine="480" w:firstLineChars="0"/>
        <w:rPr>
          <w:rFonts w:hint="eastAsia" w:ascii="仿宋" w:hAnsi="仿宋" w:eastAsia="仿宋" w:cs="仿宋"/>
          <w:kern w:val="0"/>
          <w:sz w:val="24"/>
          <w:lang w:val="en-US" w:eastAsia="zh-CN" w:bidi="ar"/>
        </w:rPr>
      </w:pPr>
      <w:r>
        <w:rPr>
          <w:rFonts w:hint="eastAsia" w:ascii="仿宋" w:hAnsi="仿宋" w:eastAsia="仿宋" w:cs="仿宋"/>
          <w:kern w:val="0"/>
          <w:sz w:val="24"/>
          <w:lang w:val="en-US" w:eastAsia="zh-CN" w:bidi="ar"/>
        </w:rPr>
        <w:t>【适用于机构投资者】甲方确认签署和履行理财产品合同系其真实意思表示，已经按照其章程或者其它内部管理文件的要求取得合法、有效的授权且不违反对其有约束力的任何合同和其他法律文件；甲方已经取得签订和履行理财产品合同所需的一切有关批准、许可、备案或者登记。</w:t>
      </w:r>
    </w:p>
    <w:p>
      <w:pPr>
        <w:widowControl/>
        <w:spacing w:line="360" w:lineRule="auto"/>
        <w:ind w:firstLine="480" w:firstLineChars="0"/>
        <w:rPr>
          <w:rFonts w:hint="eastAsia" w:ascii="仿宋" w:hAnsi="仿宋" w:eastAsia="仿宋" w:cs="仿宋"/>
          <w:kern w:val="0"/>
          <w:sz w:val="24"/>
          <w:lang w:bidi="ar"/>
        </w:rPr>
      </w:pPr>
      <w:r>
        <w:rPr>
          <w:rFonts w:hint="eastAsia" w:ascii="仿宋" w:hAnsi="仿宋" w:eastAsia="仿宋" w:cs="仿宋"/>
          <w:kern w:val="0"/>
          <w:sz w:val="24"/>
          <w:lang w:val="en-US" w:eastAsia="zh-CN" w:bidi="ar"/>
        </w:rPr>
        <w:t>2.</w:t>
      </w:r>
      <w:r>
        <w:rPr>
          <w:rFonts w:hint="eastAsia" w:ascii="仿宋" w:hAnsi="仿宋" w:eastAsia="仿宋" w:cs="仿宋"/>
          <w:kern w:val="0"/>
          <w:sz w:val="24"/>
          <w:lang w:bidi="ar"/>
        </w:rPr>
        <w:t>甲方有权通过《产品说明书》了解包括但不限于本理财产品的投资范围、投资资产种类和投资比例等内容。</w:t>
      </w:r>
    </w:p>
    <w:p>
      <w:pPr>
        <w:widowControl/>
        <w:spacing w:line="360" w:lineRule="auto"/>
        <w:ind w:firstLine="480" w:firstLineChars="200"/>
        <w:rPr>
          <w:rFonts w:hint="eastAsia" w:ascii="仿宋" w:hAnsi="仿宋" w:eastAsia="仿宋" w:cs="仿宋"/>
          <w:kern w:val="0"/>
          <w:sz w:val="24"/>
          <w:szCs w:val="22"/>
          <w:lang w:eastAsia="zh-CN" w:bidi="ar"/>
        </w:rPr>
      </w:pPr>
      <w:r>
        <w:rPr>
          <w:rFonts w:hint="eastAsia" w:ascii="仿宋" w:hAnsi="仿宋" w:eastAsia="仿宋" w:cs="仿宋"/>
          <w:kern w:val="0"/>
          <w:sz w:val="24"/>
          <w:szCs w:val="22"/>
          <w:lang w:val="en-US" w:eastAsia="zh-CN" w:bidi="ar"/>
        </w:rPr>
        <w:t>3</w:t>
      </w:r>
      <w:r>
        <w:rPr>
          <w:rFonts w:hint="eastAsia" w:ascii="仿宋" w:hAnsi="仿宋" w:eastAsia="仿宋" w:cs="仿宋"/>
          <w:kern w:val="0"/>
          <w:sz w:val="24"/>
          <w:szCs w:val="22"/>
          <w:lang w:bidi="ar"/>
        </w:rPr>
        <w:t>.甲方有权按照本合同、《产品说明书》的约定，购买或赎回本理财产品</w:t>
      </w:r>
      <w:r>
        <w:rPr>
          <w:rFonts w:hint="eastAsia" w:ascii="仿宋" w:hAnsi="仿宋" w:eastAsia="仿宋" w:cs="仿宋"/>
          <w:kern w:val="0"/>
          <w:sz w:val="24"/>
          <w:szCs w:val="22"/>
          <w:lang w:eastAsia="zh-CN" w:bidi="ar"/>
        </w:rPr>
        <w:t>。</w:t>
      </w:r>
    </w:p>
    <w:p>
      <w:pPr>
        <w:spacing w:line="360" w:lineRule="auto"/>
        <w:ind w:firstLine="480" w:firstLineChars="200"/>
        <w:rPr>
          <w:rFonts w:hint="eastAsia" w:ascii="仿宋" w:hAnsi="仿宋" w:eastAsia="仿宋" w:cs="仿宋"/>
          <w:kern w:val="0"/>
          <w:sz w:val="24"/>
          <w:lang w:eastAsia="zh-CN" w:bidi="ar"/>
        </w:rPr>
      </w:pPr>
      <w:r>
        <w:rPr>
          <w:rFonts w:hint="eastAsia" w:ascii="仿宋" w:hAnsi="仿宋" w:eastAsia="仿宋" w:cs="仿宋"/>
          <w:kern w:val="0"/>
          <w:sz w:val="24"/>
          <w:szCs w:val="22"/>
          <w:lang w:val="en-US" w:eastAsia="zh-CN" w:bidi="ar"/>
        </w:rPr>
        <w:t>4</w:t>
      </w:r>
      <w:r>
        <w:rPr>
          <w:rFonts w:hint="eastAsia" w:ascii="仿宋" w:hAnsi="仿宋" w:eastAsia="仿宋" w:cs="仿宋"/>
          <w:kern w:val="0"/>
          <w:sz w:val="24"/>
          <w:szCs w:val="22"/>
          <w:lang w:bidi="ar"/>
        </w:rPr>
        <w:t>.甲方有权取得与持有份额相对应的投资收益、分配清算后的剩余财产（如有）</w:t>
      </w:r>
      <w:r>
        <w:rPr>
          <w:rFonts w:hint="eastAsia" w:ascii="仿宋" w:hAnsi="仿宋" w:eastAsia="仿宋" w:cs="仿宋"/>
          <w:kern w:val="0"/>
          <w:sz w:val="24"/>
          <w:szCs w:val="22"/>
          <w:lang w:eastAsia="zh-CN" w:bidi="ar"/>
        </w:rPr>
        <w:t>。</w:t>
      </w:r>
    </w:p>
    <w:bookmarkEnd w:id="28"/>
    <w:p>
      <w:pPr>
        <w:widowControl/>
        <w:spacing w:line="360" w:lineRule="auto"/>
        <w:ind w:firstLine="480"/>
        <w:rPr>
          <w:rFonts w:hint="eastAsia" w:ascii="仿宋" w:hAnsi="仿宋" w:eastAsia="仿宋" w:cs="仿宋"/>
          <w:kern w:val="0"/>
          <w:sz w:val="24"/>
          <w:lang w:bidi="ar"/>
        </w:rPr>
      </w:pPr>
      <w:r>
        <w:rPr>
          <w:rFonts w:hint="eastAsia" w:ascii="仿宋" w:hAnsi="仿宋" w:eastAsia="仿宋" w:cs="仿宋"/>
          <w:kern w:val="0"/>
          <w:sz w:val="24"/>
          <w:lang w:val="en-US" w:eastAsia="zh-CN" w:bidi="ar"/>
        </w:rPr>
        <w:t>5</w:t>
      </w:r>
      <w:r>
        <w:rPr>
          <w:rFonts w:hint="eastAsia" w:ascii="仿宋" w:hAnsi="仿宋" w:eastAsia="仿宋" w:cs="仿宋"/>
          <w:kern w:val="0"/>
          <w:sz w:val="24"/>
          <w:lang w:bidi="ar"/>
        </w:rPr>
        <w:t>.甲方承诺其购买理财产品的资金为合法自有资金或合法募集资金，不存在使用贷款、发行债券等筹集的非自有资金投资资产管理产品的情形（合法募集资金除外），甲方承诺投资理财产品使用的资金来源合法合规，并且系为合法之目的投资本理财产品，而非为洗钱等违法犯罪之目的，甲方将配合乙方开展投资者身份识别及尽职调查等反洗钱活动，及时、真实、准确、完整提供身份信息及资金来源等信息。</w:t>
      </w:r>
    </w:p>
    <w:p>
      <w:pPr>
        <w:widowControl/>
        <w:spacing w:line="360" w:lineRule="auto"/>
        <w:ind w:firstLine="480"/>
        <w:rPr>
          <w:rFonts w:hint="eastAsia" w:ascii="仿宋" w:hAnsi="仿宋" w:eastAsia="仿宋" w:cs="仿宋"/>
          <w:kern w:val="0"/>
          <w:sz w:val="24"/>
          <w:lang w:eastAsia="zh-CN" w:bidi="ar"/>
        </w:rPr>
      </w:pPr>
      <w:r>
        <w:rPr>
          <w:rFonts w:hint="eastAsia" w:ascii="仿宋" w:hAnsi="仿宋" w:eastAsia="仿宋" w:cs="仿宋"/>
          <w:kern w:val="0"/>
          <w:sz w:val="24"/>
          <w:lang w:val="en-US" w:eastAsia="zh-CN" w:bidi="ar"/>
        </w:rPr>
        <w:t>6.</w:t>
      </w:r>
      <w:r>
        <w:rPr>
          <w:rFonts w:hint="eastAsia" w:ascii="仿宋" w:hAnsi="仿宋" w:eastAsia="仿宋" w:cs="仿宋"/>
          <w:kern w:val="0"/>
          <w:sz w:val="24"/>
          <w:lang w:bidi="ar"/>
        </w:rPr>
        <w:t>甲方承诺</w:t>
      </w:r>
      <w:r>
        <w:rPr>
          <w:rFonts w:hint="eastAsia" w:ascii="仿宋" w:hAnsi="仿宋" w:eastAsia="仿宋" w:cs="仿宋"/>
          <w:kern w:val="0"/>
          <w:sz w:val="24"/>
          <w:lang w:val="en-US" w:eastAsia="zh-CN" w:bidi="ar"/>
        </w:rPr>
        <w:t>其</w:t>
      </w:r>
      <w:r>
        <w:rPr>
          <w:rFonts w:hint="eastAsia" w:ascii="仿宋" w:hAnsi="仿宋" w:eastAsia="仿宋" w:cs="仿宋"/>
          <w:kern w:val="0"/>
          <w:sz w:val="24"/>
          <w:lang w:bidi="ar"/>
        </w:rPr>
        <w:t>投资理财产品不存在违反监管要求的产品嵌套，以及以投资本理财产品从事规避投资范围、杠杆约束等监管要求等的通道业务违法违规行为</w:t>
      </w:r>
      <w:r>
        <w:rPr>
          <w:rFonts w:hint="eastAsia" w:ascii="仿宋" w:hAnsi="仿宋" w:eastAsia="仿宋" w:cs="仿宋"/>
          <w:kern w:val="0"/>
          <w:sz w:val="24"/>
          <w:lang w:eastAsia="zh-CN" w:bidi="ar"/>
        </w:rPr>
        <w:t>；</w:t>
      </w:r>
      <w:r>
        <w:rPr>
          <w:rFonts w:hint="eastAsia" w:ascii="仿宋" w:hAnsi="仿宋" w:eastAsia="仿宋" w:cs="仿宋"/>
          <w:kern w:val="0"/>
          <w:sz w:val="24"/>
          <w:lang w:bidi="ar"/>
        </w:rPr>
        <w:t>甲方以其管理的私募资产管理产品投资于理财产品的，该私募资产管理产品的所有投资者为符合法律法规规定的合格投资者且委托财产来源合法合规</w:t>
      </w:r>
      <w:r>
        <w:rPr>
          <w:rFonts w:hint="eastAsia" w:ascii="仿宋" w:hAnsi="仿宋" w:eastAsia="仿宋" w:cs="仿宋"/>
          <w:kern w:val="0"/>
          <w:sz w:val="24"/>
          <w:lang w:eastAsia="zh-CN" w:bidi="ar"/>
        </w:rPr>
        <w:t>；</w:t>
      </w:r>
      <w:r>
        <w:rPr>
          <w:rFonts w:hint="eastAsia" w:ascii="仿宋" w:hAnsi="仿宋" w:eastAsia="仿宋" w:cs="仿宋"/>
          <w:kern w:val="0"/>
          <w:sz w:val="24"/>
          <w:lang w:val="en-US" w:eastAsia="zh-CN" w:bidi="ar"/>
        </w:rPr>
        <w:t>甲方应配合乙方为识别合格投资者等目的进行的尽职调查。</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7</w:t>
      </w:r>
      <w:r>
        <w:rPr>
          <w:rFonts w:hint="eastAsia" w:ascii="仿宋" w:hAnsi="仿宋" w:eastAsia="仿宋" w:cs="仿宋"/>
          <w:kern w:val="0"/>
          <w:sz w:val="24"/>
          <w:lang w:bidi="ar"/>
        </w:rPr>
        <w:t>.甲方承诺所提供的所有资料真实、完整、合法、有效，如有变更，甲方应及时通过理财产品文件约定的方式办理变更手续。若甲方未及时办理相关变更手续，由此导致的一切后果由甲方自行承担，乙方对此不承担任何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8</w:t>
      </w:r>
      <w:r>
        <w:rPr>
          <w:rFonts w:hint="eastAsia" w:ascii="仿宋" w:hAnsi="仿宋" w:eastAsia="仿宋" w:cs="仿宋"/>
          <w:kern w:val="0"/>
          <w:sz w:val="24"/>
          <w:lang w:bidi="ar"/>
        </w:rPr>
        <w:t>.在产品认/申购期内，如因甲方原因（包括但不限于甲方账户冻结、挂失、换卡、销户、长期不动户、变更等原因）导致投资本金不能从其约定账户足额划转导致甲方对相关理财产品的购买不成功的，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9</w:t>
      </w:r>
      <w:r>
        <w:rPr>
          <w:rFonts w:hint="eastAsia" w:ascii="仿宋" w:hAnsi="仿宋" w:eastAsia="仿宋" w:cs="仿宋"/>
          <w:kern w:val="0"/>
          <w:sz w:val="24"/>
          <w:lang w:bidi="ar"/>
        </w:rPr>
        <w:t>.甲方对本协议及其条款负有保密义务，未经乙方书面许可，甲方不得向任何组织、个人提供或泄露与乙方有关的业务资料及信息，法律、法规另有规定的除外。</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val="en-US" w:eastAsia="zh-CN" w:bidi="ar"/>
        </w:rPr>
        <w:t>10</w:t>
      </w:r>
      <w:r>
        <w:rPr>
          <w:rFonts w:hint="eastAsia" w:ascii="仿宋" w:hAnsi="仿宋" w:eastAsia="仿宋" w:cs="仿宋"/>
          <w:b/>
          <w:bCs/>
          <w:kern w:val="0"/>
          <w:sz w:val="24"/>
          <w:lang w:bidi="ar"/>
        </w:rPr>
        <w:t>.甲方签署本协议，即同意授权乙方在下述情形时均无须再通知甲方：</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（1）在甲方提交认/申购申请时；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（2）从甲方约定账户冻结/预扣资金时；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（3）于约定时间根据乙方确认的认/申购结果扣划相应资金至乙方指定账户时；</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（4）进行币种转换于境外投资时。</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11</w:t>
      </w:r>
      <w:r>
        <w:rPr>
          <w:rFonts w:hint="eastAsia" w:ascii="仿宋" w:hAnsi="仿宋" w:eastAsia="仿宋" w:cs="仿宋"/>
          <w:kern w:val="0"/>
          <w:sz w:val="24"/>
          <w:lang w:bidi="ar"/>
        </w:rPr>
        <w:t>.对于甲方通过代理销售机构的网上银行、手机银行等各渠道购买的由乙方管理的理财产品，甲方确认其在代理销售机构渠道系统点击确认的理财产品销售文件的合法有效性，与纸质签署具有同等效力，并确认记录以及录音、录像构成对甲方操作行为（包括但不限于购买、赎回、撤单等业务）的终局证据，并且在双方发生争议时可以作为合法有效的证据使用。</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val="en-US" w:eastAsia="zh-CN" w:bidi="ar"/>
        </w:rPr>
        <w:t>12</w:t>
      </w:r>
      <w:r>
        <w:rPr>
          <w:rFonts w:hint="eastAsia" w:ascii="仿宋" w:hAnsi="仿宋" w:eastAsia="仿宋" w:cs="仿宋"/>
          <w:b/>
          <w:bCs/>
          <w:kern w:val="0"/>
          <w:sz w:val="24"/>
          <w:lang w:bidi="ar"/>
        </w:rPr>
        <w:t>.如甲方投资的理财产品为私募理财产品，甲方自签署理财产品合同或提交认/申购申请时起可以享有24小时的投资冷静期。</w:t>
      </w:r>
      <w:r>
        <w:rPr>
          <w:rFonts w:hint="eastAsia" w:ascii="仿宋" w:hAnsi="仿宋" w:eastAsia="仿宋" w:cs="仿宋"/>
          <w:kern w:val="0"/>
          <w:sz w:val="24"/>
          <w:lang w:bidi="ar"/>
        </w:rPr>
        <w:t>在冷静期内，如甲方改变投资决定，应立即在投资冷静期内撤销认/申购的申请，并提出解除相应理财产品合同，乙方应当遵从甲方意愿，解除已签订的理财产品合同，并及时退还甲方的全部投资款项。</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13</w:t>
      </w:r>
      <w:r>
        <w:rPr>
          <w:rFonts w:hint="eastAsia" w:ascii="仿宋" w:hAnsi="仿宋" w:eastAsia="仿宋" w:cs="仿宋"/>
          <w:kern w:val="0"/>
          <w:sz w:val="24"/>
          <w:lang w:bidi="ar"/>
        </w:rPr>
        <w:t>.甲方签署本协议，即视为知晓并确认无论通过任何渠道购买本产品，均是基于对产品的特点、期限、流动性及相关风险的充分理解和评估所作出的独立判断，由此产生的一切后果，将由甲方自行独立承担。监管有最新规定的，从其规定。</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14</w:t>
      </w:r>
      <w:r>
        <w:rPr>
          <w:rFonts w:hint="eastAsia" w:ascii="仿宋" w:hAnsi="仿宋" w:eastAsia="仿宋" w:cs="仿宋"/>
          <w:kern w:val="0"/>
          <w:sz w:val="24"/>
          <w:lang w:bidi="ar"/>
        </w:rPr>
        <w:t>.甲方承诺在产品存续期内，除按照《产品说明书》约定的情形外，不得要求乙方退还已扣划款项或以任何形式清算其持有的理财产品份额，且不得将约定账户销户。</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机构即为甲方约定账户开户银行的，</w:t>
      </w:r>
      <w:r>
        <w:rPr>
          <w:rFonts w:hint="eastAsia" w:ascii="仿宋" w:hAnsi="仿宋" w:eastAsia="仿宋" w:cs="仿宋"/>
          <w:kern w:val="0"/>
          <w:sz w:val="24"/>
          <w:szCs w:val="24"/>
          <w:lang w:bidi="ar"/>
        </w:rPr>
        <w:t>代理销售</w:t>
      </w:r>
      <w:r>
        <w:rPr>
          <w:rFonts w:hint="eastAsia" w:ascii="仿宋" w:hAnsi="仿宋" w:eastAsia="仿宋" w:cs="仿宋"/>
          <w:kern w:val="0"/>
          <w:sz w:val="24"/>
          <w:lang w:bidi="ar"/>
        </w:rPr>
        <w:t>机构有权拒绝甲方的销户请求并及时告知乙方。</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val="en-US" w:eastAsia="zh-CN" w:bidi="ar"/>
        </w:rPr>
        <w:t>15</w:t>
      </w:r>
      <w:r>
        <w:rPr>
          <w:rFonts w:hint="eastAsia" w:ascii="仿宋" w:hAnsi="仿宋" w:eastAsia="仿宋" w:cs="仿宋"/>
          <w:kern w:val="0"/>
          <w:sz w:val="24"/>
          <w:lang w:bidi="ar"/>
        </w:rPr>
        <w:t>.如因甲方的原因，导致乙方对其他第三方承担赔偿责任，甲方承诺对乙方承担相应的赔偿责任。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val="en-US" w:eastAsia="zh-CN" w:bidi="ar"/>
        </w:rPr>
        <w:t>16</w:t>
      </w:r>
      <w:r>
        <w:rPr>
          <w:rFonts w:ascii="仿宋" w:hAnsi="仿宋" w:eastAsia="仿宋" w:cs="仿宋"/>
          <w:kern w:val="0"/>
          <w:sz w:val="24"/>
          <w:lang w:bidi="ar"/>
        </w:rPr>
        <w:t>.</w:t>
      </w:r>
      <w:r>
        <w:rPr>
          <w:rFonts w:hint="eastAsia" w:ascii="仿宋" w:hAnsi="仿宋" w:eastAsia="仿宋" w:cs="仿宋"/>
          <w:kern w:val="0"/>
          <w:sz w:val="24"/>
          <w:lang w:bidi="ar"/>
        </w:rPr>
        <w:t>根据《产品说明书》的相关约定，甲方所应享有的其他权利和应履行的其他义务。</w:t>
      </w:r>
    </w:p>
    <w:p>
      <w:pPr>
        <w:widowControl/>
        <w:spacing w:line="360" w:lineRule="auto"/>
        <w:rPr>
          <w:rFonts w:ascii="仿宋" w:hAnsi="仿宋" w:eastAsia="仿宋" w:cs="仿宋"/>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第四条 乙方权利和义务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1.乙方有权向甲方收取理财产品的相关费用，具体收费项目、条件、标准和方式，在《产品说明书》中载明，</w:t>
      </w:r>
      <w:r>
        <w:rPr>
          <w:rFonts w:hint="eastAsia" w:ascii="仿宋" w:hAnsi="仿宋" w:eastAsia="仿宋" w:cs="仿宋"/>
          <w:b/>
          <w:bCs/>
          <w:kern w:val="0"/>
          <w:sz w:val="24"/>
          <w:lang w:bidi="ar"/>
        </w:rPr>
        <w:t>乙方有权根据《产品说明书》的约定通过信息披露的方式对具体收费项目、条件、标准和方式进行变更。乙方亦有权根据服务项目或服务内容，对服务价格、优惠措施及其生效和终止日期、与价格相关的例外条款和限制性条款、咨询（投诉）的联系方式等信息通过乙方代理销售机构的网点、网站等渠道或乙方在《产品说明书》指定的信息披露场所向甲方进行信息披露。</w:t>
      </w:r>
      <w:r>
        <w:rPr>
          <w:rFonts w:hint="eastAsia" w:ascii="仿宋" w:hAnsi="仿宋" w:eastAsia="仿宋" w:cs="仿宋"/>
          <w:kern w:val="0"/>
          <w:sz w:val="24"/>
          <w:lang w:bidi="ar"/>
        </w:rPr>
        <w:t>该等乙方信息披露内容构成本协议不可分割的一部分，与本协议具有同等效力，甲方应在充分知晓、理解有关信息披露内容后签署本协议，并在签署本协议后持续关注。</w:t>
      </w:r>
    </w:p>
    <w:p>
      <w:pPr>
        <w:spacing w:line="360" w:lineRule="auto"/>
        <w:ind w:firstLine="482"/>
        <w:rPr>
          <w:rFonts w:ascii="仿宋" w:hAnsi="仿宋" w:eastAsia="仿宋" w:cs="仿宋"/>
          <w:b/>
          <w:bCs/>
          <w:sz w:val="24"/>
        </w:rPr>
      </w:pPr>
      <w:r>
        <w:rPr>
          <w:rFonts w:hint="eastAsia" w:ascii="仿宋" w:hAnsi="仿宋" w:eastAsia="仿宋" w:cs="仿宋"/>
          <w:kern w:val="0"/>
          <w:sz w:val="24"/>
          <w:lang w:bidi="ar"/>
        </w:rPr>
        <w:t>2.乙方及/或代理销售机构按照《产品说明书》约定向甲方进行理财产品份额的利益分配并将对应资金划入甲方约定账户后，即视为乙方已向甲方完成利益分配和资金的清算分配。</w:t>
      </w:r>
      <w:r>
        <w:rPr>
          <w:rFonts w:hint="eastAsia" w:ascii="仿宋" w:hAnsi="仿宋" w:eastAsia="仿宋" w:cs="仿宋"/>
          <w:b/>
          <w:bCs/>
          <w:kern w:val="0"/>
          <w:sz w:val="24"/>
          <w:lang w:bidi="ar"/>
        </w:rPr>
        <w:t>因甲方约定账户冻结、挂失、换卡、销户、长期不动户等原因造成账户变更或异常，甲方应及时到乙方的代销机构处办理变更手续，并经乙方和代理销售机构确认后生效。如因甲方未及时办理变更手续而造成乙方及/或代理销售机构无法向甲方进行正常收益分配和资金清算分配，由此导致甲方损失的由甲方自行承担，乙方不承担责任。</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3.乙方应按照《产品说明书》的约定披露产品相关信息。</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4.如果发生本理财产品所投资资产项下义务人违约等情形，</w:t>
      </w:r>
      <w:r>
        <w:rPr>
          <w:rFonts w:hint="eastAsia" w:ascii="仿宋" w:hAnsi="仿宋" w:eastAsia="仿宋" w:cs="仿宋"/>
          <w:b/>
          <w:bCs/>
          <w:kern w:val="0"/>
          <w:sz w:val="24"/>
          <w:lang w:bidi="ar"/>
        </w:rPr>
        <w:t>甲方同意，乙方有权向上述义务人进行追索，追索期间所发生的费用（包括但不限于诉讼费、仲裁费、律师费等全部费用）由理财产品承担，将从追索回来的款项中扣除。若管理人以其固有财产先行垫付的，乙方有权从追索回来的款项中优先扣除。</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5.乙方作为理财产品管理人，全权负责理财产品资金的运用和理财产品资产的管理，</w:t>
      </w:r>
      <w:r>
        <w:rPr>
          <w:rFonts w:hint="eastAsia" w:ascii="仿宋" w:hAnsi="仿宋" w:eastAsia="仿宋" w:cs="仿宋"/>
          <w:b/>
          <w:bCs/>
          <w:kern w:val="0"/>
          <w:sz w:val="24"/>
          <w:lang w:bidi="ar"/>
        </w:rPr>
        <w:t>有权参加与理财产品所投资资产相关的所有会议，并代表理财产品及其全部投资者对相关事项进行表决；乙方有权代表甲方利益，按照法律法规和监管部门相关规定以及与投资相关的法律文件的约定对理财产品投资产生的风险资产进行多种方式的处置，包括但不限于转让、重组、债转股、资产证券化、委外催收、抵债资产收取与处置、破产重整等。甲方对此充分理解并同意该等授权安排。</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6.乙方有权按照法律法规和监管要求，</w:t>
      </w:r>
      <w:r>
        <w:rPr>
          <w:rFonts w:hint="eastAsia" w:ascii="仿宋" w:hAnsi="仿宋" w:eastAsia="仿宋" w:cs="仿宋"/>
          <w:b/>
          <w:bCs/>
          <w:kern w:val="0"/>
          <w:sz w:val="24"/>
          <w:lang w:bidi="ar"/>
        </w:rPr>
        <w:t>报送甲方身份信息及其持有理财产品信息等；在乙方办理本协议项下相关事项所必需的情形下，甲方同意并授权乙方向乙方集团成员、服务机构及其他乙方认为必要的业务合作机构提供乙方获取的甲方信息，范围包括但不限于甲方的身份信息、账户信息等。</w:t>
      </w:r>
      <w:r>
        <w:rPr>
          <w:rFonts w:hint="eastAsia" w:ascii="仿宋" w:hAnsi="仿宋" w:eastAsia="仿宋" w:cs="仿宋"/>
          <w:kern w:val="0"/>
          <w:sz w:val="24"/>
          <w:lang w:bidi="ar"/>
        </w:rPr>
        <w:t>上述第三方将为处理本协议项下事务之目的接触并按照乙方的业务需要以及“最少必须”原则使用甲方信息。乙方承诺将向有关第三方明确其保护甲方信息的职责并要求第三方承担相应保密义务。</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7.除按《产品说明书》约定乙方或甲方享有的提前终止权外，甲方有违约行为时，乙方有权提前终止本协议。</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8.乙方或代理销售机构发现或有合理理由怀疑甲方或其资金存在洗钱、恐怖融资、逃税等嫌疑的，乙方有权提前终止本协议，造成甲方损失的，乙方不承担责任。</w:t>
      </w:r>
    </w:p>
    <w:p>
      <w:pPr>
        <w:spacing w:line="360" w:lineRule="auto"/>
        <w:ind w:firstLine="482"/>
        <w:rPr>
          <w:rFonts w:ascii="仿宋" w:hAnsi="仿宋" w:eastAsia="仿宋" w:cs="仿宋"/>
          <w:kern w:val="0"/>
          <w:sz w:val="24"/>
          <w:lang w:bidi="ar"/>
        </w:rPr>
      </w:pPr>
      <w:bookmarkStart w:id="29" w:name="_Hlk100085418"/>
      <w:r>
        <w:rPr>
          <w:rFonts w:hint="eastAsia" w:ascii="仿宋" w:hAnsi="仿宋" w:eastAsia="仿宋" w:cs="仿宋"/>
          <w:kern w:val="0"/>
          <w:sz w:val="24"/>
          <w:lang w:bidi="ar"/>
        </w:rPr>
        <w:t>9</w:t>
      </w:r>
      <w:r>
        <w:rPr>
          <w:rFonts w:ascii="仿宋" w:hAnsi="仿宋" w:eastAsia="仿宋" w:cs="仿宋"/>
          <w:kern w:val="0"/>
          <w:sz w:val="24"/>
          <w:lang w:bidi="ar"/>
        </w:rPr>
        <w:t>.</w:t>
      </w:r>
      <w:r>
        <w:rPr>
          <w:rFonts w:hint="eastAsia" w:ascii="仿宋" w:hAnsi="仿宋" w:eastAsia="仿宋" w:cs="仿宋"/>
          <w:kern w:val="0"/>
          <w:sz w:val="24"/>
          <w:lang w:bidi="ar"/>
        </w:rPr>
        <w:t>乙方应以诚实信用、勤勉尽责为原则，根据《产品说明书》所载要求管理和运用理财产品资产。</w:t>
      </w:r>
    </w:p>
    <w:bookmarkEnd w:id="29"/>
    <w:p>
      <w:pPr>
        <w:widowControl/>
        <w:spacing w:line="360" w:lineRule="auto"/>
        <w:ind w:firstLine="480"/>
        <w:rPr>
          <w:rFonts w:ascii="仿宋" w:hAnsi="仿宋" w:eastAsia="仿宋" w:cs="仿宋"/>
          <w:kern w:val="0"/>
          <w:sz w:val="24"/>
          <w:lang w:bidi="ar"/>
        </w:rPr>
      </w:pPr>
      <w:bookmarkStart w:id="30" w:name="_Hlk100071245"/>
      <w:r>
        <w:rPr>
          <w:rFonts w:ascii="仿宋" w:hAnsi="仿宋" w:eastAsia="仿宋" w:cs="仿宋"/>
          <w:kern w:val="0"/>
          <w:sz w:val="24"/>
          <w:lang w:bidi="ar"/>
        </w:rPr>
        <w:t>10.</w:t>
      </w:r>
      <w:r>
        <w:rPr>
          <w:rFonts w:hint="eastAsia" w:ascii="仿宋" w:hAnsi="仿宋" w:eastAsia="仿宋" w:cs="仿宋"/>
          <w:kern w:val="0"/>
          <w:sz w:val="24"/>
          <w:lang w:bidi="ar"/>
        </w:rPr>
        <w:t>乙方有义务根据《产品说明书》的相关规定进行理财产品的信息披露。</w:t>
      </w:r>
    </w:p>
    <w:p>
      <w:pPr>
        <w:widowControl/>
        <w:spacing w:line="360" w:lineRule="auto"/>
        <w:ind w:firstLine="480"/>
        <w:rPr>
          <w:rFonts w:ascii="仿宋" w:hAnsi="仿宋" w:eastAsia="仿宋" w:cs="仿宋"/>
          <w:sz w:val="24"/>
        </w:rPr>
      </w:pPr>
      <w:r>
        <w:rPr>
          <w:rFonts w:ascii="仿宋" w:hAnsi="仿宋" w:eastAsia="仿宋" w:cs="仿宋"/>
          <w:kern w:val="0"/>
          <w:sz w:val="24"/>
          <w:lang w:bidi="ar"/>
        </w:rPr>
        <w:t>11.</w:t>
      </w:r>
      <w:r>
        <w:rPr>
          <w:rFonts w:hint="eastAsia" w:ascii="仿宋" w:hAnsi="仿宋" w:eastAsia="仿宋" w:cs="仿宋"/>
          <w:kern w:val="0"/>
          <w:sz w:val="24"/>
          <w:lang w:bidi="ar"/>
        </w:rPr>
        <w:t>乙方有义务根据《产品说明书》的相关规定对甲方的重要信息进行保密。</w:t>
      </w:r>
    </w:p>
    <w:p>
      <w:pPr>
        <w:widowControl/>
        <w:spacing w:line="360" w:lineRule="auto"/>
        <w:ind w:firstLine="480"/>
        <w:rPr>
          <w:rFonts w:ascii="仿宋" w:hAnsi="仿宋" w:eastAsia="仿宋" w:cs="仿宋"/>
          <w:kern w:val="0"/>
          <w:sz w:val="24"/>
          <w:lang w:bidi="ar"/>
        </w:rPr>
      </w:pPr>
      <w:r>
        <w:rPr>
          <w:rFonts w:ascii="仿宋" w:hAnsi="仿宋" w:eastAsia="仿宋" w:cs="仿宋"/>
          <w:kern w:val="0"/>
          <w:sz w:val="24"/>
          <w:lang w:bidi="ar"/>
        </w:rPr>
        <w:t>12</w:t>
      </w:r>
      <w:r>
        <w:rPr>
          <w:rFonts w:hint="eastAsia" w:ascii="仿宋" w:hAnsi="仿宋" w:eastAsia="仿宋" w:cs="仿宋"/>
          <w:kern w:val="0"/>
          <w:sz w:val="24"/>
          <w:lang w:bidi="ar"/>
        </w:rPr>
        <w:t>.根据《产品说明书》的相关约定，乙方所应享有的其他权利和应履行的其他义务。</w:t>
      </w:r>
    </w:p>
    <w:bookmarkEnd w:id="30"/>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第五条 理财产品的投资管理</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1.甲方已清楚知悉并同意本协议项下理财产品的投资管理由乙方负责实施。</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2.乙方按照法律法规和产品说明书的约定诚实信用、谨慎勤勉地实施投资管理行为，以专业技能管理理财产品资产，依法维护理财产品全体投资者的利益。</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3.乙方不对任何理财产品的本金或收益做出任何承诺或保证。</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4.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widowControl/>
        <w:spacing w:line="360" w:lineRule="auto"/>
        <w:ind w:firstLine="480"/>
        <w:rPr>
          <w:rFonts w:ascii="仿宋" w:hAnsi="仿宋" w:eastAsia="仿宋" w:cs="仿宋"/>
          <w:kern w:val="0"/>
          <w:sz w:val="24"/>
          <w:lang w:bidi="ar"/>
        </w:rPr>
      </w:pPr>
      <w:r>
        <w:rPr>
          <w:rFonts w:hint="eastAsia" w:ascii="仿宋" w:hAnsi="仿宋" w:eastAsia="仿宋" w:cs="仿宋"/>
          <w:kern w:val="0"/>
          <w:sz w:val="24"/>
          <w:lang w:bidi="ar"/>
        </w:rPr>
        <w:t>5.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承担，若管理人以其固有财产先行垫付的，乙方有权从追索回来的款项中优先扣除。</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6.甲方同意乙方在产品说明书约定的投资计划（包括但不限于投资范围、投资资产种类、投资比例等内容）内，依据自身的投资决策流程和风险管理机制做出和实施相关投资管理决定。</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7.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widowControl/>
        <w:spacing w:line="360" w:lineRule="auto"/>
        <w:ind w:firstLine="480"/>
        <w:rPr>
          <w:rFonts w:ascii="仿宋" w:hAnsi="仿宋" w:eastAsia="仿宋" w:cs="仿宋"/>
          <w:sz w:val="24"/>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第六条 免责条款</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bidi="ar"/>
        </w:rPr>
        <w:t>1.</w:t>
      </w:r>
      <w:r>
        <w:rPr>
          <w:rFonts w:hint="eastAsia" w:ascii="仿宋" w:hAnsi="仿宋" w:eastAsia="仿宋" w:cs="仿宋"/>
          <w:b/>
          <w:bCs/>
          <w:kern w:val="0"/>
          <w:sz w:val="24"/>
          <w:lang w:val="zh-CN" w:bidi="ar"/>
        </w:rPr>
        <w:t xml:space="preserve"> 如因法律颁布或修订、政策变化、监管要求等任一原因，致使乙方提供或维持本合同项下服务不合法、不合规的，乙方有权调整服务内容或不再提供服务，要求甲方提前赎回投资并终止协议。由此导致的甲方损失，乙方不承担责任。</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bidi="ar"/>
        </w:rPr>
        <w:t xml:space="preserve">2. </w:t>
      </w:r>
      <w:r>
        <w:rPr>
          <w:rFonts w:hint="eastAsia" w:ascii="仿宋" w:hAnsi="仿宋" w:eastAsia="仿宋" w:cs="仿宋"/>
          <w:b/>
          <w:bCs/>
          <w:kern w:val="0"/>
          <w:sz w:val="24"/>
          <w:lang w:val="zh-CN" w:bidi="ar"/>
        </w:rPr>
        <w:t>乙方因不可抗力事件及不可归责于受托方的其他原因导致无法及时办理理财申购、赎回业务的，甲方免除乙方责任，但乙方应采取必要措施尽可能使业务恢复正常运行。协议所称不可抗力是指不能预见、不能避免、不能克服并对当事人造成重大影响的客观情况，包括但不限于自然灾害如洪水、地震、火灾和风暴等以及社会事件如战争、动乱、罢工、政府行为或法律规定及政策变化等。</w:t>
      </w:r>
    </w:p>
    <w:p>
      <w:pPr>
        <w:widowControl/>
        <w:spacing w:line="360" w:lineRule="auto"/>
        <w:ind w:firstLine="480"/>
        <w:rPr>
          <w:rFonts w:ascii="仿宋" w:hAnsi="仿宋" w:eastAsia="仿宋" w:cs="仿宋"/>
          <w:b/>
          <w:bCs/>
          <w:kern w:val="0"/>
          <w:sz w:val="24"/>
          <w:lang w:bidi="ar"/>
        </w:rPr>
      </w:pPr>
      <w:r>
        <w:rPr>
          <w:rFonts w:hint="eastAsia" w:ascii="仿宋" w:hAnsi="仿宋" w:eastAsia="仿宋" w:cs="仿宋"/>
          <w:b/>
          <w:bCs/>
          <w:kern w:val="0"/>
          <w:sz w:val="24"/>
          <w:lang w:val="zh-CN" w:bidi="ar"/>
        </w:rPr>
        <w:t>3. 因有权机关、银行、支付清算机构等依法对甲方理财份额及账户执行冻结或扣划等措施，账户被限制支付、状态异常等原因导致的交易失败及损失等，由甲方自行承担。</w:t>
      </w:r>
    </w:p>
    <w:p>
      <w:pPr>
        <w:widowControl/>
        <w:spacing w:line="360" w:lineRule="auto"/>
        <w:ind w:firstLine="480"/>
        <w:rPr>
          <w:rFonts w:ascii="仿宋" w:hAnsi="仿宋" w:eastAsia="仿宋" w:cs="仿宋"/>
          <w:b/>
          <w:bCs/>
          <w:kern w:val="0"/>
          <w:sz w:val="24"/>
          <w:lang w:val="zh-CN" w:bidi="ar"/>
        </w:rPr>
      </w:pPr>
      <w:r>
        <w:rPr>
          <w:rFonts w:hint="eastAsia" w:ascii="仿宋" w:hAnsi="仿宋" w:eastAsia="仿宋" w:cs="仿宋"/>
          <w:b/>
          <w:bCs/>
          <w:kern w:val="0"/>
          <w:sz w:val="24"/>
          <w:lang w:val="zh-CN" w:bidi="ar"/>
        </w:rPr>
        <w:t>发生前述情形时，乙方将在条件允许的情况下采取必要的、合理的补救措施，以尽力保护甲方利益，减少甲方损失，但乙方不保证甲方的损失因乙方的补救措施而必然减少，且乙方无义务必须采取前述补救措施。</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第七条 法律适用与争议处理</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 xml:space="preserve">1.本协议适用中华人民共和国大陆地区的法律。 </w:t>
      </w:r>
    </w:p>
    <w:p>
      <w:pPr>
        <w:widowControl/>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2.本协议项下及与之有关的一切争议，甲乙双方应首先友好协商解决。协商未达成一致的，任何一方可向乙方所在地法院提起诉讼。</w:t>
      </w:r>
    </w:p>
    <w:p>
      <w:pPr>
        <w:spacing w:line="360" w:lineRule="auto"/>
        <w:ind w:firstLine="482" w:firstLineChars="200"/>
        <w:rPr>
          <w:rFonts w:ascii="仿宋" w:hAnsi="仿宋" w:eastAsia="仿宋" w:cs="仿宋"/>
          <w:b/>
          <w:bCs/>
          <w:kern w:val="0"/>
          <w:sz w:val="24"/>
          <w:lang w:bidi="ar"/>
        </w:rPr>
      </w:pPr>
      <w:r>
        <w:rPr>
          <w:rFonts w:hint="eastAsia" w:ascii="仿宋" w:hAnsi="仿宋" w:eastAsia="仿宋" w:cs="仿宋"/>
          <w:b/>
          <w:bCs/>
          <w:kern w:val="0"/>
          <w:sz w:val="24"/>
          <w:lang w:bidi="ar"/>
        </w:rPr>
        <w:t>3.在协商或诉讼期间，对于本协议不涉及争议部分的条款，合同当事人仍须履行。</w:t>
      </w:r>
    </w:p>
    <w:p>
      <w:pPr>
        <w:spacing w:line="360" w:lineRule="auto"/>
        <w:ind w:firstLine="482" w:firstLineChars="200"/>
        <w:rPr>
          <w:rFonts w:ascii="仿宋" w:hAnsi="仿宋" w:eastAsia="仿宋" w:cs="仿宋"/>
          <w:b/>
          <w:bCs/>
          <w:sz w:val="24"/>
        </w:rPr>
      </w:pPr>
      <w:r>
        <w:rPr>
          <w:rFonts w:hint="eastAsia" w:ascii="仿宋" w:hAnsi="仿宋" w:eastAsia="仿宋" w:cs="仿宋"/>
          <w:b/>
          <w:bCs/>
          <w:sz w:val="24"/>
        </w:rPr>
        <w:t>4.甲方确认其通过代理销售机构向甲方提供的通讯地址、联络方式及电子邮箱适用于本协议项下的通知及一审、二审、再审及执行程序。上述通知方式发生变化，甲方应当及时通过代理销售机构修改相关预留信息，未修改前，甲方按照原通知方式进行送达的，视为有效送达。未免歧义，双方确认本条款不够成对信息披露相关约定的修改。</w:t>
      </w:r>
    </w:p>
    <w:p>
      <w:pPr>
        <w:widowControl/>
        <w:spacing w:line="360" w:lineRule="auto"/>
        <w:rPr>
          <w:rFonts w:ascii="仿宋" w:hAnsi="仿宋" w:eastAsia="仿宋" w:cs="仿宋"/>
          <w:b/>
          <w:bCs/>
          <w:kern w:val="0"/>
          <w:sz w:val="24"/>
          <w:lang w:bidi="ar"/>
        </w:rPr>
      </w:pPr>
    </w:p>
    <w:p>
      <w:pPr>
        <w:widowControl/>
        <w:spacing w:line="360" w:lineRule="auto"/>
        <w:rPr>
          <w:rFonts w:ascii="仿宋" w:hAnsi="仿宋" w:eastAsia="仿宋" w:cs="仿宋"/>
          <w:b/>
          <w:bCs/>
          <w:sz w:val="24"/>
        </w:rPr>
      </w:pPr>
      <w:r>
        <w:rPr>
          <w:rFonts w:hint="eastAsia" w:ascii="仿宋" w:hAnsi="仿宋" w:eastAsia="仿宋" w:cs="仿宋"/>
          <w:b/>
          <w:bCs/>
          <w:kern w:val="0"/>
          <w:sz w:val="24"/>
          <w:lang w:bidi="ar"/>
        </w:rPr>
        <w:t>第八条 协议的生效和终止</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1.甲方通过乙方代理销售机构营业网点柜面渠道购买理财产品的，本协议自甲方签署所购买产品对应的理财业务专用凭证、认缴认购或申购资金并经乙方代理销售机构业务系统受理后生效。甲方在乙方代理销售机构网上银行、手机银行、ITM等电子渠道购买理财产品的，本协议自甲方点击同意确认、完成验证手续并购买后生效。</w:t>
      </w:r>
      <w:r>
        <w:rPr>
          <w:rFonts w:hint="eastAsia" w:ascii="仿宋" w:hAnsi="仿宋" w:eastAsia="仿宋" w:cs="仿宋"/>
          <w:b/>
          <w:kern w:val="0"/>
          <w:sz w:val="24"/>
          <w:lang w:bidi="ar"/>
        </w:rPr>
        <w:t>甲方认可线上点击同意具有与书面签署同等的法律效力。</w:t>
      </w:r>
    </w:p>
    <w:p>
      <w:pPr>
        <w:widowControl/>
        <w:spacing w:line="360" w:lineRule="auto"/>
        <w:ind w:firstLine="480"/>
        <w:rPr>
          <w:rFonts w:ascii="仿宋" w:hAnsi="仿宋" w:eastAsia="仿宋" w:cs="仿宋"/>
          <w:sz w:val="24"/>
        </w:rPr>
      </w:pPr>
      <w:r>
        <w:rPr>
          <w:rFonts w:hint="eastAsia" w:ascii="仿宋" w:hAnsi="仿宋" w:eastAsia="仿宋" w:cs="仿宋"/>
          <w:kern w:val="0"/>
          <w:sz w:val="24"/>
          <w:lang w:bidi="ar"/>
        </w:rPr>
        <w:t>2.甲方认/申购理财产品失败、乙方或甲方提前终止以及理财产品到期并结清后，本协议自动终止。</w:t>
      </w:r>
    </w:p>
    <w:p>
      <w:pPr>
        <w:widowControl/>
        <w:spacing w:line="360" w:lineRule="auto"/>
        <w:ind w:firstLine="480"/>
        <w:rPr>
          <w:rFonts w:ascii="仿宋" w:hAnsi="仿宋" w:eastAsia="仿宋" w:cs="仿宋"/>
          <w:b/>
          <w:bCs/>
          <w:sz w:val="24"/>
        </w:rPr>
      </w:pPr>
      <w:r>
        <w:rPr>
          <w:rFonts w:hint="eastAsia" w:ascii="仿宋" w:hAnsi="仿宋" w:eastAsia="仿宋" w:cs="仿宋"/>
          <w:kern w:val="0"/>
          <w:sz w:val="24"/>
          <w:lang w:bidi="ar"/>
        </w:rPr>
        <w:t>3.除按《产品说明书》约定甲方或乙方享有的提前终止权外，</w:t>
      </w:r>
      <w:r>
        <w:rPr>
          <w:rFonts w:hint="eastAsia" w:ascii="仿宋" w:hAnsi="仿宋" w:eastAsia="仿宋" w:cs="仿宋"/>
          <w:b/>
          <w:bCs/>
          <w:kern w:val="0"/>
          <w:sz w:val="24"/>
          <w:lang w:bidi="ar"/>
        </w:rPr>
        <w:t>甲方有违约行为或交易资金被国家有权机关采取保全措施时，乙方有权提前终止本协议且无需承担任何责任。</w:t>
      </w:r>
    </w:p>
    <w:p>
      <w:pPr>
        <w:widowControl/>
        <w:spacing w:line="360" w:lineRule="auto"/>
        <w:ind w:firstLine="480"/>
        <w:rPr>
          <w:rFonts w:ascii="仿宋" w:hAnsi="仿宋" w:eastAsia="仿宋" w:cs="仿宋"/>
          <w:sz w:val="24"/>
        </w:rPr>
      </w:pPr>
      <w:r>
        <w:rPr>
          <w:rFonts w:hint="eastAsia" w:ascii="仿宋" w:hAnsi="仿宋" w:eastAsia="仿宋" w:cs="仿宋"/>
          <w:b/>
          <w:bCs/>
          <w:kern w:val="0"/>
          <w:sz w:val="24"/>
          <w:lang w:bidi="ar"/>
        </w:rPr>
        <w:t>4.乙方有权不定期对本协议进行更新，并在乙方代销机构官方渠道</w:t>
      </w:r>
      <w:r>
        <w:rPr>
          <w:rFonts w:hint="eastAsia" w:ascii="仿宋" w:hAnsi="仿宋" w:eastAsia="仿宋" w:cs="仿宋"/>
          <w:b/>
          <w:bCs/>
          <w:sz w:val="24"/>
        </w:rPr>
        <w:t>进行披露。乙方更新本协议并进行披露后，如甲方新购买，或在乙方更新本协议并进行披露后的</w:t>
      </w:r>
      <w:r>
        <w:rPr>
          <w:rFonts w:hint="eastAsia" w:ascii="仿宋" w:hAnsi="仿宋" w:eastAsia="仿宋" w:cs="仿宋"/>
          <w:b/>
          <w:bCs/>
          <w:kern w:val="0"/>
          <w:sz w:val="24"/>
          <w:lang w:bidi="ar"/>
        </w:rPr>
        <w:t>最近一个可发起赎回的产品确认日继续持有乙方理财产品，则视为甲方完全接受新协议的所有内容。</w:t>
      </w:r>
      <w:r>
        <w:rPr>
          <w:rFonts w:hint="eastAsia" w:ascii="仿宋" w:hAnsi="仿宋" w:eastAsia="仿宋" w:cs="仿宋"/>
          <w:kern w:val="0"/>
          <w:sz w:val="24"/>
          <w:lang w:bidi="ar"/>
        </w:rPr>
        <w:t>如甲方对新协议内容存在异议，应在相应理财产品的最近一个可发起赎回的产品确认日全额赎回所持有的该理财产品的全部份额，且不新购买相应的理财产品，此种情况下新协议对甲方不发生效力。</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特别提示：如甲方对乙方产品或服务有任何疑问、意见或建议，可通过拨打乙方代理销售机构客户服务与投诉热线或向乙方代理销售机构的营业网点咨询与反馈。</w:t>
      </w:r>
    </w:p>
    <w:p>
      <w:pPr>
        <w:widowControl/>
        <w:spacing w:line="360" w:lineRule="auto"/>
        <w:ind w:firstLine="480"/>
        <w:rPr>
          <w:rFonts w:ascii="仿宋" w:hAnsi="仿宋" w:eastAsia="仿宋" w:cs="仿宋"/>
          <w:b/>
          <w:bCs/>
          <w:sz w:val="24"/>
        </w:rPr>
      </w:pPr>
      <w:r>
        <w:rPr>
          <w:rFonts w:hint="eastAsia" w:ascii="仿宋" w:hAnsi="仿宋" w:eastAsia="仿宋" w:cs="仿宋"/>
          <w:b/>
          <w:bCs/>
          <w:kern w:val="0"/>
          <w:sz w:val="24"/>
          <w:lang w:bidi="ar"/>
        </w:rPr>
        <w:t>甲方承诺：我方已仔细阅读上述所有条款，并已特别注意字体加粗的内容。上银理财有限责任公司已应我方要求对相关条款予以明确说明，我方对所有条款的含义及相应的法律后果已全部通晓并充分理解。我方以合法自有资金自愿购买本理财产品，充分理解产品要素，完全知晓产品风险，愿意并能够承担风险。我方做出的投资决策出于我方自己的判定，乙方不承担责任。</w:t>
      </w:r>
    </w:p>
    <w:p>
      <w:pPr>
        <w:widowControl/>
        <w:spacing w:line="360" w:lineRule="auto"/>
        <w:ind w:firstLine="0"/>
        <w:rPr>
          <w:rFonts w:ascii="仿宋" w:hAnsi="仿宋" w:eastAsia="仿宋" w:cs="仿宋"/>
          <w:sz w:val="24"/>
        </w:rPr>
      </w:pPr>
    </w:p>
    <w:p>
      <w:pPr>
        <w:widowControl/>
        <w:spacing w:line="360" w:lineRule="auto"/>
        <w:rPr>
          <w:rFonts w:ascii="仿宋" w:hAnsi="仿宋" w:eastAsia="仿宋" w:cs="仿宋"/>
          <w:kern w:val="0"/>
          <w:sz w:val="24"/>
          <w:lang w:bidi="ar"/>
        </w:rPr>
      </w:pPr>
      <w:r>
        <w:rPr>
          <w:rFonts w:hint="eastAsia" w:ascii="仿宋" w:hAnsi="仿宋" w:eastAsia="仿宋" w:cs="仿宋"/>
          <w:kern w:val="0"/>
          <w:sz w:val="24"/>
          <w:lang w:bidi="ar"/>
        </w:rPr>
        <w:t>甲方：</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（签字/签章/线上点击确认）</w:t>
      </w:r>
      <w:r>
        <w:rPr>
          <w:rFonts w:hint="eastAsia" w:ascii="仿宋" w:hAnsi="仿宋" w:eastAsia="仿宋" w:cs="仿宋"/>
          <w:kern w:val="0"/>
          <w:sz w:val="24"/>
          <w:lang w:val="en-US" w:eastAsia="zh-CN" w:bidi="ar"/>
        </w:rPr>
        <w:t xml:space="preserve">    </w:t>
      </w:r>
      <w:r>
        <w:rPr>
          <w:rFonts w:hint="eastAsia" w:ascii="仿宋" w:hAnsi="仿宋" w:eastAsia="仿宋" w:cs="仿宋"/>
          <w:kern w:val="0"/>
          <w:sz w:val="24"/>
          <w:lang w:bidi="ar"/>
        </w:rPr>
        <w:t> 乙方：上银理财有限责任公司</w:t>
      </w:r>
    </w:p>
    <w:p>
      <w:pPr>
        <w:widowControl/>
        <w:spacing w:line="360" w:lineRule="auto"/>
        <w:jc w:val="left"/>
        <w:rPr>
          <w:rFonts w:ascii="楷体_GB2312" w:hAnsi="宋体" w:eastAsia="楷体_GB2312"/>
          <w:b/>
          <w:bCs/>
          <w:szCs w:val="21"/>
        </w:rPr>
      </w:pPr>
      <w:r>
        <w:rPr>
          <w:rFonts w:hint="eastAsia" w:ascii="仿宋" w:hAnsi="仿宋" w:eastAsia="仿宋" w:cs="仿宋"/>
          <w:kern w:val="0"/>
          <w:sz w:val="24"/>
          <w:lang w:bidi="ar"/>
        </w:rPr>
        <w:t>签署日期：</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月</w:t>
      </w:r>
      <w:r>
        <w:rPr>
          <w:rFonts w:hint="eastAsia" w:ascii="仿宋" w:hAnsi="仿宋" w:eastAsia="仿宋" w:cs="仿宋"/>
          <w:kern w:val="0"/>
          <w:sz w:val="24"/>
          <w:u w:val="single"/>
          <w:lang w:bidi="ar"/>
        </w:rPr>
        <w:t> </w:t>
      </w:r>
      <w:r>
        <w:rPr>
          <w:rFonts w:hint="eastAsia" w:ascii="仿宋" w:hAnsi="仿宋" w:eastAsia="仿宋" w:cs="仿宋"/>
          <w:kern w:val="0"/>
          <w:sz w:val="24"/>
          <w:u w:val="single"/>
          <w:lang w:val="en-US" w:eastAsia="zh-CN"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日</w:t>
      </w:r>
    </w:p>
    <w:p>
      <w:r>
        <w:br w:type="page"/>
      </w:r>
    </w:p>
    <w:p>
      <w:pPr>
        <w:spacing w:line="460" w:lineRule="exact"/>
        <w:outlineLvl w:val="1"/>
        <w:rPr>
          <w:rFonts w:ascii="宋体" w:hAnsi="宋体"/>
          <w:sz w:val="24"/>
          <w:highlight w:val="none"/>
        </w:rPr>
      </w:pPr>
      <w:r>
        <w:rPr>
          <w:rFonts w:hint="eastAsia" w:ascii="宋体" w:hAnsi="宋体"/>
          <w:sz w:val="24"/>
          <w:highlight w:val="none"/>
        </w:rPr>
        <w:t>附件</w:t>
      </w:r>
      <w:r>
        <w:rPr>
          <w:rFonts w:ascii="宋体" w:hAnsi="宋体"/>
          <w:sz w:val="24"/>
          <w:highlight w:val="none"/>
        </w:rPr>
        <w:t>：</w:t>
      </w:r>
    </w:p>
    <w:p>
      <w:pPr>
        <w:keepNext w:val="0"/>
        <w:keepLines w:val="0"/>
        <w:pageBreakBefore w:val="0"/>
        <w:widowControl/>
        <w:kinsoku/>
        <w:wordWrap/>
        <w:overflowPunct/>
        <w:topLinePunct w:val="0"/>
        <w:autoSpaceDE/>
        <w:autoSpaceDN/>
        <w:bidi w:val="0"/>
        <w:adjustRightInd/>
        <w:snapToGrid/>
        <w:spacing w:line="460" w:lineRule="exact"/>
        <w:ind w:firstLine="0" w:firstLineChars="0"/>
        <w:jc w:val="center"/>
        <w:textAlignment w:val="auto"/>
        <w:outlineLvl w:val="0"/>
        <w:rPr>
          <w:rFonts w:ascii="仿宋_GB2312" w:eastAsia="仿宋_GB2312"/>
          <w:b/>
          <w:color w:val="000000"/>
          <w:sz w:val="28"/>
          <w:szCs w:val="28"/>
          <w:highlight w:val="none"/>
        </w:rPr>
      </w:pPr>
      <w:r>
        <w:rPr>
          <w:rFonts w:hint="eastAsia" w:ascii="黑体" w:eastAsia="黑体"/>
          <w:b/>
          <w:sz w:val="32"/>
          <w:szCs w:val="32"/>
          <w:highlight w:val="none"/>
        </w:rPr>
        <w:t>投 资 者 权 益 须 知</w:t>
      </w:r>
    </w:p>
    <w:p>
      <w:pPr>
        <w:spacing w:line="460" w:lineRule="exact"/>
        <w:ind w:firstLine="562" w:firstLineChars="200"/>
        <w:rPr>
          <w:rFonts w:ascii="仿宋_GB2312" w:eastAsia="仿宋_GB2312"/>
          <w:b/>
          <w:color w:val="000000"/>
          <w:sz w:val="28"/>
          <w:szCs w:val="28"/>
          <w:highlight w:val="none"/>
        </w:rPr>
      </w:pPr>
    </w:p>
    <w:p>
      <w:pPr>
        <w:spacing w:line="460" w:lineRule="exact"/>
        <w:ind w:firstLine="562" w:firstLineChars="200"/>
        <w:outlineLvl w:val="0"/>
        <w:rPr>
          <w:rFonts w:ascii="仿宋_GB2312" w:eastAsia="仿宋_GB2312"/>
          <w:b/>
          <w:color w:val="000000"/>
          <w:sz w:val="28"/>
          <w:szCs w:val="28"/>
          <w:highlight w:val="none"/>
        </w:rPr>
      </w:pPr>
      <w:r>
        <w:rPr>
          <w:rFonts w:hint="eastAsia" w:ascii="仿宋_GB2312" w:eastAsia="仿宋_GB2312"/>
          <w:b/>
          <w:color w:val="000000"/>
          <w:sz w:val="28"/>
          <w:szCs w:val="28"/>
          <w:highlight w:val="none"/>
        </w:rPr>
        <w:t>一、</w:t>
      </w:r>
      <w:r>
        <w:rPr>
          <w:rFonts w:hint="eastAsia" w:ascii="仿宋_GB2312" w:eastAsia="仿宋_GB2312"/>
          <w:b/>
          <w:color w:val="000000"/>
          <w:sz w:val="28"/>
          <w:szCs w:val="28"/>
          <w:highlight w:val="none"/>
          <w:lang w:val="en-US" w:eastAsia="zh-CN"/>
        </w:rPr>
        <w:t>办理理财产品的</w:t>
      </w:r>
      <w:r>
        <w:rPr>
          <w:rFonts w:hint="eastAsia" w:ascii="仿宋_GB2312" w:eastAsia="仿宋_GB2312"/>
          <w:b/>
          <w:color w:val="000000"/>
          <w:sz w:val="28"/>
          <w:szCs w:val="28"/>
          <w:highlight w:val="none"/>
        </w:rPr>
        <w:t>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一）</w:t>
      </w:r>
      <w:r>
        <w:rPr>
          <w:rFonts w:hint="eastAsia" w:ascii="仿宋_GB2312" w:eastAsia="仿宋_GB2312"/>
          <w:color w:val="000000"/>
          <w:sz w:val="28"/>
          <w:szCs w:val="28"/>
          <w:highlight w:val="none"/>
        </w:rPr>
        <w:t>提供与有效身份证件户名一致的本人</w:t>
      </w:r>
      <w:r>
        <w:rPr>
          <w:rFonts w:hint="eastAsia" w:ascii="仿宋_GB2312" w:eastAsia="仿宋_GB2312"/>
          <w:color w:val="000000"/>
          <w:sz w:val="28"/>
          <w:szCs w:val="28"/>
          <w:highlight w:val="none"/>
          <w:lang w:val="en-US" w:eastAsia="zh-CN"/>
        </w:rPr>
        <w:t>银行储蓄</w:t>
      </w:r>
      <w:r>
        <w:rPr>
          <w:rFonts w:hint="eastAsia" w:ascii="仿宋_GB2312" w:eastAsia="仿宋_GB2312"/>
          <w:color w:val="000000"/>
          <w:sz w:val="28"/>
          <w:szCs w:val="28"/>
          <w:highlight w:val="none"/>
        </w:rPr>
        <w:t>卡，作为“授权指定账户”用于</w:t>
      </w:r>
      <w:r>
        <w:rPr>
          <w:rFonts w:hint="eastAsia" w:ascii="仿宋_GB2312" w:eastAsia="仿宋_GB2312"/>
          <w:color w:val="000000"/>
          <w:sz w:val="28"/>
          <w:szCs w:val="28"/>
          <w:highlight w:val="none"/>
          <w:lang w:val="en-US" w:eastAsia="zh-CN"/>
        </w:rPr>
        <w:t>本</w:t>
      </w:r>
      <w:r>
        <w:rPr>
          <w:rFonts w:hint="eastAsia" w:ascii="仿宋_GB2312" w:eastAsia="仿宋_GB2312"/>
          <w:color w:val="000000"/>
          <w:sz w:val="28"/>
          <w:szCs w:val="28"/>
          <w:highlight w:val="none"/>
        </w:rPr>
        <w:t>理财产品</w:t>
      </w:r>
      <w:r>
        <w:rPr>
          <w:rFonts w:hint="eastAsia" w:ascii="仿宋_GB2312" w:eastAsia="仿宋_GB2312"/>
          <w:color w:val="000000"/>
          <w:sz w:val="28"/>
          <w:szCs w:val="28"/>
          <w:highlight w:val="none"/>
          <w:lang w:val="en-US" w:eastAsia="zh-CN"/>
        </w:rPr>
        <w:t>的</w:t>
      </w:r>
      <w:r>
        <w:rPr>
          <w:rFonts w:hint="eastAsia" w:ascii="仿宋_GB2312" w:eastAsia="仿宋_GB2312"/>
          <w:color w:val="000000"/>
          <w:sz w:val="28"/>
          <w:szCs w:val="28"/>
          <w:highlight w:val="none"/>
        </w:rPr>
        <w:t>资金的</w:t>
      </w:r>
      <w:r>
        <w:rPr>
          <w:rFonts w:hint="eastAsia" w:ascii="仿宋_GB2312" w:eastAsia="仿宋_GB2312"/>
          <w:color w:val="000000"/>
          <w:sz w:val="28"/>
          <w:szCs w:val="28"/>
          <w:highlight w:val="none"/>
          <w:lang w:val="en-US" w:eastAsia="zh-CN"/>
        </w:rPr>
        <w:t>划转及兑付</w:t>
      </w:r>
      <w:r>
        <w:rPr>
          <w:rFonts w:hint="eastAsia" w:ascii="仿宋_GB2312" w:eastAsia="仿宋_GB2312"/>
          <w:color w:val="000000"/>
          <w:sz w:val="28"/>
          <w:szCs w:val="28"/>
          <w:highlight w:val="none"/>
        </w:rPr>
        <w:t>；</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二）接受并完成代销机构对您的风险承受能力评估，并根据风险评估结果选择合适的理财产品</w:t>
      </w:r>
      <w:r>
        <w:rPr>
          <w:rFonts w:hint="eastAsia" w:ascii="仿宋_GB2312" w:eastAsia="仿宋_GB2312"/>
          <w:color w:val="000000"/>
          <w:sz w:val="28"/>
          <w:szCs w:val="28"/>
          <w:highlight w:val="none"/>
        </w:rPr>
        <w:t>；</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三）仔细</w:t>
      </w:r>
      <w:r>
        <w:rPr>
          <w:rFonts w:hint="eastAsia" w:ascii="仿宋_GB2312" w:eastAsia="仿宋_GB2312"/>
          <w:color w:val="000000"/>
          <w:sz w:val="28"/>
          <w:szCs w:val="28"/>
          <w:highlight w:val="none"/>
        </w:rPr>
        <w:t>阅读并确认产品说明书、风险揭示书、投资者权益须知、</w:t>
      </w:r>
      <w:r>
        <w:rPr>
          <w:rFonts w:hint="eastAsia" w:ascii="仿宋_GB2312" w:eastAsia="仿宋_GB2312"/>
          <w:color w:val="000000"/>
          <w:sz w:val="28"/>
          <w:szCs w:val="28"/>
          <w:highlight w:val="none"/>
          <w:lang w:val="en-US" w:eastAsia="zh-CN"/>
        </w:rPr>
        <w:t>投资协议书、代理销售</w:t>
      </w:r>
      <w:r>
        <w:rPr>
          <w:rFonts w:hint="eastAsia" w:ascii="仿宋_GB2312" w:eastAsia="仿宋_GB2312"/>
          <w:color w:val="000000"/>
          <w:sz w:val="28"/>
          <w:szCs w:val="28"/>
          <w:highlight w:val="none"/>
        </w:rPr>
        <w:t>协议书</w:t>
      </w:r>
      <w:r>
        <w:rPr>
          <w:rFonts w:hint="eastAsia" w:ascii="仿宋_GB2312" w:eastAsia="仿宋_GB2312"/>
          <w:color w:val="000000"/>
          <w:sz w:val="28"/>
          <w:szCs w:val="28"/>
          <w:highlight w:val="none"/>
          <w:lang w:val="en-US" w:eastAsia="zh-CN"/>
        </w:rPr>
        <w:t>以及其他有关文件（如有），签署相关销售文件，并办理购买手续。</w:t>
      </w:r>
    </w:p>
    <w:p>
      <w:pPr>
        <w:spacing w:line="460" w:lineRule="exact"/>
        <w:ind w:firstLine="562" w:firstLineChars="200"/>
        <w:outlineLvl w:val="9"/>
        <w:rPr>
          <w:rFonts w:ascii="仿宋_GB2312" w:eastAsia="仿宋_GB2312"/>
          <w:b/>
          <w:color w:val="000000"/>
          <w:sz w:val="28"/>
          <w:szCs w:val="28"/>
          <w:highlight w:val="none"/>
        </w:rPr>
      </w:pPr>
      <w:r>
        <w:rPr>
          <w:rFonts w:hint="eastAsia" w:ascii="仿宋_GB2312" w:eastAsia="仿宋_GB2312"/>
          <w:b/>
          <w:color w:val="000000"/>
          <w:sz w:val="28"/>
          <w:szCs w:val="28"/>
          <w:highlight w:val="none"/>
          <w:lang w:val="en-US" w:eastAsia="zh-CN"/>
        </w:rPr>
        <w:t>二</w:t>
      </w:r>
      <w:r>
        <w:rPr>
          <w:rFonts w:hint="eastAsia" w:ascii="仿宋_GB2312" w:eastAsia="仿宋_GB2312"/>
          <w:b/>
          <w:color w:val="000000"/>
          <w:sz w:val="28"/>
          <w:szCs w:val="28"/>
          <w:highlight w:val="none"/>
        </w:rPr>
        <w:t>、风险承受能力评估流程、评级具体含义以及适合购买的理财产品</w:t>
      </w:r>
    </w:p>
    <w:p>
      <w:pPr>
        <w:spacing w:line="460" w:lineRule="exact"/>
        <w:ind w:firstLine="560" w:firstLineChars="200"/>
        <w:outlineLvl w:val="1"/>
        <w:rPr>
          <w:rFonts w:ascii="仿宋_GB2312" w:eastAsia="仿宋_GB2312"/>
          <w:color w:val="000000"/>
          <w:sz w:val="28"/>
          <w:szCs w:val="28"/>
          <w:highlight w:val="none"/>
        </w:rPr>
      </w:pPr>
      <w:r>
        <w:rPr>
          <w:rFonts w:hint="eastAsia" w:ascii="仿宋_GB2312" w:eastAsia="仿宋_GB2312"/>
          <w:color w:val="000000"/>
          <w:sz w:val="28"/>
          <w:szCs w:val="28"/>
          <w:highlight w:val="none"/>
        </w:rPr>
        <w:t>（一）风险承受能力评估流程</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1、您首次购买理财产品时风险评估流程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（1）填写</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个人客户风险评估问卷，得出投资风险评估结果（即客户类型）及适合度匹配结果。</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（2）对</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个人客户风险评估结果确认书进行确认。</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2、风险评估有效期内再次评估流程</w:t>
      </w:r>
    </w:p>
    <w:p>
      <w:pPr>
        <w:spacing w:line="460" w:lineRule="exact"/>
        <w:ind w:firstLine="560" w:firstLineChars="200"/>
        <w:rPr>
          <w:rFonts w:ascii="仿宋_GB2312" w:eastAsia="仿宋_GB2312"/>
          <w:color w:val="000000"/>
          <w:sz w:val="28"/>
          <w:szCs w:val="28"/>
          <w:highlight w:val="none"/>
        </w:rPr>
      </w:pPr>
      <w:r>
        <w:rPr>
          <w:rFonts w:hint="eastAsia" w:ascii="仿宋_GB2312" w:eastAsia="仿宋_GB2312"/>
          <w:color w:val="000000"/>
          <w:sz w:val="28"/>
          <w:szCs w:val="28"/>
          <w:highlight w:val="none"/>
        </w:rPr>
        <w:t>在风险评估有效期内（风险评估后一年以内），若您再次购买理财产品，如您的财务状况无变化无需重新进行风险评估，仅需在</w:t>
      </w:r>
      <w:r>
        <w:rPr>
          <w:rFonts w:hint="eastAsia" w:ascii="仿宋_GB2312" w:eastAsia="仿宋_GB2312"/>
          <w:color w:val="000000"/>
          <w:sz w:val="28"/>
          <w:szCs w:val="28"/>
          <w:highlight w:val="none"/>
          <w:lang w:val="en-US" w:eastAsia="zh-CN"/>
        </w:rPr>
        <w:t>代销机构线下营业场所/电子渠道</w:t>
      </w:r>
      <w:r>
        <w:rPr>
          <w:rFonts w:hint="eastAsia" w:ascii="仿宋_GB2312" w:eastAsia="仿宋_GB2312"/>
          <w:color w:val="000000"/>
          <w:sz w:val="28"/>
          <w:szCs w:val="28"/>
          <w:highlight w:val="none"/>
        </w:rPr>
        <w:t>对风险评估结果与产品适合度匹配进行确认即可；如您的财务状况发生变化需要重新进行风险评估，则需重新填写</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个人客户风险评估问卷，得出投资风险评估结果（即客户类型）及适合度匹配结果，并对</w:t>
      </w: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个人客户风险评估结果确认书进行确认。</w:t>
      </w:r>
    </w:p>
    <w:p>
      <w:pPr>
        <w:spacing w:line="460" w:lineRule="exact"/>
        <w:ind w:firstLine="560" w:firstLineChars="200"/>
        <w:outlineLvl w:val="2"/>
        <w:rPr>
          <w:rFonts w:ascii="仿宋_GB2312" w:eastAsia="仿宋_GB2312"/>
          <w:color w:val="000000"/>
          <w:sz w:val="28"/>
          <w:szCs w:val="28"/>
          <w:highlight w:val="none"/>
        </w:rPr>
      </w:pPr>
      <w:r>
        <w:rPr>
          <w:rFonts w:hint="eastAsia" w:ascii="仿宋_GB2312" w:eastAsia="仿宋_GB2312"/>
          <w:color w:val="000000"/>
          <w:sz w:val="28"/>
          <w:szCs w:val="28"/>
          <w:highlight w:val="none"/>
        </w:rPr>
        <w:t>3、风险评估有效期过后再次评估流程</w:t>
      </w:r>
    </w:p>
    <w:p>
      <w:pPr>
        <w:spacing w:line="460" w:lineRule="exact"/>
        <w:ind w:firstLine="562" w:firstLineChars="200"/>
        <w:rPr>
          <w:rFonts w:ascii="仿宋_GB2312" w:eastAsia="仿宋_GB2312"/>
          <w:b/>
          <w:bCs/>
          <w:color w:val="000000"/>
          <w:sz w:val="28"/>
          <w:szCs w:val="28"/>
          <w:highlight w:val="none"/>
        </w:rPr>
      </w:pPr>
      <w:r>
        <w:rPr>
          <w:rFonts w:hint="eastAsia" w:ascii="仿宋_GB2312" w:eastAsia="仿宋_GB2312"/>
          <w:b/>
          <w:bCs/>
          <w:color w:val="000000"/>
          <w:sz w:val="28"/>
          <w:szCs w:val="28"/>
          <w:highlight w:val="none"/>
        </w:rPr>
        <w:t>在风险评估有效期过后（风险评估一年以后），若您再次购买理财产品，需填写</w:t>
      </w:r>
      <w:r>
        <w:rPr>
          <w:rFonts w:hint="eastAsia" w:ascii="仿宋_GB2312" w:eastAsia="仿宋_GB2312"/>
          <w:b/>
          <w:bCs/>
          <w:color w:val="000000"/>
          <w:sz w:val="28"/>
          <w:szCs w:val="28"/>
          <w:highlight w:val="none"/>
          <w:lang w:val="en-US" w:eastAsia="zh-CN"/>
        </w:rPr>
        <w:t>代销机构</w:t>
      </w:r>
      <w:r>
        <w:rPr>
          <w:rFonts w:hint="eastAsia" w:ascii="仿宋_GB2312" w:eastAsia="仿宋_GB2312"/>
          <w:b/>
          <w:bCs/>
          <w:color w:val="000000"/>
          <w:sz w:val="28"/>
          <w:szCs w:val="28"/>
          <w:highlight w:val="none"/>
        </w:rPr>
        <w:t>个人客户风险评估问卷，得出投资风险评估结果（即客户类型）及适合度匹配结果并对</w:t>
      </w:r>
      <w:r>
        <w:rPr>
          <w:rFonts w:hint="eastAsia" w:ascii="仿宋_GB2312" w:eastAsia="仿宋_GB2312"/>
          <w:b/>
          <w:bCs/>
          <w:color w:val="000000"/>
          <w:sz w:val="28"/>
          <w:szCs w:val="28"/>
          <w:highlight w:val="none"/>
          <w:lang w:val="en-US" w:eastAsia="zh-CN"/>
        </w:rPr>
        <w:t>代销机构</w:t>
      </w:r>
      <w:r>
        <w:rPr>
          <w:rFonts w:hint="eastAsia" w:ascii="仿宋_GB2312" w:eastAsia="仿宋_GB2312"/>
          <w:b/>
          <w:bCs/>
          <w:color w:val="000000"/>
          <w:sz w:val="28"/>
          <w:szCs w:val="28"/>
          <w:highlight w:val="none"/>
        </w:rPr>
        <w:t>个人客户风险评估结果确认书进行确认。</w:t>
      </w:r>
    </w:p>
    <w:p>
      <w:pPr>
        <w:spacing w:line="460" w:lineRule="exact"/>
        <w:ind w:firstLine="560" w:firstLineChars="200"/>
        <w:outlineLvl w:val="1"/>
        <w:rPr>
          <w:rFonts w:ascii="仿宋_GB2312" w:eastAsia="仿宋_GB2312"/>
          <w:color w:val="000000"/>
          <w:sz w:val="28"/>
          <w:szCs w:val="28"/>
          <w:highlight w:val="none"/>
        </w:rPr>
      </w:pPr>
      <w:r>
        <w:rPr>
          <w:rFonts w:hint="eastAsia" w:ascii="仿宋_GB2312" w:eastAsia="仿宋_GB2312"/>
          <w:color w:val="000000"/>
          <w:sz w:val="28"/>
          <w:szCs w:val="28"/>
          <w:highlight w:val="none"/>
        </w:rPr>
        <w:t>（二）评级具体含义以及适合购买的理财产品</w:t>
      </w:r>
    </w:p>
    <w:p>
      <w:pPr>
        <w:spacing w:line="460" w:lineRule="exact"/>
        <w:ind w:firstLine="560" w:firstLineChars="200"/>
        <w:rPr>
          <w:rFonts w:hint="eastAsia" w:ascii="仿宋_GB2312" w:eastAsia="仿宋_GB2312"/>
          <w:sz w:val="28"/>
          <w:szCs w:val="28"/>
          <w:highlight w:val="none"/>
        </w:rPr>
      </w:pPr>
      <w:r>
        <w:rPr>
          <w:rFonts w:hint="eastAsia" w:ascii="仿宋_GB2312" w:eastAsia="仿宋_GB2312"/>
          <w:color w:val="000000"/>
          <w:sz w:val="28"/>
          <w:szCs w:val="28"/>
          <w:highlight w:val="none"/>
          <w:lang w:val="en-US" w:eastAsia="zh-CN"/>
        </w:rPr>
        <w:t>代销机构</w:t>
      </w:r>
      <w:r>
        <w:rPr>
          <w:rFonts w:hint="eastAsia" w:ascii="仿宋_GB2312" w:eastAsia="仿宋_GB2312"/>
          <w:color w:val="000000"/>
          <w:sz w:val="28"/>
          <w:szCs w:val="28"/>
          <w:highlight w:val="none"/>
        </w:rPr>
        <w:t>对客户类型及可以购买的产品类型分为以下</w:t>
      </w:r>
      <w:r>
        <w:rPr>
          <w:rFonts w:hint="eastAsia" w:ascii="仿宋_GB2312" w:eastAsia="仿宋_GB2312"/>
          <w:color w:val="000000"/>
          <w:sz w:val="28"/>
          <w:szCs w:val="28"/>
          <w:highlight w:val="none"/>
          <w:lang w:val="en-US" w:eastAsia="zh-CN"/>
        </w:rPr>
        <w:t>五</w:t>
      </w:r>
      <w:r>
        <w:rPr>
          <w:rFonts w:hint="eastAsia" w:ascii="仿宋_GB2312" w:eastAsia="仿宋_GB2312"/>
          <w:color w:val="000000"/>
          <w:sz w:val="28"/>
          <w:szCs w:val="28"/>
          <w:highlight w:val="none"/>
        </w:rPr>
        <w:t>类</w:t>
      </w:r>
      <w:r>
        <w:rPr>
          <w:rFonts w:hint="eastAsia" w:ascii="仿宋_GB2312" w:eastAsia="仿宋_GB2312"/>
          <w:sz w:val="28"/>
          <w:szCs w:val="28"/>
          <w:highlight w:val="none"/>
        </w:rPr>
        <w:t>：</w:t>
      </w:r>
    </w:p>
    <w:p>
      <w:pPr>
        <w:spacing w:line="460" w:lineRule="exact"/>
        <w:ind w:firstLine="560" w:firstLineChars="200"/>
        <w:rPr>
          <w:rFonts w:hint="eastAsia" w:ascii="仿宋_GB2312" w:eastAsia="仿宋_GB2312"/>
          <w:sz w:val="28"/>
          <w:szCs w:val="28"/>
          <w:highlight w:val="none"/>
        </w:rPr>
      </w:pPr>
    </w:p>
    <w:tbl>
      <w:tblPr>
        <w:tblStyle w:val="10"/>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1492"/>
        <w:gridCol w:w="1624"/>
        <w:gridCol w:w="1620"/>
        <w:gridCol w:w="1620"/>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905" w:type="dxa"/>
            <w:tcBorders>
              <w:tl2br w:val="single" w:color="auto" w:sz="4" w:space="0"/>
            </w:tcBorders>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right"/>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产品风险等级</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投资者</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sz w:val="21"/>
                <w:szCs w:val="21"/>
                <w:highlight w:val="none"/>
              </w:rPr>
            </w:pPr>
            <w:r>
              <w:rPr>
                <w:rFonts w:hint="eastAsia" w:ascii="仿宋" w:hAnsi="仿宋" w:eastAsia="仿宋" w:cs="仿宋"/>
                <w:b/>
                <w:sz w:val="21"/>
                <w:szCs w:val="21"/>
                <w:highlight w:val="none"/>
              </w:rPr>
              <w:t>风险类型</w:t>
            </w:r>
          </w:p>
        </w:tc>
        <w:tc>
          <w:tcPr>
            <w:tcW w:w="1492"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低风险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（一级风险，R1）</w:t>
            </w:r>
          </w:p>
        </w:tc>
        <w:tc>
          <w:tcPr>
            <w:tcW w:w="1624"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lang w:val="en-US" w:eastAsia="zh-CN"/>
              </w:rPr>
              <w:t>较</w:t>
            </w:r>
            <w:r>
              <w:rPr>
                <w:rFonts w:hint="eastAsia" w:ascii="仿宋" w:hAnsi="仿宋" w:eastAsia="仿宋" w:cs="仿宋"/>
                <w:b/>
                <w:sz w:val="21"/>
                <w:szCs w:val="21"/>
                <w:highlight w:val="none"/>
              </w:rPr>
              <w:t>低风险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（二级风险，R2）</w:t>
            </w:r>
          </w:p>
        </w:tc>
        <w:tc>
          <w:tcPr>
            <w:tcW w:w="1620"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lang w:val="en-US" w:eastAsia="zh-CN"/>
              </w:rPr>
              <w:t>中等</w:t>
            </w:r>
            <w:r>
              <w:rPr>
                <w:rFonts w:hint="eastAsia" w:ascii="仿宋" w:hAnsi="仿宋" w:eastAsia="仿宋" w:cs="仿宋"/>
                <w:b/>
                <w:sz w:val="21"/>
                <w:szCs w:val="21"/>
                <w:highlight w:val="none"/>
              </w:rPr>
              <w:t>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（三级风险，R3）</w:t>
            </w:r>
          </w:p>
        </w:tc>
        <w:tc>
          <w:tcPr>
            <w:tcW w:w="1620"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较高风险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（四级风险，R4）</w:t>
            </w:r>
          </w:p>
        </w:tc>
        <w:tc>
          <w:tcPr>
            <w:tcW w:w="1515" w:type="dxa"/>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高风险</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highlight w:val="none"/>
              </w:rPr>
            </w:pPr>
            <w:r>
              <w:rPr>
                <w:rFonts w:hint="eastAsia" w:ascii="仿宋" w:hAnsi="仿宋" w:eastAsia="仿宋" w:cs="仿宋"/>
                <w:b/>
                <w:sz w:val="21"/>
                <w:szCs w:val="21"/>
                <w:highlight w:val="none"/>
              </w:rPr>
              <w:t>（五级风险，R5）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905" w:type="dxa"/>
            <w:vAlign w:val="center"/>
          </w:tcPr>
          <w:p>
            <w:pPr>
              <w:keepNext w:val="0"/>
              <w:keepLines w:val="0"/>
              <w:pageBreakBefore w:val="0"/>
              <w:widowControl w:val="0"/>
              <w:kinsoku/>
              <w:wordWrap/>
              <w:overflowPunct/>
              <w:topLinePunct w:val="0"/>
              <w:autoSpaceDE/>
              <w:autoSpaceDN/>
              <w:bidi w:val="0"/>
              <w:adjustRightInd w:val="0"/>
              <w:spacing w:line="360" w:lineRule="auto"/>
              <w:jc w:val="center"/>
              <w:textAlignment w:val="baseline"/>
              <w:outlineLvl w:val="0"/>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进取型</w:t>
            </w:r>
          </w:p>
        </w:tc>
        <w:tc>
          <w:tcPr>
            <w:tcW w:w="1492"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4"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0"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620" w:type="dxa"/>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szCs w:val="21"/>
                <w:highlight w:val="none"/>
              </w:rPr>
            </w:pPr>
            <w:r>
              <w:rPr>
                <w:rFonts w:hint="eastAsia" w:ascii="仿宋" w:hAnsi="仿宋" w:eastAsia="仿宋" w:cs="仿宋"/>
                <w:kern w:val="0"/>
                <w:szCs w:val="21"/>
                <w:highlight w:val="none"/>
              </w:rPr>
              <w:t>适合</w:t>
            </w:r>
          </w:p>
        </w:tc>
        <w:tc>
          <w:tcPr>
            <w:tcW w:w="1515" w:type="dxa"/>
            <w:tcBorders>
              <w:bottom w:val="single" w:color="auto" w:sz="4" w:space="0"/>
            </w:tcBorders>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center"/>
              <w:textAlignment w:val="auto"/>
              <w:rPr>
                <w:rFonts w:hint="eastAsia" w:ascii="仿宋" w:hAnsi="仿宋" w:eastAsia="仿宋" w:cs="仿宋"/>
                <w:sz w:val="21"/>
                <w:szCs w:val="21"/>
                <w:highlight w:val="none"/>
              </w:rPr>
            </w:pPr>
            <w:r>
              <w:rPr>
                <w:rFonts w:hint="eastAsia" w:ascii="仿宋" w:hAnsi="仿宋" w:eastAsia="仿宋" w:cs="仿宋"/>
                <w:kern w:val="0"/>
                <w:sz w:val="21"/>
                <w:szCs w:val="21"/>
                <w:highlight w:val="none"/>
                <w:lang w:val="en-US" w:eastAsia="zh-CN" w:bidi="ar-SA"/>
              </w:rPr>
              <w:t>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成长型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515" w:type="dxa"/>
            <w:tcBorders>
              <w:bottom w:val="single" w:color="auto" w:sz="4" w:space="0"/>
            </w:tcBorders>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平衡型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稳健型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tcBorders>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5" w:type="dxa"/>
            <w:shd w:val="clear" w:color="auto" w:fill="auto"/>
            <w:vAlign w:val="center"/>
          </w:tcPr>
          <w:p>
            <w:pPr>
              <w:pStyle w:val="5"/>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kern w:val="2"/>
                <w:sz w:val="21"/>
                <w:szCs w:val="21"/>
                <w:highlight w:val="none"/>
                <w:lang w:val="en-US" w:eastAsia="zh-CN" w:bidi="ar-SA"/>
              </w:rPr>
            </w:pPr>
            <w:r>
              <w:rPr>
                <w:rFonts w:hint="eastAsia" w:ascii="仿宋" w:hAnsi="仿宋" w:eastAsia="仿宋" w:cs="仿宋"/>
                <w:b/>
                <w:kern w:val="2"/>
                <w:sz w:val="21"/>
                <w:szCs w:val="21"/>
                <w:highlight w:val="none"/>
                <w:lang w:val="en-US" w:eastAsia="zh-CN" w:bidi="ar-SA"/>
              </w:rPr>
              <w:t>保守型</w:t>
            </w:r>
          </w:p>
        </w:tc>
        <w:tc>
          <w:tcPr>
            <w:tcW w:w="1492" w:type="dxa"/>
            <w:shd w:val="clear" w:color="auto" w:fill="auto"/>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适合</w:t>
            </w:r>
          </w:p>
        </w:tc>
        <w:tc>
          <w:tcPr>
            <w:tcW w:w="1624"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620"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c>
          <w:tcPr>
            <w:tcW w:w="1515" w:type="dxa"/>
            <w:shd w:val="clear" w:color="auto" w:fill="E6E6E6"/>
            <w:vAlign w:val="center"/>
          </w:tcPr>
          <w:p>
            <w:pPr>
              <w:keepNext w:val="0"/>
              <w:keepLines w:val="0"/>
              <w:pageBreakBefore w:val="0"/>
              <w:widowControl w:val="0"/>
              <w:kinsoku/>
              <w:wordWrap/>
              <w:overflowPunct/>
              <w:topLinePunct w:val="0"/>
              <w:autoSpaceDE/>
              <w:autoSpaceDN/>
              <w:bidi w:val="0"/>
              <w:spacing w:line="360" w:lineRule="auto"/>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不适合</w:t>
            </w:r>
          </w:p>
        </w:tc>
      </w:tr>
    </w:tbl>
    <w:p>
      <w:pPr>
        <w:spacing w:before="156" w:beforeLines="50" w:line="460" w:lineRule="exact"/>
        <w:ind w:firstLine="562" w:firstLineChars="200"/>
        <w:outlineLvl w:val="0"/>
        <w:rPr>
          <w:rFonts w:ascii="仿宋_GB2312" w:eastAsia="仿宋_GB2312"/>
          <w:b/>
          <w:color w:val="000000"/>
          <w:sz w:val="28"/>
          <w:szCs w:val="28"/>
          <w:highlight w:val="none"/>
        </w:rPr>
      </w:pPr>
      <w:r>
        <w:rPr>
          <w:rFonts w:hint="eastAsia" w:ascii="仿宋_GB2312" w:eastAsia="仿宋_GB2312"/>
          <w:b/>
          <w:color w:val="000000"/>
          <w:sz w:val="28"/>
          <w:szCs w:val="28"/>
          <w:highlight w:val="none"/>
        </w:rPr>
        <w:t>四、信息披露</w:t>
      </w:r>
    </w:p>
    <w:p>
      <w:pPr>
        <w:adjustRightInd w:val="0"/>
        <w:snapToGrid w:val="0"/>
        <w:spacing w:line="460" w:lineRule="exact"/>
        <w:ind w:firstLine="560" w:firstLineChars="200"/>
        <w:rPr>
          <w:rFonts w:hint="eastAsia" w:ascii="仿宋_GB2312" w:eastAsia="仿宋_GB2312"/>
          <w:b w:val="0"/>
          <w:bCs w:val="0"/>
          <w:color w:val="000000"/>
          <w:sz w:val="28"/>
          <w:szCs w:val="28"/>
          <w:highlight w:val="none"/>
        </w:rPr>
      </w:pPr>
      <w:r>
        <w:rPr>
          <w:rFonts w:hint="eastAsia" w:ascii="仿宋_GB2312" w:eastAsia="仿宋_GB2312"/>
          <w:b w:val="0"/>
          <w:bCs w:val="0"/>
          <w:color w:val="000000"/>
          <w:sz w:val="28"/>
          <w:szCs w:val="28"/>
          <w:highlight w:val="none"/>
          <w:lang w:val="en-US" w:eastAsia="zh-CN"/>
        </w:rPr>
        <w:t>本理财产品信息披露将通过代理销售机构、上银理财的信息披露渠道（包括但不限于代理销售机构官方网站、电子销售渠道及上银理财官方网站等）进行。</w:t>
      </w:r>
      <w:r>
        <w:rPr>
          <w:rFonts w:hint="eastAsia" w:ascii="仿宋_GB2312" w:eastAsia="仿宋_GB2312"/>
          <w:b w:val="0"/>
          <w:bCs w:val="0"/>
          <w:color w:val="000000"/>
          <w:sz w:val="28"/>
          <w:szCs w:val="28"/>
          <w:highlight w:val="none"/>
        </w:rPr>
        <w:t>理财产品相关信息的</w:t>
      </w:r>
      <w:r>
        <w:rPr>
          <w:rFonts w:hint="eastAsia" w:ascii="仿宋_GB2312" w:eastAsia="仿宋_GB2312"/>
          <w:b w:val="0"/>
          <w:bCs w:val="0"/>
          <w:color w:val="000000"/>
          <w:sz w:val="28"/>
          <w:szCs w:val="28"/>
          <w:highlight w:val="none"/>
          <w:lang w:val="en-US" w:eastAsia="zh-CN"/>
        </w:rPr>
        <w:t>具体</w:t>
      </w:r>
      <w:r>
        <w:rPr>
          <w:rFonts w:hint="eastAsia" w:ascii="仿宋_GB2312" w:eastAsia="仿宋_GB2312"/>
          <w:b w:val="0"/>
          <w:bCs w:val="0"/>
          <w:color w:val="000000"/>
          <w:sz w:val="28"/>
          <w:szCs w:val="28"/>
          <w:highlight w:val="none"/>
        </w:rPr>
        <w:t>披露方式、渠道和频率，</w:t>
      </w:r>
      <w:r>
        <w:rPr>
          <w:rFonts w:hint="eastAsia" w:ascii="仿宋_GB2312" w:eastAsia="仿宋_GB2312"/>
          <w:b w:val="0"/>
          <w:bCs w:val="0"/>
          <w:color w:val="000000"/>
          <w:sz w:val="28"/>
          <w:szCs w:val="28"/>
          <w:highlight w:val="none"/>
          <w:lang w:val="en-US" w:eastAsia="zh-CN"/>
        </w:rPr>
        <w:t>以</w:t>
      </w:r>
      <w:r>
        <w:rPr>
          <w:rFonts w:hint="eastAsia" w:ascii="仿宋_GB2312" w:eastAsia="仿宋_GB2312"/>
          <w:b w:val="0"/>
          <w:bCs w:val="0"/>
          <w:color w:val="000000"/>
          <w:sz w:val="28"/>
          <w:szCs w:val="28"/>
          <w:highlight w:val="none"/>
          <w:lang w:eastAsia="zh-CN"/>
        </w:rPr>
        <w:t>上银理财</w:t>
      </w:r>
      <w:r>
        <w:rPr>
          <w:rFonts w:hint="eastAsia" w:ascii="仿宋_GB2312" w:eastAsia="仿宋_GB2312"/>
          <w:b w:val="0"/>
          <w:bCs w:val="0"/>
          <w:color w:val="000000"/>
          <w:sz w:val="28"/>
          <w:szCs w:val="28"/>
          <w:highlight w:val="none"/>
        </w:rPr>
        <w:t>提供的产品说明书中相关“信息披露”约定</w:t>
      </w:r>
      <w:r>
        <w:rPr>
          <w:rFonts w:hint="eastAsia" w:ascii="仿宋_GB2312" w:eastAsia="仿宋_GB2312"/>
          <w:b w:val="0"/>
          <w:bCs w:val="0"/>
          <w:color w:val="000000"/>
          <w:sz w:val="28"/>
          <w:szCs w:val="28"/>
          <w:highlight w:val="none"/>
          <w:lang w:val="en-US" w:eastAsia="zh-CN"/>
        </w:rPr>
        <w:t>为准</w:t>
      </w:r>
      <w:r>
        <w:rPr>
          <w:rFonts w:hint="eastAsia" w:ascii="仿宋_GB2312" w:eastAsia="仿宋_GB2312"/>
          <w:b w:val="0"/>
          <w:bCs w:val="0"/>
          <w:color w:val="000000"/>
          <w:sz w:val="28"/>
          <w:szCs w:val="28"/>
          <w:highlight w:val="none"/>
        </w:rPr>
        <w:t>。</w:t>
      </w:r>
    </w:p>
    <w:p>
      <w:pPr>
        <w:numPr>
          <w:ilvl w:val="0"/>
          <w:numId w:val="6"/>
        </w:numPr>
        <w:adjustRightInd w:val="0"/>
        <w:snapToGrid w:val="0"/>
        <w:spacing w:line="460" w:lineRule="exact"/>
        <w:ind w:firstLine="562" w:firstLineChars="200"/>
        <w:rPr>
          <w:rFonts w:hint="eastAsia" w:ascii="仿宋_GB2312" w:eastAsia="仿宋_GB2312"/>
          <w:b/>
          <w:bCs/>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投诉与建议</w:t>
      </w:r>
    </w:p>
    <w:p>
      <w:pPr>
        <w:numPr>
          <w:ilvl w:val="0"/>
          <w:numId w:val="0"/>
        </w:numPr>
        <w:adjustRightInd w:val="0"/>
        <w:snapToGrid w:val="0"/>
        <w:spacing w:line="460" w:lineRule="exact"/>
        <w:rPr>
          <w:rFonts w:hint="default" w:ascii="仿宋_GB2312" w:eastAsia="仿宋_GB2312"/>
          <w:b w:val="0"/>
          <w:bCs w:val="0"/>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 xml:space="preserve">    </w:t>
      </w:r>
      <w:r>
        <w:rPr>
          <w:rFonts w:hint="eastAsia" w:ascii="仿宋_GB2312" w:eastAsia="仿宋_GB2312"/>
          <w:b w:val="0"/>
          <w:bCs w:val="0"/>
          <w:color w:val="000000"/>
          <w:sz w:val="28"/>
          <w:szCs w:val="28"/>
          <w:highlight w:val="none"/>
          <w:lang w:val="en-US" w:eastAsia="zh-CN"/>
        </w:rPr>
        <w:t>如您对本产品有任何意见或建议，可通过代理销售机构营业网点工作人员，拨打客户服务热线以及代理销售机构官方网站进行反映，将由专人接听、记录您的意见或建议，并由各方协商共同解决。</w:t>
      </w:r>
    </w:p>
    <w:p>
      <w:pPr>
        <w:adjustRightInd w:val="0"/>
        <w:snapToGrid w:val="0"/>
        <w:spacing w:line="460" w:lineRule="exact"/>
        <w:ind w:firstLine="562" w:firstLineChars="200"/>
        <w:rPr>
          <w:rFonts w:hint="default" w:ascii="仿宋_GB2312" w:eastAsia="仿宋_GB2312"/>
          <w:b/>
          <w:bCs/>
          <w:color w:val="000000"/>
          <w:sz w:val="28"/>
          <w:szCs w:val="28"/>
          <w:highlight w:val="none"/>
          <w:lang w:val="en-US" w:eastAsia="zh-CN"/>
        </w:rPr>
      </w:pPr>
      <w:r>
        <w:rPr>
          <w:rFonts w:hint="eastAsia" w:ascii="仿宋_GB2312" w:eastAsia="仿宋_GB2312"/>
          <w:b/>
          <w:bCs/>
          <w:color w:val="000000"/>
          <w:sz w:val="28"/>
          <w:szCs w:val="28"/>
          <w:highlight w:val="none"/>
          <w:lang w:val="en-US" w:eastAsia="zh-CN"/>
        </w:rPr>
        <w:t>六、联络方式</w:t>
      </w:r>
    </w:p>
    <w:p>
      <w:pPr>
        <w:adjustRightInd w:val="0"/>
        <w:snapToGrid w:val="0"/>
        <w:spacing w:line="460" w:lineRule="exact"/>
        <w:ind w:firstLine="562" w:firstLineChars="200"/>
        <w:rPr>
          <w:rFonts w:hint="eastAsia" w:ascii="仿宋_GB2312" w:hAnsi="宋体" w:eastAsia="仿宋_GB2312" w:cs="宋体"/>
          <w:b/>
          <w:bCs/>
          <w:color w:val="000000"/>
          <w:sz w:val="28"/>
          <w:szCs w:val="28"/>
          <w:highlight w:val="none"/>
          <w:lang w:val="en-US" w:eastAsia="zh-CN"/>
        </w:rPr>
      </w:pPr>
      <w:r>
        <w:rPr>
          <w:rFonts w:hint="eastAsia" w:ascii="仿宋_GB2312" w:hAnsi="宋体" w:eastAsia="仿宋_GB2312" w:cs="宋体"/>
          <w:b/>
          <w:bCs/>
          <w:color w:val="000000"/>
          <w:sz w:val="28"/>
          <w:szCs w:val="28"/>
          <w:highlight w:val="none"/>
          <w:lang w:val="en-US" w:eastAsia="zh-CN"/>
        </w:rPr>
        <w:t>（一）代销机构的联络方式</w:t>
      </w:r>
    </w:p>
    <w:p>
      <w:pPr>
        <w:keepNext w:val="0"/>
        <w:keepLines w:val="0"/>
        <w:pageBreakBefore w:val="0"/>
        <w:widowControl w:val="0"/>
        <w:numPr>
          <w:ilvl w:val="0"/>
          <w:numId w:val="0"/>
        </w:numPr>
        <w:kinsoku/>
        <w:wordWrap w:val="0"/>
        <w:overflowPunct/>
        <w:topLinePunct w:val="0"/>
        <w:autoSpaceDE w:val="0"/>
        <w:autoSpaceDN/>
        <w:bidi w:val="0"/>
        <w:adjustRightInd w:val="0"/>
        <w:snapToGrid w:val="0"/>
        <w:spacing w:line="460" w:lineRule="exact"/>
        <w:textAlignment w:val="auto"/>
        <w:rPr>
          <w:rFonts w:hint="default"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代销机构联络方式详见代销机构提供的相关协议。</w:t>
      </w:r>
    </w:p>
    <w:p>
      <w:pPr>
        <w:adjustRightInd w:val="0"/>
        <w:snapToGrid w:val="0"/>
        <w:spacing w:line="460" w:lineRule="exact"/>
        <w:ind w:firstLine="562" w:firstLineChars="200"/>
        <w:rPr>
          <w:rFonts w:hint="eastAsia" w:ascii="仿宋_GB2312" w:hAnsi="宋体" w:eastAsia="仿宋_GB2312" w:cs="宋体"/>
          <w:b/>
          <w:bCs/>
          <w:color w:val="000000"/>
          <w:sz w:val="28"/>
          <w:szCs w:val="28"/>
          <w:highlight w:val="none"/>
          <w:lang w:val="en-US" w:eastAsia="zh-CN"/>
        </w:rPr>
      </w:pPr>
      <w:r>
        <w:rPr>
          <w:rFonts w:hint="eastAsia" w:ascii="仿宋_GB2312" w:hAnsi="宋体" w:eastAsia="仿宋_GB2312" w:cs="宋体"/>
          <w:b/>
          <w:bCs/>
          <w:color w:val="000000"/>
          <w:sz w:val="28"/>
          <w:szCs w:val="28"/>
          <w:highlight w:val="none"/>
          <w:lang w:val="en-US" w:eastAsia="zh-CN"/>
        </w:rPr>
        <w:t>（二）上银理财的联络方式</w:t>
      </w:r>
    </w:p>
    <w:p>
      <w:pPr>
        <w:adjustRightInd w:val="0"/>
        <w:snapToGrid w:val="0"/>
        <w:spacing w:line="460" w:lineRule="exact"/>
        <w:ind w:firstLine="560" w:firstLineChars="200"/>
        <w:rPr>
          <w:rFonts w:hint="default"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1、上银理财地址：中国上海市黄浦区中山南路666号2幢2号实际楼层2层、3层</w:t>
      </w:r>
    </w:p>
    <w:p>
      <w:pPr>
        <w:ind w:firstLine="560" w:firstLineChars="200"/>
        <w:rPr>
          <w:rFonts w:hint="eastAsia"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t>2、上银理财官方网站：【https://www.boscwm.cn/】</w:t>
      </w:r>
    </w:p>
    <w:p>
      <w:pPr>
        <w:rPr>
          <w:rFonts w:hint="eastAsia" w:ascii="仿宋_GB2312" w:hAnsi="宋体" w:eastAsia="仿宋_GB2312" w:cs="宋体"/>
          <w:b w:val="0"/>
          <w:bCs w:val="0"/>
          <w:color w:val="000000"/>
          <w:sz w:val="28"/>
          <w:szCs w:val="28"/>
          <w:highlight w:val="none"/>
          <w:lang w:val="en-US" w:eastAsia="zh-CN"/>
        </w:rPr>
      </w:pPr>
      <w:r>
        <w:rPr>
          <w:rFonts w:hint="eastAsia" w:ascii="仿宋_GB2312" w:hAnsi="宋体" w:eastAsia="仿宋_GB2312" w:cs="宋体"/>
          <w:b w:val="0"/>
          <w:bCs w:val="0"/>
          <w:color w:val="000000"/>
          <w:sz w:val="28"/>
          <w:szCs w:val="28"/>
          <w:highlight w:val="none"/>
          <w:lang w:val="en-US" w:eastAsia="zh-CN"/>
        </w:rPr>
        <w:br w:type="page"/>
      </w:r>
    </w:p>
    <w:p>
      <w:pPr>
        <w:spacing w:line="460" w:lineRule="exact"/>
        <w:jc w:val="center"/>
        <w:outlineLvl w:val="0"/>
        <w:rPr>
          <w:rFonts w:hint="eastAsia" w:ascii="宋体" w:hAnsi="宋体"/>
          <w:b/>
          <w:sz w:val="32"/>
        </w:rPr>
      </w:pPr>
      <w:r>
        <w:rPr>
          <w:rFonts w:hint="eastAsia" w:ascii="宋体" w:hAnsi="宋体"/>
          <w:b/>
          <w:sz w:val="32"/>
        </w:rPr>
        <w:t>代</w:t>
      </w:r>
      <w:r>
        <w:rPr>
          <w:rFonts w:hint="eastAsia" w:ascii="宋体" w:hAnsi="宋体"/>
          <w:b/>
          <w:sz w:val="32"/>
          <w:lang w:val="en-US" w:eastAsia="zh-CN"/>
        </w:rPr>
        <w:t>理销售</w:t>
      </w:r>
      <w:r>
        <w:rPr>
          <w:rFonts w:hint="eastAsia" w:ascii="宋体" w:hAnsi="宋体"/>
          <w:b/>
          <w:sz w:val="32"/>
        </w:rPr>
        <w:t>理财产品协议书</w:t>
      </w:r>
    </w:p>
    <w:p>
      <w:pPr>
        <w:spacing w:line="460" w:lineRule="exact"/>
        <w:jc w:val="center"/>
        <w:outlineLvl w:val="0"/>
        <w:rPr>
          <w:rFonts w:hint="default" w:ascii="宋体" w:hAnsi="宋体" w:eastAsia="宋体"/>
          <w:b/>
          <w:sz w:val="32"/>
          <w:lang w:val="en-US" w:eastAsia="zh-CN"/>
        </w:rPr>
      </w:pPr>
      <w:r>
        <w:rPr>
          <w:rFonts w:hint="eastAsia" w:ascii="宋体" w:hAnsi="宋体"/>
          <w:b/>
          <w:sz w:val="32"/>
          <w:lang w:eastAsia="zh-CN"/>
        </w:rPr>
        <w:t>（</w:t>
      </w:r>
      <w:r>
        <w:rPr>
          <w:rFonts w:hint="eastAsia" w:ascii="宋体" w:hAnsi="宋体"/>
          <w:b/>
          <w:sz w:val="32"/>
          <w:lang w:val="en-US" w:eastAsia="zh-CN"/>
        </w:rPr>
        <w:t>适用于个人客户）</w:t>
      </w:r>
    </w:p>
    <w:p>
      <w:pPr>
        <w:autoSpaceDE w:val="0"/>
        <w:autoSpaceDN w:val="0"/>
        <w:adjustRightInd w:val="0"/>
        <w:snapToGrid w:val="0"/>
        <w:spacing w:line="400" w:lineRule="exact"/>
        <w:rPr>
          <w:rFonts w:ascii="宋体" w:hAnsi="宋体"/>
          <w:b/>
          <w:sz w:val="32"/>
        </w:rPr>
      </w:pPr>
    </w:p>
    <w:p>
      <w:pPr>
        <w:spacing w:line="460" w:lineRule="exact"/>
        <w:ind w:firstLine="482" w:firstLineChars="200"/>
        <w:rPr>
          <w:rFonts w:ascii="宋体" w:hAnsi="宋体"/>
          <w:b/>
          <w:sz w:val="24"/>
        </w:rPr>
      </w:pPr>
    </w:p>
    <w:p>
      <w:pPr>
        <w:spacing w:line="460" w:lineRule="exact"/>
        <w:ind w:firstLine="482" w:firstLineChars="200"/>
        <w:outlineLvl w:val="0"/>
        <w:rPr>
          <w:rFonts w:ascii="宋体" w:hAnsi="宋体"/>
          <w:b/>
          <w:sz w:val="24"/>
        </w:rPr>
      </w:pPr>
      <w:r>
        <w:rPr>
          <w:rFonts w:hint="eastAsia" w:ascii="宋体" w:hAnsi="宋体"/>
          <w:b/>
          <w:sz w:val="24"/>
        </w:rPr>
        <w:t>甲    方：理财产品投资客户</w:t>
      </w:r>
    </w:p>
    <w:p>
      <w:pPr>
        <w:spacing w:line="460" w:lineRule="exact"/>
        <w:ind w:firstLine="482" w:firstLineChars="200"/>
        <w:outlineLvl w:val="1"/>
        <w:rPr>
          <w:rFonts w:hint="default" w:ascii="宋体" w:hAnsi="宋体"/>
          <w:sz w:val="24"/>
          <w:lang w:val="en-US"/>
        </w:rPr>
      </w:pPr>
      <w:r>
        <w:rPr>
          <w:rFonts w:hint="eastAsia" w:ascii="宋体" w:hAnsi="宋体"/>
          <w:b/>
          <w:sz w:val="24"/>
        </w:rPr>
        <w:t>乙    方：</w:t>
      </w:r>
      <w:r>
        <w:rPr>
          <w:rFonts w:hint="eastAsia" w:ascii="宋体" w:hAnsi="宋体"/>
          <w:b/>
          <w:bCs w:val="0"/>
          <w:sz w:val="24"/>
          <w:lang w:val="en-US" w:eastAsia="zh-CN"/>
        </w:rPr>
        <w:t>代理销售机构</w:t>
      </w:r>
    </w:p>
    <w:p>
      <w:pPr>
        <w:spacing w:line="460" w:lineRule="exact"/>
        <w:ind w:firstLine="480" w:firstLineChars="200"/>
        <w:rPr>
          <w:rFonts w:ascii="宋体" w:hAnsi="宋体"/>
          <w:sz w:val="24"/>
        </w:rPr>
      </w:pPr>
    </w:p>
    <w:p>
      <w:pPr>
        <w:spacing w:line="460" w:lineRule="exact"/>
        <w:ind w:firstLine="482" w:firstLineChars="200"/>
        <w:rPr>
          <w:rFonts w:ascii="宋体" w:hAnsi="宋体"/>
          <w:b/>
          <w:bCs/>
          <w:sz w:val="24"/>
        </w:rPr>
      </w:pPr>
      <w:r>
        <w:rPr>
          <w:rFonts w:hint="eastAsia" w:ascii="宋体" w:hAnsi="宋体"/>
          <w:b/>
          <w:bCs/>
          <w:sz w:val="24"/>
        </w:rPr>
        <w:t>特别提示：本协议系</w:t>
      </w:r>
      <w:r>
        <w:rPr>
          <w:rFonts w:hint="eastAsia" w:ascii="宋体" w:hAnsi="宋体"/>
          <w:b/>
          <w:bCs/>
          <w:sz w:val="24"/>
          <w:lang w:val="en-US" w:eastAsia="zh-CN"/>
        </w:rPr>
        <w:t>代理销售机构</w:t>
      </w:r>
      <w:r>
        <w:rPr>
          <w:rFonts w:hint="eastAsia" w:ascii="宋体" w:hAnsi="宋体"/>
          <w:b/>
          <w:bCs/>
          <w:sz w:val="24"/>
        </w:rPr>
        <w:t>（以下简称“乙方”）与理财产品投资客户（以下简称“甲方”）就代销理财产品相关事宜所签订的有效合约。本协议所称的“理财产品”是指经国务院银行业监督管理机构批准成立的商业银行理财子公司按照约定条件和实际投资收益情况向投资者支付收益、不保证本金支付和收益水平的非保本理财产品。</w:t>
      </w:r>
    </w:p>
    <w:p>
      <w:pPr>
        <w:spacing w:line="460" w:lineRule="exact"/>
        <w:ind w:firstLine="482" w:firstLineChars="200"/>
        <w:rPr>
          <w:rFonts w:ascii="宋体" w:hAnsi="宋体"/>
          <w:b/>
          <w:bCs/>
          <w:sz w:val="24"/>
        </w:rPr>
      </w:pPr>
      <w:r>
        <w:rPr>
          <w:rFonts w:hint="eastAsia" w:ascii="宋体" w:hAnsi="宋体"/>
          <w:b/>
          <w:bCs/>
          <w:sz w:val="24"/>
        </w:rPr>
        <w:t>甲方在显示本协议的乙方网点、电子渠道（包括但不限于电话银行、网上银行、手机银行、微信银行等渠道，下同）选择签名、点击确认或勾选等方式接受本协议即表示甲方</w:t>
      </w:r>
      <w:r>
        <w:rPr>
          <w:rFonts w:ascii="宋体" w:hAnsi="宋体" w:cs="Arial Unicode MS"/>
          <w:b/>
          <w:bCs/>
          <w:color w:val="000000"/>
          <w:kern w:val="0"/>
          <w:sz w:val="24"/>
        </w:rPr>
        <w:t>承诺清楚知晓、接受并遵守本协议</w:t>
      </w:r>
      <w:r>
        <w:rPr>
          <w:rFonts w:hint="eastAsia" w:ascii="宋体" w:hAnsi="宋体" w:cs="Arial Unicode MS"/>
          <w:b/>
          <w:bCs/>
          <w:color w:val="000000"/>
          <w:kern w:val="0"/>
          <w:sz w:val="24"/>
        </w:rPr>
        <w:t>的</w:t>
      </w:r>
      <w:r>
        <w:rPr>
          <w:rFonts w:hint="eastAsia" w:ascii="宋体" w:hAnsi="宋体"/>
          <w:b/>
          <w:bCs/>
          <w:sz w:val="24"/>
        </w:rPr>
        <w:t>全部约定内容以及与本协议有关的各项规定。如甲方不同意本协议的任意内容，或者无法准确理解乙方对条款的解释，请暂停后续操作并通过我行客服进行咨询。</w:t>
      </w:r>
    </w:p>
    <w:p>
      <w:pPr>
        <w:spacing w:line="460" w:lineRule="exact"/>
        <w:ind w:firstLine="482" w:firstLineChars="200"/>
        <w:rPr>
          <w:rFonts w:ascii="宋体" w:hAnsi="宋体"/>
          <w:b/>
          <w:bCs/>
          <w:sz w:val="24"/>
        </w:rPr>
      </w:pPr>
    </w:p>
    <w:p>
      <w:pPr>
        <w:numPr>
          <w:ilvl w:val="0"/>
          <w:numId w:val="7"/>
        </w:numPr>
        <w:spacing w:line="460" w:lineRule="exact"/>
        <w:ind w:firstLine="482" w:firstLineChars="200"/>
        <w:rPr>
          <w:rFonts w:ascii="宋体" w:hAnsi="宋体"/>
          <w:sz w:val="24"/>
        </w:rPr>
      </w:pPr>
      <w:r>
        <w:rPr>
          <w:rFonts w:hint="eastAsia" w:ascii="宋体" w:hAnsi="宋体"/>
          <w:b/>
          <w:bCs/>
          <w:sz w:val="24"/>
        </w:rPr>
        <w:t>乙方仅作为理财产品的代理销售机构，非产品的发行机构或管理机构，对产品的业绩不承担任何保证和其他经济责任，不承担理财产品的投资、兑付和风险管理责任。</w:t>
      </w:r>
      <w:r>
        <w:rPr>
          <w:rFonts w:hint="eastAsia" w:ascii="宋体" w:hAnsi="宋体"/>
          <w:sz w:val="24"/>
        </w:rPr>
        <w:t>如因理财子公司产品的发行、管理、兑付等事宜产生争议或索赔，在法律允许的范围内，甲方同意与理财子公司自行解决，乙方将为甲方之合法利益实现提供必要协助但无需就此承担责任。</w:t>
      </w:r>
    </w:p>
    <w:p>
      <w:pPr>
        <w:numPr>
          <w:ilvl w:val="0"/>
          <w:numId w:val="7"/>
        </w:numPr>
        <w:spacing w:line="460" w:lineRule="exact"/>
        <w:ind w:firstLine="482" w:firstLineChars="200"/>
        <w:rPr>
          <w:rFonts w:ascii="宋体" w:hAnsi="宋体"/>
          <w:sz w:val="24"/>
        </w:rPr>
      </w:pPr>
      <w:r>
        <w:rPr>
          <w:rFonts w:hint="eastAsia" w:ascii="宋体" w:hAnsi="宋体"/>
          <w:b/>
          <w:bCs/>
          <w:sz w:val="24"/>
        </w:rPr>
        <w:t>甲方在签署本协议前，应详细阅读产品发行机构提供的《产品说明书》、《风险揭示书》等理财产品销售文件，对产品的基本特征、交易规则、风险评级及适合购买的投资者、投资期限和范围、收益及风险、投资者权利义务等充分了解，清楚知晓甲方在乙方的风险承受能力评级，不得购买高于本人风险承受能力的理财产品。</w:t>
      </w:r>
      <w:r>
        <w:rPr>
          <w:rFonts w:hint="eastAsia" w:ascii="宋体" w:hAnsi="宋体"/>
          <w:sz w:val="24"/>
        </w:rPr>
        <w:t>个人投资风险承受能力评估结果的有效期为一年，若评估结果已超过有效期或者在评级结果有效期内发生了可能影响甲方风险承受能力的情况，甲方需通过乙方的柜面、手机银行或网上银行等乙方渠道重新进行风险承受能力评估。</w:t>
      </w:r>
    </w:p>
    <w:p>
      <w:pPr>
        <w:numPr>
          <w:ilvl w:val="0"/>
          <w:numId w:val="7"/>
        </w:numPr>
        <w:spacing w:line="460" w:lineRule="exact"/>
        <w:ind w:firstLine="480"/>
        <w:rPr>
          <w:rFonts w:ascii="宋体" w:hAnsi="宋体"/>
          <w:sz w:val="24"/>
        </w:rPr>
      </w:pPr>
      <w:r>
        <w:rPr>
          <w:rFonts w:hint="eastAsia" w:ascii="宋体" w:hAnsi="宋体"/>
          <w:b/>
          <w:bCs/>
          <w:sz w:val="24"/>
        </w:rPr>
        <w:t>理财产品参考收益率或业绩比较基准仅供甲方参考，并不作为理财产品发行机构向甲方支付理财收益的承诺。</w:t>
      </w:r>
      <w:r>
        <w:rPr>
          <w:rFonts w:hint="eastAsia" w:ascii="宋体" w:hAnsi="宋体"/>
          <w:sz w:val="24"/>
        </w:rPr>
        <w:t>受国民经济运行情况、宏观政策以及各类突发事件等影响，在理财产品存续期内，收益率水平或发生相应波动，甲方应充分认识并自愿承担上述投资风险。</w:t>
      </w:r>
    </w:p>
    <w:p>
      <w:pPr>
        <w:numPr>
          <w:ilvl w:val="0"/>
          <w:numId w:val="7"/>
        </w:numPr>
        <w:spacing w:line="460" w:lineRule="exact"/>
        <w:ind w:firstLine="482" w:firstLineChars="200"/>
        <w:rPr>
          <w:rFonts w:ascii="宋体" w:hAnsi="宋体"/>
          <w:sz w:val="24"/>
        </w:rPr>
      </w:pPr>
      <w:r>
        <w:rPr>
          <w:rFonts w:hint="eastAsia" w:ascii="宋体" w:hAnsi="宋体"/>
          <w:b/>
          <w:bCs/>
          <w:sz w:val="24"/>
        </w:rPr>
        <w:t>甲方应确认已具有完全民事行为能力。认购/申购乙方代销理财产品出于本人真实意思表示，资金来源合法且为本人自有资金，不存在使用贷款、发行债券等筹集的非自有资金投资的情况，投资行为符合法律、法规及相关监管部门的规定。</w:t>
      </w:r>
      <w:r>
        <w:rPr>
          <w:rFonts w:hint="eastAsia" w:ascii="宋体" w:hAnsi="宋体"/>
          <w:sz w:val="24"/>
        </w:rPr>
        <w:t>提供的个人信息及相关资料真实、合法、完整、有效，如有变更，甲方应及时到乙方办理相关变更手续。</w:t>
      </w:r>
    </w:p>
    <w:p>
      <w:pPr>
        <w:spacing w:line="460" w:lineRule="exact"/>
        <w:ind w:firstLine="482" w:firstLineChars="200"/>
        <w:jc w:val="left"/>
        <w:rPr>
          <w:rFonts w:ascii="楷体" w:hAnsi="楷体" w:eastAsia="楷体"/>
          <w:szCs w:val="21"/>
        </w:rPr>
      </w:pPr>
      <w:r>
        <w:rPr>
          <w:rFonts w:hint="eastAsia" w:ascii="宋体" w:hAnsi="宋体"/>
          <w:b/>
          <w:bCs/>
          <w:sz w:val="24"/>
        </w:rPr>
        <w:t>五、</w:t>
      </w:r>
      <w:r>
        <w:rPr>
          <w:rFonts w:hint="eastAsia" w:ascii="宋体" w:hAnsi="宋体"/>
          <w:sz w:val="24"/>
        </w:rPr>
        <w:t xml:space="preserve">甲方在乙方处以甲方为户名开立个人银行结算账户（以下简称“授权指定账户”），用于理财产品的资金划转及期间、到期款项的返还。  </w:t>
      </w:r>
      <w:r>
        <w:rPr>
          <w:rFonts w:ascii="宋体" w:hAnsi="宋体"/>
          <w:sz w:val="24"/>
        </w:rPr>
        <w:t xml:space="preserve">                          </w:t>
      </w:r>
    </w:p>
    <w:p>
      <w:pPr>
        <w:spacing w:line="460" w:lineRule="exact"/>
        <w:ind w:firstLine="482" w:firstLineChars="200"/>
        <w:rPr>
          <w:rFonts w:ascii="宋体" w:hAnsi="宋体"/>
          <w:b/>
          <w:bCs/>
          <w:sz w:val="24"/>
        </w:rPr>
      </w:pPr>
      <w:r>
        <w:rPr>
          <w:rFonts w:hint="eastAsia" w:ascii="宋体" w:hAnsi="宋体"/>
          <w:b/>
          <w:bCs/>
          <w:sz w:val="24"/>
        </w:rPr>
        <w:t>六、</w:t>
      </w:r>
      <w:r>
        <w:rPr>
          <w:rFonts w:hint="eastAsia" w:ascii="宋体" w:hAnsi="宋体"/>
          <w:sz w:val="24"/>
        </w:rPr>
        <w:t>甲方应在签署本协议后在“授权指定账户”存入足额的购买资金，并确保存入后的账户余额大于或</w:t>
      </w:r>
      <w:r>
        <w:rPr>
          <w:rFonts w:ascii="宋体" w:hAnsi="宋体"/>
          <w:sz w:val="24"/>
        </w:rPr>
        <w:t>等于</w:t>
      </w:r>
      <w:r>
        <w:rPr>
          <w:rFonts w:hint="eastAsia" w:ascii="宋体" w:hAnsi="宋体"/>
          <w:sz w:val="24"/>
        </w:rPr>
        <w:t>购买金额。</w:t>
      </w:r>
      <w:r>
        <w:rPr>
          <w:rFonts w:hint="eastAsia" w:ascii="宋体" w:hAnsi="宋体"/>
          <w:b/>
          <w:bCs/>
          <w:sz w:val="24"/>
        </w:rPr>
        <w:t>因甲方账户资金余额不足，而导致购买不成功，本协议自动终止，乙方不计付理财产品任何收益，并且乙方对此不承担任何责任。</w:t>
      </w:r>
    </w:p>
    <w:p>
      <w:pPr>
        <w:spacing w:line="460" w:lineRule="exact"/>
        <w:ind w:firstLine="482" w:firstLineChars="200"/>
        <w:rPr>
          <w:rFonts w:ascii="宋体" w:hAnsi="宋体"/>
          <w:b/>
          <w:bCs/>
          <w:sz w:val="24"/>
        </w:rPr>
      </w:pPr>
      <w:r>
        <w:rPr>
          <w:rFonts w:hint="eastAsia" w:ascii="宋体" w:hAnsi="宋体"/>
          <w:b/>
          <w:bCs/>
          <w:sz w:val="24"/>
        </w:rPr>
        <w:t>在理财产品发行期内，如因有权机关采取强制措施致使甲方“授权指定账户”购买资金部分或全部被扣划或被冻结而导致购买不成功的，本协议自动终止，乙方不计付理财产品任何收益及相应被扣划的购买资金部分，并且乙方对此不承担任何责任。</w:t>
      </w:r>
    </w:p>
    <w:p>
      <w:pPr>
        <w:spacing w:line="500" w:lineRule="exact"/>
        <w:ind w:firstLine="482" w:firstLineChars="200"/>
        <w:rPr>
          <w:rFonts w:ascii="宋体" w:hAnsi="宋体"/>
          <w:szCs w:val="21"/>
        </w:rPr>
      </w:pPr>
      <w:r>
        <w:rPr>
          <w:rFonts w:hint="eastAsia" w:ascii="宋体" w:hAnsi="宋体"/>
          <w:b/>
          <w:bCs/>
          <w:sz w:val="24"/>
        </w:rPr>
        <w:t>七、</w:t>
      </w:r>
      <w:r>
        <w:rPr>
          <w:rFonts w:hint="eastAsia" w:ascii="宋体" w:hAnsi="宋体"/>
          <w:sz w:val="24"/>
        </w:rPr>
        <w:t>甲方认购\申购理财产品时，乙方将冻结甲方“授权指定账户”内的购买金额，并按照约定时间划转至产品发行人指定账户。购买资金冻结期间，按乙方公布的活期存款利率计付利息。</w:t>
      </w:r>
      <w:r>
        <w:rPr>
          <w:rFonts w:hint="eastAsia" w:ascii="宋体" w:hAnsi="宋体"/>
          <w:b/>
          <w:sz w:val="24"/>
        </w:rPr>
        <w:t>购买资金自划转之日起至返还甲方账户期间不计付存款利息。</w:t>
      </w:r>
      <w:r>
        <w:rPr>
          <w:rFonts w:hint="eastAsia" w:ascii="宋体" w:hAnsi="宋体"/>
          <w:sz w:val="24"/>
        </w:rPr>
        <w:t>购买资金冻结期间，甲方不得提取或转移已冻结资金。</w:t>
      </w:r>
    </w:p>
    <w:p>
      <w:pPr>
        <w:spacing w:line="460" w:lineRule="exact"/>
        <w:ind w:firstLine="482" w:firstLineChars="200"/>
        <w:rPr>
          <w:rFonts w:ascii="宋体" w:hAnsi="宋体"/>
          <w:b/>
          <w:bCs/>
          <w:sz w:val="24"/>
        </w:rPr>
      </w:pPr>
      <w:r>
        <w:rPr>
          <w:rFonts w:hint="eastAsia" w:ascii="宋体" w:hAnsi="宋体"/>
          <w:b/>
          <w:bCs/>
          <w:sz w:val="24"/>
        </w:rPr>
        <w:t>八、本协议终止前，甲方可以变更“授权指定账户”,但该账户存在在途交易的情形除外,在途交易指未完成资金清算及份额确认的交易,包括但不限于开放式产品的预受理交易、封闭式产品处于募集期的认购交易。如“授权指定账户”为甲方在我行的唯一理财产品签约账户且有在途交易或存续产品，则该“授权指定账户”不得销户。若发生因甲方注销“授权指定账户”造成无法正常领取到期或期间款项的，乙方不承担任何责任。</w:t>
      </w:r>
    </w:p>
    <w:p>
      <w:pPr>
        <w:spacing w:line="460" w:lineRule="exact"/>
        <w:ind w:firstLine="482" w:firstLineChars="200"/>
        <w:rPr>
          <w:rFonts w:ascii="宋体" w:hAnsi="宋体"/>
          <w:bCs/>
          <w:sz w:val="24"/>
        </w:rPr>
      </w:pPr>
      <w:r>
        <w:rPr>
          <w:rFonts w:hint="eastAsia" w:ascii="宋体" w:hAnsi="宋体"/>
          <w:b/>
          <w:sz w:val="24"/>
        </w:rPr>
        <w:t>九、甲方同意并授权乙方有权根据代销理财业务调取收集乙方开户留存的有效身份证件或者其他身份证明文件信息，并留存业务所需的个人金融信息。</w:t>
      </w:r>
      <w:r>
        <w:rPr>
          <w:rFonts w:hint="eastAsia" w:ascii="宋体" w:hAnsi="宋体"/>
          <w:bCs/>
          <w:sz w:val="24"/>
        </w:rPr>
        <w:t>乙方将恪守</w:t>
      </w:r>
      <w:r>
        <w:rPr>
          <w:rFonts w:ascii="宋体" w:hAnsi="宋体"/>
          <w:bCs/>
          <w:sz w:val="24"/>
        </w:rPr>
        <w:t>对</w:t>
      </w:r>
      <w:r>
        <w:rPr>
          <w:rFonts w:hint="eastAsia" w:ascii="宋体" w:hAnsi="宋体"/>
          <w:bCs/>
          <w:sz w:val="24"/>
        </w:rPr>
        <w:t>甲</w:t>
      </w:r>
      <w:r>
        <w:rPr>
          <w:rFonts w:ascii="宋体" w:hAnsi="宋体"/>
          <w:bCs/>
          <w:sz w:val="24"/>
        </w:rPr>
        <w:t>方信息的保密义务，并严格按照</w:t>
      </w:r>
      <w:r>
        <w:rPr>
          <w:rFonts w:hint="eastAsia" w:ascii="宋体" w:hAnsi="宋体"/>
          <w:bCs/>
          <w:sz w:val="24"/>
        </w:rPr>
        <w:t>甲</w:t>
      </w:r>
      <w:r>
        <w:rPr>
          <w:rFonts w:ascii="宋体" w:hAnsi="宋体"/>
          <w:bCs/>
          <w:sz w:val="24"/>
        </w:rPr>
        <w:t>方授权或双方约定</w:t>
      </w:r>
      <w:r>
        <w:rPr>
          <w:rFonts w:hint="eastAsia" w:ascii="宋体" w:hAnsi="宋体"/>
          <w:bCs/>
          <w:sz w:val="24"/>
        </w:rPr>
        <w:t>使用</w:t>
      </w:r>
      <w:r>
        <w:rPr>
          <w:rFonts w:ascii="宋体" w:hAnsi="宋体"/>
          <w:bCs/>
          <w:sz w:val="24"/>
        </w:rPr>
        <w:t>和披露</w:t>
      </w:r>
      <w:r>
        <w:rPr>
          <w:rFonts w:hint="eastAsia" w:ascii="宋体" w:hAnsi="宋体"/>
          <w:bCs/>
          <w:sz w:val="24"/>
        </w:rPr>
        <w:t>甲</w:t>
      </w:r>
      <w:r>
        <w:rPr>
          <w:rFonts w:ascii="宋体" w:hAnsi="宋体"/>
          <w:bCs/>
          <w:sz w:val="24"/>
        </w:rPr>
        <w:t>方信息，</w:t>
      </w:r>
      <w:r>
        <w:rPr>
          <w:rFonts w:hint="eastAsia" w:ascii="宋体" w:hAnsi="宋体"/>
          <w:bCs/>
          <w:sz w:val="24"/>
        </w:rPr>
        <w:t>但为</w:t>
      </w:r>
      <w:r>
        <w:rPr>
          <w:rFonts w:ascii="宋体" w:hAnsi="宋体"/>
          <w:bCs/>
          <w:sz w:val="24"/>
        </w:rPr>
        <w:t>履行</w:t>
      </w:r>
      <w:r>
        <w:rPr>
          <w:rFonts w:hint="eastAsia" w:ascii="宋体" w:hAnsi="宋体"/>
          <w:bCs/>
          <w:sz w:val="24"/>
        </w:rPr>
        <w:t>本协议之目的</w:t>
      </w:r>
      <w:r>
        <w:rPr>
          <w:rFonts w:ascii="宋体" w:hAnsi="宋体"/>
          <w:bCs/>
          <w:sz w:val="24"/>
        </w:rPr>
        <w:t>而向</w:t>
      </w:r>
      <w:r>
        <w:rPr>
          <w:rFonts w:hint="eastAsia" w:ascii="宋体" w:hAnsi="宋体"/>
          <w:bCs/>
          <w:sz w:val="24"/>
        </w:rPr>
        <w:t>乙方分支机构或合作服务机构提供的或法律法规、监管部门另有要求</w:t>
      </w:r>
      <w:r>
        <w:rPr>
          <w:rFonts w:ascii="宋体" w:hAnsi="宋体"/>
          <w:bCs/>
          <w:sz w:val="24"/>
        </w:rPr>
        <w:t>的除外</w:t>
      </w:r>
      <w:r>
        <w:rPr>
          <w:rFonts w:hint="eastAsia" w:ascii="宋体" w:hAnsi="宋体"/>
          <w:bCs/>
          <w:sz w:val="24"/>
        </w:rPr>
        <w:t>。</w:t>
      </w:r>
    </w:p>
    <w:p>
      <w:pPr>
        <w:spacing w:line="460" w:lineRule="exact"/>
        <w:ind w:firstLine="482" w:firstLineChars="200"/>
        <w:rPr>
          <w:rFonts w:ascii="宋体" w:hAnsi="宋体"/>
          <w:b/>
          <w:sz w:val="24"/>
        </w:rPr>
      </w:pPr>
      <w:r>
        <w:rPr>
          <w:rFonts w:hint="eastAsia" w:ascii="宋体" w:hAnsi="宋体"/>
          <w:b/>
          <w:bCs/>
          <w:sz w:val="24"/>
        </w:rPr>
        <w:t>十、</w:t>
      </w:r>
      <w:r>
        <w:rPr>
          <w:rFonts w:hint="eastAsia" w:ascii="宋体" w:hAnsi="宋体"/>
          <w:b/>
          <w:sz w:val="24"/>
        </w:rPr>
        <w:t>甲方同意并授权乙方可通过短信、信函、电子邮件、微信公众号、银行客户端APP信息推送等形式向甲方发送通知，内容包括银行账户基本情况、持有产品的基本情况、功能变更、产品服务等。甲方如不同意本条约定，可在收到相关信息后回复指定字符或联系乙方客服电话进行退订。</w:t>
      </w:r>
    </w:p>
    <w:p>
      <w:pPr>
        <w:spacing w:line="460" w:lineRule="exact"/>
        <w:ind w:firstLine="482" w:firstLineChars="200"/>
        <w:rPr>
          <w:rFonts w:ascii="宋体" w:hAnsi="宋体"/>
          <w:b/>
          <w:sz w:val="24"/>
        </w:rPr>
      </w:pPr>
      <w:r>
        <w:rPr>
          <w:rFonts w:hint="eastAsia" w:ascii="宋体" w:hAnsi="宋体"/>
          <w:b/>
          <w:sz w:val="24"/>
        </w:rPr>
        <w:t>十一、甲方需妥善保管好个人信息、账户信息、短信验证码、密码等，凡需甲方输入短信验证码、密码等办理的业务，均视为甲方本人办理，因上述信息保管不善所造成的损失均由甲方承担。</w:t>
      </w:r>
    </w:p>
    <w:p>
      <w:pPr>
        <w:spacing w:line="460" w:lineRule="exact"/>
        <w:ind w:firstLine="482" w:firstLineChars="200"/>
        <w:rPr>
          <w:rFonts w:ascii="宋体" w:hAnsi="宋体"/>
          <w:b/>
          <w:sz w:val="24"/>
        </w:rPr>
      </w:pPr>
      <w:r>
        <w:rPr>
          <w:rFonts w:hint="eastAsia" w:ascii="宋体" w:hAnsi="宋体"/>
          <w:b/>
          <w:sz w:val="24"/>
        </w:rPr>
        <w:t>十二、甲方承诺严格遵守反洗钱相关法律法规和规章制度，不会参与或协助洗钱、恐怖融资、逃税活动等违法行为。一旦乙方发现或有合理理由怀疑甲方涉及相关违法活动的，乙方有权提前终止本协议，因此对甲方造成的损失，乙方不承担责任。</w:t>
      </w:r>
    </w:p>
    <w:p>
      <w:pPr>
        <w:spacing w:line="460" w:lineRule="exact"/>
        <w:ind w:firstLine="482" w:firstLineChars="200"/>
        <w:rPr>
          <w:rFonts w:ascii="宋体" w:hAnsi="宋体"/>
          <w:sz w:val="24"/>
        </w:rPr>
      </w:pPr>
      <w:r>
        <w:rPr>
          <w:rFonts w:hint="eastAsia" w:ascii="宋体" w:hAnsi="宋体"/>
          <w:b/>
          <w:bCs/>
          <w:sz w:val="24"/>
        </w:rPr>
        <w:t>十三</w:t>
      </w:r>
      <w:r>
        <w:rPr>
          <w:rFonts w:hint="eastAsia" w:ascii="宋体" w:hAnsi="宋体"/>
          <w:sz w:val="24"/>
        </w:rPr>
        <w:t>、免责条款</w:t>
      </w:r>
    </w:p>
    <w:p>
      <w:pPr>
        <w:spacing w:line="460" w:lineRule="exact"/>
        <w:ind w:firstLine="480" w:firstLineChars="200"/>
        <w:rPr>
          <w:rFonts w:ascii="宋体" w:hAnsi="宋体"/>
          <w:sz w:val="24"/>
        </w:rPr>
      </w:pPr>
      <w:r>
        <w:rPr>
          <w:rFonts w:hint="eastAsia" w:ascii="宋体" w:hAnsi="宋体"/>
          <w:sz w:val="24"/>
        </w:rPr>
        <w:t>（一）由于地震、火灾、战争、罢工、疫情防控或者国家有关法律、法规、规章、政策的改变、紧急措施的出台等不可抗力导致的交易中断、延误、禁止等任何风险及损失，乙方不承担责任，但应在条件允许的情况下通知甲方，并采取一切必要的补救措施以减小不可抗力造成的损失。</w:t>
      </w:r>
    </w:p>
    <w:p>
      <w:pPr>
        <w:spacing w:line="460" w:lineRule="exact"/>
        <w:ind w:firstLine="480" w:firstLineChars="200"/>
        <w:rPr>
          <w:rFonts w:ascii="宋体" w:hAnsi="宋体"/>
          <w:sz w:val="24"/>
        </w:rPr>
      </w:pPr>
      <w:r>
        <w:rPr>
          <w:rFonts w:hint="eastAsia" w:ascii="宋体" w:hAnsi="宋体"/>
          <w:sz w:val="24"/>
        </w:rPr>
        <w:t>（二）在理财产品发行期内，甲方“授权指定账户”内购买资金全部或部分被有权机关冻结、扣划或处置，乙方不承担责任。</w:t>
      </w:r>
    </w:p>
    <w:p>
      <w:pPr>
        <w:spacing w:line="460" w:lineRule="exact"/>
        <w:ind w:firstLine="480" w:firstLineChars="200"/>
        <w:rPr>
          <w:rFonts w:ascii="宋体" w:hAnsi="宋体"/>
          <w:sz w:val="24"/>
        </w:rPr>
      </w:pPr>
      <w:r>
        <w:rPr>
          <w:rFonts w:hint="eastAsia" w:ascii="宋体" w:hAnsi="宋体"/>
          <w:sz w:val="24"/>
        </w:rPr>
        <w:t>（三）在理财产品存续期内，甲方购买的理财产品被有权机关冻结、扣划或处置，乙方不承担责任。</w:t>
      </w:r>
    </w:p>
    <w:p>
      <w:pPr>
        <w:spacing w:line="460" w:lineRule="exact"/>
        <w:ind w:firstLine="482" w:firstLineChars="200"/>
        <w:rPr>
          <w:rFonts w:ascii="宋体" w:hAnsi="宋体"/>
          <w:b/>
          <w:bCs/>
          <w:sz w:val="24"/>
        </w:rPr>
      </w:pPr>
      <w:r>
        <w:rPr>
          <w:rFonts w:hint="eastAsia" w:ascii="宋体" w:hAnsi="宋体"/>
          <w:b/>
          <w:bCs/>
          <w:sz w:val="24"/>
        </w:rPr>
        <w:t>十四、本协议书适用中华人民共和国大陆地区的法律。本协议项下的及与之有关的一切争议，双方应首先友好协商解决，协商不成的，任何一方应向乙方所在地法院提起诉讼。</w:t>
      </w:r>
    </w:p>
    <w:p>
      <w:pPr>
        <w:spacing w:line="460" w:lineRule="exact"/>
        <w:ind w:firstLine="482" w:firstLineChars="200"/>
        <w:rPr>
          <w:rFonts w:ascii="宋体" w:hAnsi="宋体"/>
          <w:sz w:val="24"/>
        </w:rPr>
      </w:pPr>
      <w:r>
        <w:rPr>
          <w:rFonts w:hint="eastAsia" w:ascii="宋体" w:hAnsi="宋体"/>
          <w:b/>
          <w:bCs/>
          <w:sz w:val="24"/>
        </w:rPr>
        <w:t>十五、</w:t>
      </w:r>
      <w:r>
        <w:rPr>
          <w:rFonts w:hint="eastAsia" w:ascii="宋体" w:hAnsi="宋体"/>
          <w:sz w:val="24"/>
        </w:rPr>
        <w:t xml:space="preserve">乙方有关事项的通知、协议等文件以及就协议发生纠纷时相关文件和法律文书送达，可以通过邮寄、电子设备终端等方式按甲方向乙方提供的联系地址进行送达，上述送达地址的适用范围包括非诉阶段和争议进入诉讼程序后的一审、二审、再审和执行程序。 </w:t>
      </w:r>
    </w:p>
    <w:p>
      <w:pPr>
        <w:spacing w:line="460" w:lineRule="exact"/>
        <w:ind w:firstLine="480" w:firstLineChars="200"/>
        <w:rPr>
          <w:rFonts w:ascii="宋体" w:hAnsi="宋体"/>
          <w:sz w:val="24"/>
        </w:rPr>
      </w:pPr>
      <w:r>
        <w:rPr>
          <w:rFonts w:hint="eastAsia" w:ascii="宋体" w:hAnsi="宋体"/>
          <w:sz w:val="24"/>
        </w:rPr>
        <w:t>甲方送达地址等任一事项发生变更的，应最迟于两个工作日内书面通知乙方。</w:t>
      </w:r>
    </w:p>
    <w:p>
      <w:pPr>
        <w:spacing w:line="460" w:lineRule="exact"/>
        <w:ind w:firstLine="480" w:firstLineChars="200"/>
        <w:rPr>
          <w:rFonts w:ascii="宋体" w:hAnsi="宋体"/>
          <w:sz w:val="24"/>
        </w:rPr>
      </w:pPr>
      <w:r>
        <w:rPr>
          <w:rFonts w:hint="eastAsia" w:ascii="宋体" w:hAnsi="宋体"/>
          <w:sz w:val="24"/>
        </w:rPr>
        <w:t>甲方未按前述方式履行通知义务，其所确认的送达地址仍视为有效送达地址。若甲方送达地址变更未及时通知乙方，乙方按原送达地址送达的，或因甲方提供的变更送达地址不准确导致被退回的，均视为已送达。</w:t>
      </w:r>
    </w:p>
    <w:p>
      <w:pPr>
        <w:spacing w:line="460" w:lineRule="exact"/>
        <w:ind w:firstLine="480" w:firstLineChars="200"/>
        <w:rPr>
          <w:rFonts w:ascii="宋体" w:hAnsi="宋体"/>
          <w:sz w:val="24"/>
        </w:rPr>
      </w:pPr>
      <w:r>
        <w:rPr>
          <w:rFonts w:hint="eastAsia" w:ascii="宋体" w:hAnsi="宋体"/>
          <w:sz w:val="24"/>
        </w:rPr>
        <w:t>按本协议中约定的通知方式，邮寄送达的，送达日为投寄挂号信邮戳之日；专程送达的，送达日为收件人签收之日；采用电报、传真方式送达的，送达日为电报、传真到达对方之日；采用电子设备终端方式送达的，送达日为发件人发出之日。</w:t>
      </w:r>
    </w:p>
    <w:p>
      <w:pPr>
        <w:spacing w:line="460" w:lineRule="exact"/>
        <w:ind w:firstLine="482" w:firstLineChars="200"/>
        <w:rPr>
          <w:rFonts w:ascii="宋体" w:hAnsi="宋体"/>
          <w:sz w:val="24"/>
        </w:rPr>
      </w:pPr>
      <w:r>
        <w:rPr>
          <w:rFonts w:hint="eastAsia" w:ascii="宋体" w:hAnsi="宋体"/>
          <w:b/>
          <w:bCs/>
          <w:sz w:val="24"/>
        </w:rPr>
        <w:t>十六、</w:t>
      </w:r>
      <w:r>
        <w:rPr>
          <w:rFonts w:hint="eastAsia" w:ascii="宋体" w:hAnsi="宋体"/>
          <w:sz w:val="24"/>
        </w:rPr>
        <w:t>甲方若通过乙方柜面渠道购买理财产品的，本协议书自甲方签字、乙方经办人员签章并加盖业务专用章后生效，协议一式贰份，双方各执一份，且具有同等法律效力。</w:t>
      </w:r>
    </w:p>
    <w:p>
      <w:pPr>
        <w:spacing w:line="460" w:lineRule="exact"/>
        <w:ind w:firstLine="480" w:firstLineChars="200"/>
        <w:rPr>
          <w:rFonts w:ascii="宋体" w:hAnsi="宋体"/>
          <w:sz w:val="24"/>
        </w:rPr>
      </w:pPr>
      <w:r>
        <w:rPr>
          <w:rFonts w:hint="eastAsia" w:ascii="宋体" w:hAnsi="宋体"/>
          <w:sz w:val="24"/>
        </w:rPr>
        <w:t>根据《中华人民共和国</w:t>
      </w:r>
      <w:r>
        <w:rPr>
          <w:rFonts w:hint="eastAsia" w:ascii="宋体" w:hAnsi="宋体"/>
          <w:sz w:val="24"/>
          <w:lang w:val="en-US" w:eastAsia="zh-CN"/>
        </w:rPr>
        <w:t>民法典</w:t>
      </w:r>
      <w:r>
        <w:rPr>
          <w:rFonts w:hint="eastAsia" w:ascii="宋体" w:hAnsi="宋体"/>
          <w:sz w:val="24"/>
        </w:rPr>
        <w:t>》、《中华人民共和国电子签名法》关于民事合同使用数据电文、电子签名的规定，采用电子签名签订的电子签名合同、风险揭示书具有与纸质合同、纸质风险揭示书同等的法律效力。以此作为法律依据，本着提高合同签署效率的目的，投资者同意自本代销理财产品协议书签订之日起，投资者在</w:t>
      </w:r>
      <w:r>
        <w:rPr>
          <w:rFonts w:hint="eastAsia" w:ascii="宋体" w:hAnsi="宋体"/>
          <w:sz w:val="24"/>
          <w:lang w:eastAsia="zh-CN"/>
        </w:rPr>
        <w:t>代理销售机构</w:t>
      </w:r>
      <w:r>
        <w:rPr>
          <w:rFonts w:hint="eastAsia" w:ascii="宋体" w:hAnsi="宋体"/>
          <w:sz w:val="24"/>
        </w:rPr>
        <w:t>交易理财产品过程中，可以使用电子合同、电子签名。投资者通过身份验证</w:t>
      </w:r>
      <w:r>
        <w:rPr>
          <w:rFonts w:hint="eastAsia" w:ascii="宋体" w:hAnsi="宋体"/>
          <w:sz w:val="24"/>
          <w:lang w:eastAsia="zh-CN"/>
        </w:rPr>
        <w:t>代理销售机构</w:t>
      </w:r>
      <w:r>
        <w:rPr>
          <w:rFonts w:hint="eastAsia" w:ascii="宋体" w:hAnsi="宋体"/>
          <w:sz w:val="24"/>
        </w:rPr>
        <w:t>指定的网络系统，确认同意接受相关电子签名合同，风险揭示书或其他文书的，视为签署合同、签署风险揭示书或其他文书，与在纸质合同、纸质风险揭示书或其他文书上手写抄写、签名或者盖章具有同等的法律效力，无须另行签署纸质合同或纸质风险揭示书或其他文书。</w:t>
      </w:r>
    </w:p>
    <w:p>
      <w:pPr>
        <w:spacing w:line="460" w:lineRule="exact"/>
        <w:ind w:firstLine="480" w:firstLineChars="200"/>
        <w:rPr>
          <w:rFonts w:ascii="宋体" w:hAnsi="宋体"/>
          <w:sz w:val="24"/>
        </w:rPr>
      </w:pPr>
      <w:r>
        <w:rPr>
          <w:rFonts w:hint="eastAsia" w:ascii="宋体" w:hAnsi="宋体"/>
          <w:sz w:val="24"/>
        </w:rPr>
        <w:t>投资者应妥善保管和使用本人的签约账号、客户号、密码及电子身份证书，经投资者密码登录本人账户后的所有操作，以及</w:t>
      </w:r>
      <w:r>
        <w:rPr>
          <w:rFonts w:hint="eastAsia" w:ascii="宋体" w:hAnsi="宋体"/>
          <w:sz w:val="24"/>
          <w:lang w:eastAsia="zh-CN"/>
        </w:rPr>
        <w:t>代理销售机构</w:t>
      </w:r>
      <w:r>
        <w:rPr>
          <w:rFonts w:hint="eastAsia" w:ascii="宋体" w:hAnsi="宋体"/>
          <w:sz w:val="24"/>
        </w:rPr>
        <w:t>根据投资者的业务指令办理业务，对所有使用上述信息进行的操作均视为投资者本人行为，该操作所产生的电子信息记录均为</w:t>
      </w:r>
      <w:r>
        <w:rPr>
          <w:rFonts w:hint="eastAsia" w:ascii="宋体" w:hAnsi="宋体"/>
          <w:sz w:val="24"/>
          <w:lang w:eastAsia="zh-CN"/>
        </w:rPr>
        <w:t>代理销售机构</w:t>
      </w:r>
      <w:r>
        <w:rPr>
          <w:rFonts w:hint="eastAsia" w:ascii="宋体" w:hAnsi="宋体"/>
          <w:sz w:val="24"/>
        </w:rPr>
        <w:t>处理电子签名合同业务的有效凭据，投资者承担由此产生的一切法律后果。</w:t>
      </w:r>
    </w:p>
    <w:p>
      <w:pPr>
        <w:spacing w:line="460" w:lineRule="exact"/>
        <w:ind w:firstLine="482" w:firstLineChars="200"/>
        <w:rPr>
          <w:rFonts w:ascii="宋体" w:hAnsi="宋体" w:cs="Arial Unicode MS"/>
          <w:b/>
          <w:bCs/>
          <w:color w:val="000000"/>
          <w:kern w:val="0"/>
          <w:sz w:val="24"/>
        </w:rPr>
      </w:pPr>
      <w:r>
        <w:rPr>
          <w:rFonts w:hint="eastAsia" w:ascii="宋体" w:hAnsi="宋体"/>
          <w:b/>
          <w:sz w:val="24"/>
        </w:rPr>
        <w:t>十七、</w:t>
      </w:r>
      <w:r>
        <w:rPr>
          <w:rFonts w:hint="eastAsia" w:ascii="宋体" w:hAnsi="宋体"/>
          <w:bCs/>
          <w:sz w:val="24"/>
        </w:rPr>
        <w:t>本协议项下各方权利义务履行完毕之日，本协议自动终止。</w:t>
      </w:r>
    </w:p>
    <w:p>
      <w:pPr>
        <w:spacing w:line="460" w:lineRule="exact"/>
        <w:rPr>
          <w:rFonts w:ascii="宋体" w:hAnsi="宋体"/>
          <w:b/>
          <w:sz w:val="24"/>
        </w:rPr>
      </w:pPr>
      <w:r>
        <w:rPr>
          <w:rFonts w:ascii="宋体" w:hAnsi="宋体"/>
          <w:sz w:val="24"/>
        </w:rPr>
        <w:br w:type="page"/>
      </w:r>
    </w:p>
    <w:p>
      <w:pPr>
        <w:spacing w:line="460" w:lineRule="exact"/>
        <w:ind w:firstLine="482" w:firstLineChars="200"/>
        <w:rPr>
          <w:rFonts w:ascii="宋体" w:hAnsi="宋体"/>
          <w:b/>
          <w:sz w:val="24"/>
        </w:rPr>
      </w:pPr>
      <w:r>
        <w:rPr>
          <w:rFonts w:hint="eastAsia" w:ascii="宋体" w:hAnsi="宋体"/>
          <w:b/>
          <w:sz w:val="24"/>
        </w:rPr>
        <w:t>甲方重要声明：</w:t>
      </w:r>
    </w:p>
    <w:p>
      <w:pPr>
        <w:spacing w:line="460" w:lineRule="exact"/>
        <w:ind w:firstLine="482" w:firstLineChars="200"/>
        <w:rPr>
          <w:rFonts w:ascii="宋体" w:hAnsi="宋体"/>
          <w:b/>
          <w:sz w:val="24"/>
        </w:rPr>
      </w:pPr>
      <w:r>
        <w:rPr>
          <w:rFonts w:hint="eastAsia" w:ascii="宋体" w:hAnsi="宋体"/>
          <w:b/>
          <w:sz w:val="24"/>
        </w:rPr>
        <w:t>在签署本协议书前，本人已认真阅读本协议书及客户权益须知，充分认识理财产品的投资风险以及乙方的</w:t>
      </w:r>
      <w:r>
        <w:rPr>
          <w:rFonts w:ascii="宋体" w:hAnsi="宋体"/>
          <w:b/>
          <w:sz w:val="24"/>
        </w:rPr>
        <w:t>免责</w:t>
      </w:r>
      <w:r>
        <w:rPr>
          <w:rFonts w:hint="eastAsia" w:ascii="宋体" w:hAnsi="宋体"/>
          <w:b/>
          <w:sz w:val="24"/>
        </w:rPr>
        <w:t>情形，乙方就本协议书的全部条款已向本人进行了详细地说明和解释，双方对合同的全部条款均无疑义，并对有关权利义务和责任限制或免除条款的法律含义有准确无误的理解。</w:t>
      </w:r>
    </w:p>
    <w:p>
      <w:pPr>
        <w:spacing w:line="460" w:lineRule="exact"/>
        <w:ind w:firstLine="482" w:firstLineChars="200"/>
        <w:rPr>
          <w:rFonts w:ascii="宋体" w:hAnsi="宋体"/>
          <w:b/>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甲方签字：                    乙方（盖章）：</w:t>
      </w:r>
    </w:p>
    <w:p>
      <w:pPr>
        <w:spacing w:line="460" w:lineRule="exact"/>
        <w:ind w:firstLine="480" w:firstLineChars="200"/>
        <w:outlineLvl w:val="1"/>
        <w:rPr>
          <w:rFonts w:ascii="宋体" w:hAnsi="宋体"/>
          <w:sz w:val="24"/>
        </w:rPr>
      </w:pPr>
      <w:r>
        <w:rPr>
          <w:rFonts w:hint="eastAsia" w:ascii="宋体" w:hAnsi="宋体"/>
          <w:sz w:val="24"/>
        </w:rPr>
        <w:t xml:space="preserve">                              经办人员（签章）：</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outlineLvl w:val="1"/>
        <w:rPr>
          <w:rFonts w:ascii="宋体" w:hAnsi="宋体"/>
          <w:sz w:val="24"/>
        </w:rPr>
      </w:pPr>
      <w:r>
        <w:rPr>
          <w:rFonts w:hint="eastAsia" w:ascii="宋体" w:hAnsi="宋体"/>
          <w:sz w:val="24"/>
        </w:rPr>
        <w:t>签署日期：</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rPr>
          <w:rFonts w:hint="eastAsia" w:ascii="宋体" w:hAnsi="宋体"/>
          <w:sz w:val="22"/>
          <w:szCs w:val="22"/>
          <w:lang w:val="zh-CN"/>
        </w:rPr>
      </w:pPr>
      <w:bookmarkStart w:id="31" w:name="_GoBack"/>
      <w:bookmarkEnd w:id="31"/>
    </w:p>
    <w:sectPr>
      <w:headerReference r:id="rId4" w:type="first"/>
      <w:headerReference r:id="rId3" w:type="default"/>
      <w:footerReference r:id="rId5" w:type="default"/>
      <w:pgSz w:w="11906" w:h="16838"/>
      <w:pgMar w:top="1440" w:right="1800" w:bottom="1440" w:left="1800" w:header="851" w:footer="992" w:gutter="0"/>
      <w:pgNumType w:fmt="decimal"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宋体@.蜮.艀.">
    <w:altName w:val="宋体"/>
    <w:panose1 w:val="00000000000000000000"/>
    <w:charset w:val="86"/>
    <w:family w:val="roma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宋?">
    <w:altName w:val="Times New Roman"/>
    <w:panose1 w:val="00000000000000000000"/>
    <w:charset w:val="00"/>
    <w:family w:val="auto"/>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420" w:firstLine="42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42464438"/>
                          </w:sdtPr>
                          <w:sdtContent>
                            <w:p>
                              <w:pPr>
                                <w:pStyle w:val="6"/>
                                <w:ind w:left="420" w:firstLine="420"/>
                                <w:jc w:val="right"/>
                              </w:pPr>
                              <w:r>
                                <w:fldChar w:fldCharType="begin"/>
                              </w:r>
                              <w:r>
                                <w:instrText xml:space="preserve">PAGE   \* MERGEFORMAT</w:instrText>
                              </w:r>
                              <w:r>
                                <w:fldChar w:fldCharType="separate"/>
                              </w:r>
                              <w:r>
                                <w:rPr>
                                  <w:lang w:val="zh-CN"/>
                                </w:rPr>
                                <w:t>19</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342464438"/>
                    </w:sdtPr>
                    <w:sdtContent>
                      <w:p>
                        <w:pPr>
                          <w:pStyle w:val="6"/>
                          <w:ind w:left="420" w:firstLine="420"/>
                          <w:jc w:val="right"/>
                        </w:pPr>
                        <w:r>
                          <w:fldChar w:fldCharType="begin"/>
                        </w:r>
                        <w:r>
                          <w:instrText xml:space="preserve">PAGE   \* MERGEFORMAT</w:instrText>
                        </w:r>
                        <w:r>
                          <w:fldChar w:fldCharType="separate"/>
                        </w:r>
                        <w:r>
                          <w:rPr>
                            <w:lang w:val="zh-CN"/>
                          </w:rPr>
                          <w:t>19</w:t>
                        </w:r>
                        <w:r>
                          <w:fldChar w:fldCharType="end"/>
                        </w:r>
                      </w:p>
                    </w:sdtContent>
                  </w:sdt>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jc w:val="right"/>
      <w:rPr>
        <w:rFonts w:asciiTheme="minorEastAsia" w:hAnsiTheme="minorEastAsia" w:cstheme="minorEastAsia"/>
      </w:rPr>
    </w:pPr>
    <w:r>
      <w:rPr>
        <w:rFonts w:hint="eastAsia" w:asciiTheme="minorEastAsia" w:hAnsiTheme="minorEastAsia" w:cstheme="minorEastAsia"/>
        <w:b/>
        <w:bCs/>
      </w:rPr>
      <w:t xml:space="preserve"> 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jc w:val="right"/>
      <w:rPr>
        <w:rFonts w:asciiTheme="minorEastAsia" w:hAnsiTheme="minorEastAsia" w:cstheme="minorEastAsia"/>
      </w:rPr>
    </w:pPr>
    <w:r>
      <w:rPr>
        <w:rFonts w:hint="eastAsia" w:asciiTheme="minorEastAsia" w:hAnsiTheme="minorEastAsia" w:cstheme="minorEastAsia"/>
        <w:b/>
        <w:bCs/>
      </w:rPr>
      <w:t xml:space="preserve"> 理财非存款、产品有风险、投资须谨慎</w:t>
    </w:r>
  </w:p>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74C74"/>
    <w:multiLevelType w:val="singleLevel"/>
    <w:tmpl w:val="99674C74"/>
    <w:lvl w:ilvl="0" w:tentative="0">
      <w:start w:val="5"/>
      <w:numFmt w:val="chineseCounting"/>
      <w:suff w:val="nothing"/>
      <w:lvlText w:val="（%1）"/>
      <w:lvlJc w:val="left"/>
      <w:rPr>
        <w:rFonts w:hint="eastAsia"/>
      </w:rPr>
    </w:lvl>
  </w:abstractNum>
  <w:abstractNum w:abstractNumId="1">
    <w:nsid w:val="E9B7CDD8"/>
    <w:multiLevelType w:val="singleLevel"/>
    <w:tmpl w:val="E9B7CDD8"/>
    <w:lvl w:ilvl="0" w:tentative="0">
      <w:start w:val="1"/>
      <w:numFmt w:val="decimal"/>
      <w:suff w:val="nothing"/>
      <w:lvlText w:val="%1、"/>
      <w:lvlJc w:val="left"/>
    </w:lvl>
  </w:abstractNum>
  <w:abstractNum w:abstractNumId="2">
    <w:nsid w:val="FF8AA15B"/>
    <w:multiLevelType w:val="singleLevel"/>
    <w:tmpl w:val="FF8AA15B"/>
    <w:lvl w:ilvl="0" w:tentative="0">
      <w:start w:val="1"/>
      <w:numFmt w:val="chineseCounting"/>
      <w:suff w:val="nothing"/>
      <w:lvlText w:val="%1、"/>
      <w:lvlJc w:val="left"/>
      <w:rPr>
        <w:rFonts w:hint="eastAsia"/>
        <w:b/>
        <w:bCs/>
      </w:rPr>
    </w:lvl>
  </w:abstractNum>
  <w:abstractNum w:abstractNumId="3">
    <w:nsid w:val="045329BA"/>
    <w:multiLevelType w:val="singleLevel"/>
    <w:tmpl w:val="045329BA"/>
    <w:lvl w:ilvl="0" w:tentative="0">
      <w:start w:val="1"/>
      <w:numFmt w:val="decimal"/>
      <w:suff w:val="nothing"/>
      <w:lvlText w:val="%1、"/>
      <w:lvlJc w:val="left"/>
    </w:lvl>
  </w:abstractNum>
  <w:abstractNum w:abstractNumId="4">
    <w:nsid w:val="05DF039F"/>
    <w:multiLevelType w:val="singleLevel"/>
    <w:tmpl w:val="05DF039F"/>
    <w:lvl w:ilvl="0" w:tentative="0">
      <w:start w:val="2"/>
      <w:numFmt w:val="decimal"/>
      <w:suff w:val="nothing"/>
      <w:lvlText w:val="（%1）"/>
      <w:lvlJc w:val="left"/>
    </w:lvl>
  </w:abstractNum>
  <w:abstractNum w:abstractNumId="5">
    <w:nsid w:val="6BB777A8"/>
    <w:multiLevelType w:val="singleLevel"/>
    <w:tmpl w:val="6BB777A8"/>
    <w:lvl w:ilvl="0" w:tentative="0">
      <w:start w:val="1"/>
      <w:numFmt w:val="decimal"/>
      <w:suff w:val="nothing"/>
      <w:lvlText w:val="%1、"/>
      <w:lvlJc w:val="left"/>
    </w:lvl>
  </w:abstractNum>
  <w:abstractNum w:abstractNumId="6">
    <w:nsid w:val="70AC2909"/>
    <w:multiLevelType w:val="singleLevel"/>
    <w:tmpl w:val="70AC2909"/>
    <w:lvl w:ilvl="0" w:tentative="0">
      <w:start w:val="5"/>
      <w:numFmt w:val="chineseCounting"/>
      <w:suff w:val="nothing"/>
      <w:lvlText w:val="%1、"/>
      <w:lvlJc w:val="left"/>
      <w:rPr>
        <w:rFonts w:hint="eastAsia"/>
      </w:rPr>
    </w:lvl>
  </w:abstractNum>
  <w:num w:numId="1">
    <w:abstractNumId w:val="3"/>
  </w:num>
  <w:num w:numId="2">
    <w:abstractNumId w:val="5"/>
  </w:num>
  <w:num w:numId="3">
    <w:abstractNumId w:val="1"/>
  </w:num>
  <w:num w:numId="4">
    <w:abstractNumId w:val="0"/>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A4B3097"/>
    <w:rsid w:val="00906786"/>
    <w:rsid w:val="0A4B3097"/>
    <w:rsid w:val="129775BA"/>
    <w:rsid w:val="1ECD3419"/>
    <w:rsid w:val="222F57AC"/>
    <w:rsid w:val="2656273F"/>
    <w:rsid w:val="2CE3696D"/>
    <w:rsid w:val="384E4FF5"/>
    <w:rsid w:val="407403F8"/>
    <w:rsid w:val="43BF738F"/>
    <w:rsid w:val="498D1109"/>
    <w:rsid w:val="49B820D9"/>
    <w:rsid w:val="4C815BC3"/>
    <w:rsid w:val="4E5C20F6"/>
    <w:rsid w:val="50A800BD"/>
    <w:rsid w:val="661A192B"/>
    <w:rsid w:val="6A54620F"/>
    <w:rsid w:val="78892B44"/>
    <w:rsid w:val="7A3E6345"/>
    <w:rsid w:val="7DB2732C"/>
    <w:rsid w:val="7DE10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24"/>
      <w:szCs w:val="24"/>
      <w:lang w:val="en-US" w:eastAsia="en-US" w:bidi="ar-SA"/>
    </w:rPr>
  </w:style>
  <w:style w:type="paragraph" w:styleId="5">
    <w:name w:val="Body Text Indent"/>
    <w:basedOn w:val="1"/>
    <w:qFormat/>
    <w:uiPriority w:val="0"/>
    <w:pPr>
      <w:adjustRightInd w:val="0"/>
      <w:snapToGrid w:val="0"/>
      <w:ind w:firstLine="360" w:firstLineChars="150"/>
      <w:jc w:val="left"/>
    </w:pPr>
    <w:rPr>
      <w:sz w:val="24"/>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ind w:firstLine="632" w:firstLineChars="200"/>
    </w:pPr>
    <w:rPr>
      <w:rFonts w:ascii="仿宋_GB2312" w:hAnsi="Times New Roman" w:eastAsia="仿宋_GB2312"/>
      <w:sz w:val="32"/>
      <w:szCs w:val="24"/>
    </w:rPr>
  </w:style>
  <w:style w:type="paragraph" w:styleId="9">
    <w:name w:val="Normal (Web)"/>
    <w:basedOn w:val="1"/>
    <w:semiHidden/>
    <w:unhideWhenUsed/>
    <w:qFormat/>
    <w:uiPriority w:val="99"/>
    <w:pPr>
      <w:spacing w:beforeAutospacing="1" w:afterAutospacing="1"/>
      <w:jc w:val="left"/>
    </w:pPr>
    <w:rPr>
      <w:rFonts w:cs="Times New Roman"/>
      <w:kern w:val="0"/>
      <w:sz w:val="24"/>
    </w:rPr>
  </w:style>
  <w:style w:type="character" w:styleId="12">
    <w:name w:val="page number"/>
    <w:basedOn w:val="11"/>
    <w:qFormat/>
    <w:uiPriority w:val="0"/>
  </w:style>
  <w:style w:type="table" w:customStyle="1" w:styleId="13">
    <w:name w:val="网格型1"/>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4">
    <w:name w:val="Default"/>
    <w:qFormat/>
    <w:uiPriority w:val="0"/>
    <w:pPr>
      <w:widowControl w:val="0"/>
      <w:autoSpaceDE w:val="0"/>
      <w:autoSpaceDN w:val="0"/>
      <w:adjustRightInd w:val="0"/>
    </w:pPr>
    <w:rPr>
      <w:rFonts w:ascii="宋体@.蜮.艀." w:eastAsia="宋体@.蜮.艀." w:cs="宋体@.蜮.艀." w:hAnsiTheme="minorHAnsi"/>
      <w:color w:val="00000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45516</Words>
  <Characters>46501</Characters>
  <Lines>0</Lines>
  <Paragraphs>0</Paragraphs>
  <TotalTime>1</TotalTime>
  <ScaleCrop>false</ScaleCrop>
  <LinksUpToDate>false</LinksUpToDate>
  <CharactersWithSpaces>46961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2024-10-25T03:13:00Z</dcterms:created>
  <dc:creator>Z.X</dc:creator>
  <cp:lastModifiedBy>周 翔</cp:lastModifiedBy>
  <dcterms:modified xsi:type="dcterms:W3CDTF">2025-03-17T08:35:07Z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376F6DDB7B3E4BC4BD23EE5C240A35B4_13</vt:lpwstr>
  </property>
  <property fmtid="{D5CDD505-2E9C-101B-9397-08002B2CF9AE}" pid="4" name="KSOTemplateDocerSaveRecord">
    <vt:lpwstr>eyJoZGlkIjoiM2FiZDIzMjBhYjY3YjcwYmIxYWI1NjM4YzVmYjEyMDMiLCJ1c2VySWQiOiIyOTg3OTI2MzUifQ==</vt:lpwstr>
  </property>
</Properties>
</file>