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outlineLvl w:val="0"/>
        <w:rPr>
          <w:rFonts w:hint="eastAsia" w:ascii="宋体" w:hAnsi="宋体"/>
          <w:b/>
          <w:sz w:val="32"/>
        </w:rPr>
      </w:pPr>
      <w:r>
        <w:rPr>
          <w:rFonts w:hint="eastAsia" w:ascii="宋体" w:hAnsi="宋体"/>
          <w:b/>
          <w:sz w:val="32"/>
        </w:rPr>
        <w:t>代</w:t>
      </w:r>
      <w:r>
        <w:rPr>
          <w:rFonts w:hint="eastAsia" w:ascii="宋体" w:hAnsi="宋体"/>
          <w:b/>
          <w:sz w:val="32"/>
          <w:lang w:val="en-US" w:eastAsia="zh-CN"/>
        </w:rPr>
        <w:t>理销售</w:t>
      </w:r>
      <w:r>
        <w:rPr>
          <w:rFonts w:hint="eastAsia" w:ascii="宋体" w:hAnsi="宋体"/>
          <w:b/>
          <w:sz w:val="32"/>
        </w:rPr>
        <w:t>理财产品协议书</w:t>
      </w:r>
    </w:p>
    <w:p>
      <w:pPr>
        <w:spacing w:line="460" w:lineRule="exact"/>
        <w:jc w:val="center"/>
        <w:outlineLvl w:val="0"/>
        <w:rPr>
          <w:rFonts w:hint="default" w:ascii="宋体" w:hAnsi="宋体" w:eastAsia="宋体"/>
          <w:b/>
          <w:sz w:val="32"/>
          <w:lang w:val="en-US" w:eastAsia="zh-CN"/>
        </w:rPr>
      </w:pPr>
      <w:r>
        <w:rPr>
          <w:rFonts w:hint="eastAsia" w:ascii="宋体" w:hAnsi="宋体"/>
          <w:b/>
          <w:sz w:val="32"/>
          <w:lang w:eastAsia="zh-CN"/>
        </w:rPr>
        <w:t>（</w:t>
      </w:r>
      <w:r>
        <w:rPr>
          <w:rFonts w:hint="eastAsia" w:ascii="宋体" w:hAnsi="宋体"/>
          <w:b/>
          <w:sz w:val="32"/>
          <w:lang w:val="en-US" w:eastAsia="zh-CN"/>
        </w:rPr>
        <w:t>适用于个人客户）</w:t>
      </w:r>
    </w:p>
    <w:p>
      <w:pPr>
        <w:autoSpaceDE w:val="0"/>
        <w:autoSpaceDN w:val="0"/>
        <w:adjustRightInd w:val="0"/>
        <w:snapToGrid w:val="0"/>
        <w:spacing w:line="400" w:lineRule="exact"/>
        <w:rPr>
          <w:rFonts w:ascii="宋体" w:hAnsi="宋体"/>
          <w:b/>
          <w:sz w:val="32"/>
        </w:rPr>
      </w:pPr>
    </w:p>
    <w:p>
      <w:pPr>
        <w:spacing w:line="460" w:lineRule="exact"/>
        <w:ind w:firstLine="482" w:firstLineChars="200"/>
        <w:rPr>
          <w:rFonts w:ascii="宋体" w:hAnsi="宋体"/>
          <w:b/>
          <w:sz w:val="24"/>
        </w:rPr>
      </w:pPr>
    </w:p>
    <w:p>
      <w:pPr>
        <w:spacing w:line="460" w:lineRule="exact"/>
        <w:ind w:firstLine="482" w:firstLineChars="200"/>
        <w:outlineLvl w:val="0"/>
        <w:rPr>
          <w:rFonts w:ascii="宋体" w:hAnsi="宋体"/>
          <w:b/>
          <w:sz w:val="24"/>
        </w:rPr>
      </w:pPr>
      <w:r>
        <w:rPr>
          <w:rFonts w:hint="eastAsia" w:ascii="宋体" w:hAnsi="宋体"/>
          <w:b/>
          <w:sz w:val="24"/>
        </w:rPr>
        <w:t>甲    方：理财产品投资客户</w:t>
      </w:r>
    </w:p>
    <w:p>
      <w:pPr>
        <w:spacing w:line="460" w:lineRule="exact"/>
        <w:ind w:firstLine="482" w:firstLineChars="200"/>
        <w:outlineLvl w:val="1"/>
        <w:rPr>
          <w:rFonts w:hint="default" w:ascii="宋体" w:hAnsi="宋体"/>
          <w:sz w:val="24"/>
          <w:lang w:val="en-US"/>
        </w:rPr>
      </w:pPr>
      <w:r>
        <w:rPr>
          <w:rFonts w:hint="eastAsia" w:ascii="宋体" w:hAnsi="宋体"/>
          <w:b/>
          <w:sz w:val="24"/>
        </w:rPr>
        <w:t>乙    方：</w:t>
      </w:r>
      <w:r>
        <w:rPr>
          <w:rFonts w:hint="eastAsia" w:ascii="宋体" w:hAnsi="宋体"/>
          <w:b/>
          <w:bCs w:val="0"/>
          <w:sz w:val="24"/>
          <w:lang w:val="en-US" w:eastAsia="zh-CN"/>
        </w:rPr>
        <w:t>代理销售机构</w:t>
      </w:r>
    </w:p>
    <w:p>
      <w:pPr>
        <w:spacing w:line="460" w:lineRule="exact"/>
        <w:ind w:firstLine="480" w:firstLineChars="200"/>
        <w:rPr>
          <w:rFonts w:ascii="宋体" w:hAnsi="宋体"/>
          <w:sz w:val="24"/>
        </w:rPr>
      </w:pPr>
    </w:p>
    <w:p>
      <w:pPr>
        <w:spacing w:line="460" w:lineRule="exact"/>
        <w:ind w:firstLine="482" w:firstLineChars="200"/>
        <w:rPr>
          <w:rFonts w:ascii="宋体" w:hAnsi="宋体"/>
          <w:b/>
          <w:bCs/>
          <w:sz w:val="24"/>
        </w:rPr>
      </w:pPr>
      <w:r>
        <w:rPr>
          <w:rFonts w:hint="eastAsia" w:ascii="宋体" w:hAnsi="宋体"/>
          <w:b/>
          <w:bCs/>
          <w:sz w:val="24"/>
        </w:rPr>
        <w:t>特别提示：本协议系</w:t>
      </w:r>
      <w:r>
        <w:rPr>
          <w:rFonts w:hint="eastAsia" w:ascii="宋体" w:hAnsi="宋体"/>
          <w:b/>
          <w:bCs/>
          <w:sz w:val="24"/>
          <w:lang w:val="en-US" w:eastAsia="zh-CN"/>
        </w:rPr>
        <w:t>代理销售机构</w:t>
      </w:r>
      <w:r>
        <w:rPr>
          <w:rFonts w:hint="eastAsia" w:ascii="宋体" w:hAnsi="宋体"/>
          <w:b/>
          <w:bCs/>
          <w:sz w:val="24"/>
        </w:rPr>
        <w:t>（以下简称“乙方”）与理财产品投资客户（以下简称“甲方”）就代销理财产品相关事宜所签订的有效合约。本协议所称的“理财产品”是指经国务院银行业监督管理机构批准成立的商业银行理财子公司按照约定条件和实际投资收益情况向投资者支付收益、不保证本金支付和收益水平的非保本理财产品。</w:t>
      </w:r>
    </w:p>
    <w:p>
      <w:pPr>
        <w:spacing w:line="460" w:lineRule="exact"/>
        <w:ind w:firstLine="482" w:firstLineChars="200"/>
        <w:rPr>
          <w:rFonts w:ascii="宋体" w:hAnsi="宋体"/>
          <w:b/>
          <w:bCs/>
          <w:sz w:val="24"/>
        </w:rPr>
      </w:pPr>
      <w:r>
        <w:rPr>
          <w:rFonts w:hint="eastAsia" w:ascii="宋体" w:hAnsi="宋体"/>
          <w:b/>
          <w:bCs/>
          <w:sz w:val="24"/>
        </w:rPr>
        <w:t>甲方在显示本协议的乙方网点、电子渠道（包括但不限于电话银行、网上银行、手机银行、微信银行等渠道，下同）选择签名、点击确认或勾选等方式接受本协议即表示甲方</w:t>
      </w:r>
      <w:r>
        <w:rPr>
          <w:rFonts w:ascii="宋体" w:hAnsi="宋体" w:cs="Arial Unicode MS"/>
          <w:b/>
          <w:bCs/>
          <w:color w:val="000000"/>
          <w:kern w:val="0"/>
          <w:sz w:val="24"/>
        </w:rPr>
        <w:t>承诺清楚知晓、接受并遵守本协议</w:t>
      </w:r>
      <w:r>
        <w:rPr>
          <w:rFonts w:hint="eastAsia" w:ascii="宋体" w:hAnsi="宋体" w:cs="Arial Unicode MS"/>
          <w:b/>
          <w:bCs/>
          <w:color w:val="000000"/>
          <w:kern w:val="0"/>
          <w:sz w:val="24"/>
        </w:rPr>
        <w:t>的</w:t>
      </w:r>
      <w:r>
        <w:rPr>
          <w:rFonts w:hint="eastAsia" w:ascii="宋体" w:hAnsi="宋体"/>
          <w:b/>
          <w:bCs/>
          <w:sz w:val="24"/>
        </w:rPr>
        <w:t>全部约定内容以及与本协议有关的各项规定。如甲方不同意本协议的任意内容，或者无法准确理解乙方对条款的解释，请暂停后续操作并通过我行客服进行咨询。</w:t>
      </w:r>
    </w:p>
    <w:p>
      <w:pPr>
        <w:spacing w:line="460" w:lineRule="exact"/>
        <w:ind w:firstLine="482" w:firstLineChars="200"/>
        <w:rPr>
          <w:rFonts w:ascii="宋体" w:hAnsi="宋体"/>
          <w:b/>
          <w:bCs/>
          <w:sz w:val="24"/>
        </w:rPr>
      </w:pPr>
    </w:p>
    <w:p>
      <w:pPr>
        <w:numPr>
          <w:ilvl w:val="0"/>
          <w:numId w:val="1"/>
        </w:numPr>
        <w:spacing w:line="460" w:lineRule="exact"/>
        <w:ind w:firstLine="482" w:firstLineChars="200"/>
        <w:rPr>
          <w:rFonts w:ascii="宋体" w:hAnsi="宋体"/>
          <w:sz w:val="24"/>
        </w:rPr>
      </w:pPr>
      <w:r>
        <w:rPr>
          <w:rFonts w:hint="eastAsia" w:ascii="宋体" w:hAnsi="宋体"/>
          <w:b/>
          <w:bCs/>
          <w:sz w:val="24"/>
        </w:rPr>
        <w:t>乙方仅作为理财产品的代理销售机构，非产品的发行机构或管理机构，对产品的业绩不承担任何保证和其他经济责任，不承担理财产品的投资、兑付和风险管理责任。</w:t>
      </w:r>
      <w:r>
        <w:rPr>
          <w:rFonts w:hint="eastAsia" w:ascii="宋体" w:hAnsi="宋体"/>
          <w:sz w:val="24"/>
        </w:rPr>
        <w:t>如因理财子公司产品的发行、管理、兑付等事宜产生争议或索赔，在法律允许的范围内，甲方同意与理财子公司自行解决，乙方将为甲方之合法利益实现提供必要协助但无需就此承担责任。</w:t>
      </w:r>
    </w:p>
    <w:p>
      <w:pPr>
        <w:numPr>
          <w:ilvl w:val="0"/>
          <w:numId w:val="1"/>
        </w:numPr>
        <w:spacing w:line="460" w:lineRule="exact"/>
        <w:ind w:firstLine="482" w:firstLineChars="200"/>
        <w:rPr>
          <w:rFonts w:ascii="宋体" w:hAnsi="宋体"/>
          <w:sz w:val="24"/>
        </w:rPr>
      </w:pPr>
      <w:r>
        <w:rPr>
          <w:rFonts w:hint="eastAsia" w:ascii="宋体" w:hAnsi="宋体"/>
          <w:b/>
          <w:bCs/>
          <w:sz w:val="24"/>
        </w:rPr>
        <w:t>甲方在签署本协议前，应详细阅读产品发行机构提供的《产品说明书》、《风险揭示书》等理财产品销售文件，对产品的基本特征、交易规则、风险评级及适合购买的投资者、投资期限和范围、收益及风险、投资者权利义务等充分了解，清楚知晓甲方在乙方的风险承受能力评级，不得购买高于本人风险承受能力的理财产品。</w:t>
      </w:r>
      <w:r>
        <w:rPr>
          <w:rFonts w:hint="eastAsia" w:ascii="宋体" w:hAnsi="宋体"/>
          <w:sz w:val="24"/>
        </w:rPr>
        <w:t>个人投资风险承受能力评估结果的有效期为一年，若评估结果已超过有效期或者在评级结果有效期内发生了可能影响甲方风险承受能力的情况，甲方需通过乙方的柜面、手机银行或网上银行等乙方渠道重新进行风险承受能力评估。</w:t>
      </w:r>
    </w:p>
    <w:p>
      <w:pPr>
        <w:numPr>
          <w:ilvl w:val="0"/>
          <w:numId w:val="1"/>
        </w:numPr>
        <w:spacing w:line="460" w:lineRule="exact"/>
        <w:ind w:firstLine="480"/>
        <w:rPr>
          <w:rFonts w:ascii="宋体" w:hAnsi="宋体"/>
          <w:sz w:val="24"/>
        </w:rPr>
      </w:pPr>
      <w:r>
        <w:rPr>
          <w:rFonts w:hint="eastAsia" w:ascii="宋体" w:hAnsi="宋体"/>
          <w:b/>
          <w:bCs/>
          <w:sz w:val="24"/>
        </w:rPr>
        <w:t>理财产品参考收益率或业绩比较基准仅供甲方参考，并不作为理财产品发行机构向甲方支付理财收益的承诺。</w:t>
      </w:r>
      <w:r>
        <w:rPr>
          <w:rFonts w:hint="eastAsia" w:ascii="宋体" w:hAnsi="宋体"/>
          <w:sz w:val="24"/>
        </w:rPr>
        <w:t>受国民经济运行情况、宏观政策以及各类突发事件等影响，在理财产品存续期内，收益率水平或发生相应波动，甲方应充分认识并自愿承担上述投资风险。</w:t>
      </w:r>
    </w:p>
    <w:p>
      <w:pPr>
        <w:numPr>
          <w:ilvl w:val="0"/>
          <w:numId w:val="1"/>
        </w:numPr>
        <w:spacing w:line="460" w:lineRule="exact"/>
        <w:ind w:firstLine="482" w:firstLineChars="200"/>
        <w:rPr>
          <w:rFonts w:ascii="宋体" w:hAnsi="宋体"/>
          <w:sz w:val="24"/>
        </w:rPr>
      </w:pPr>
      <w:r>
        <w:rPr>
          <w:rFonts w:hint="eastAsia" w:ascii="宋体" w:hAnsi="宋体"/>
          <w:b/>
          <w:bCs/>
          <w:sz w:val="24"/>
        </w:rPr>
        <w:t>甲方应确认已具有完全民事行为能力。认购/申购乙方代销理财产品出于本人真实意思表示，资金来源合法且为本人自有资金，不存在使用贷款、发行债券等筹集的非自有资金投资的情况，投资行为符合法律、法规及相关监管部门的规定。</w:t>
      </w:r>
      <w:r>
        <w:rPr>
          <w:rFonts w:hint="eastAsia" w:ascii="宋体" w:hAnsi="宋体"/>
          <w:sz w:val="24"/>
        </w:rPr>
        <w:t>提供的个人信息及相关资料真实、合法、完整、有效，如有变更，甲方应及时到乙方办理相关变更手续。</w:t>
      </w:r>
    </w:p>
    <w:p>
      <w:pPr>
        <w:spacing w:line="460" w:lineRule="exact"/>
        <w:ind w:firstLine="482" w:firstLineChars="200"/>
        <w:jc w:val="left"/>
        <w:rPr>
          <w:rFonts w:ascii="楷体" w:hAnsi="楷体" w:eastAsia="楷体"/>
          <w:szCs w:val="21"/>
        </w:rPr>
      </w:pPr>
      <w:r>
        <w:rPr>
          <w:rFonts w:hint="eastAsia" w:ascii="宋体" w:hAnsi="宋体"/>
          <w:b/>
          <w:bCs/>
          <w:sz w:val="24"/>
        </w:rPr>
        <w:t>五、</w:t>
      </w:r>
      <w:r>
        <w:rPr>
          <w:rFonts w:hint="eastAsia" w:ascii="宋体" w:hAnsi="宋体"/>
          <w:sz w:val="24"/>
        </w:rPr>
        <w:t xml:space="preserve">甲方在乙方处以甲方为户名开立个人银行结算账户（以下简称“授权指定账户”），用于理财产品的资金划转及期间、到期款项的返还。  </w:t>
      </w:r>
      <w:r>
        <w:rPr>
          <w:rFonts w:ascii="宋体" w:hAnsi="宋体"/>
          <w:sz w:val="24"/>
        </w:rPr>
        <w:t xml:space="preserve">                          </w:t>
      </w:r>
    </w:p>
    <w:p>
      <w:pPr>
        <w:spacing w:line="460" w:lineRule="exact"/>
        <w:ind w:firstLine="482" w:firstLineChars="200"/>
        <w:rPr>
          <w:rFonts w:ascii="宋体" w:hAnsi="宋体"/>
          <w:b/>
          <w:bCs/>
          <w:sz w:val="24"/>
        </w:rPr>
      </w:pPr>
      <w:r>
        <w:rPr>
          <w:rFonts w:hint="eastAsia" w:ascii="宋体" w:hAnsi="宋体"/>
          <w:b/>
          <w:bCs/>
          <w:sz w:val="24"/>
        </w:rPr>
        <w:t>六、</w:t>
      </w:r>
      <w:r>
        <w:rPr>
          <w:rFonts w:hint="eastAsia" w:ascii="宋体" w:hAnsi="宋体"/>
          <w:sz w:val="24"/>
        </w:rPr>
        <w:t>甲方应在签署本协议后在“授权指定账户”存入足额的购买资金，并确保存入后的账户余额大于或</w:t>
      </w:r>
      <w:r>
        <w:rPr>
          <w:rFonts w:ascii="宋体" w:hAnsi="宋体"/>
          <w:sz w:val="24"/>
        </w:rPr>
        <w:t>等于</w:t>
      </w:r>
      <w:r>
        <w:rPr>
          <w:rFonts w:hint="eastAsia" w:ascii="宋体" w:hAnsi="宋体"/>
          <w:sz w:val="24"/>
        </w:rPr>
        <w:t>购买金额。</w:t>
      </w:r>
      <w:r>
        <w:rPr>
          <w:rFonts w:hint="eastAsia" w:ascii="宋体" w:hAnsi="宋体"/>
          <w:b/>
          <w:bCs/>
          <w:sz w:val="24"/>
        </w:rPr>
        <w:t>因甲方账户资金余额不足，而导致购买不成功，本协议自动终止，乙方不计付理财产品任何收益，并且乙方对此不承担任何责任。</w:t>
      </w:r>
    </w:p>
    <w:p>
      <w:pPr>
        <w:spacing w:line="460" w:lineRule="exact"/>
        <w:ind w:firstLine="482" w:firstLineChars="200"/>
        <w:rPr>
          <w:rFonts w:ascii="宋体" w:hAnsi="宋体"/>
          <w:b/>
          <w:bCs/>
          <w:sz w:val="24"/>
        </w:rPr>
      </w:pPr>
      <w:r>
        <w:rPr>
          <w:rFonts w:hint="eastAsia" w:ascii="宋体" w:hAnsi="宋体"/>
          <w:b/>
          <w:bCs/>
          <w:sz w:val="24"/>
        </w:rPr>
        <w:t>在理财产品发行期内，如因有权机关采取强制措施致使甲方“授权指定账户”购买资金部分或全部被扣划或被冻结而导致购买不成功的，本协议自动终止，乙方不计付理财产品任何收益及相应被扣划的购买资金部分，并且乙方对此不承担任何责任。</w:t>
      </w:r>
    </w:p>
    <w:p>
      <w:pPr>
        <w:spacing w:line="500" w:lineRule="exact"/>
        <w:ind w:firstLine="482" w:firstLineChars="200"/>
        <w:rPr>
          <w:rFonts w:ascii="宋体" w:hAnsi="宋体"/>
          <w:szCs w:val="21"/>
        </w:rPr>
      </w:pPr>
      <w:r>
        <w:rPr>
          <w:rFonts w:hint="eastAsia" w:ascii="宋体" w:hAnsi="宋体"/>
          <w:b/>
          <w:bCs/>
          <w:sz w:val="24"/>
        </w:rPr>
        <w:t>七、</w:t>
      </w:r>
      <w:r>
        <w:rPr>
          <w:rFonts w:hint="eastAsia" w:ascii="宋体" w:hAnsi="宋体"/>
          <w:sz w:val="24"/>
        </w:rPr>
        <w:t>甲方认购\申购理财产品时，乙方将冻结甲方“授权指定账户”内的购买金额，并按照约定时间划转至产品发行人指定账户。购买资金冻结期间，按乙方公布的活期存款利率计付利息。</w:t>
      </w:r>
      <w:r>
        <w:rPr>
          <w:rFonts w:hint="eastAsia" w:ascii="宋体" w:hAnsi="宋体"/>
          <w:b/>
          <w:sz w:val="24"/>
        </w:rPr>
        <w:t>购买资金自划转之日起至返还甲方账户期间不计付存款利息。</w:t>
      </w:r>
      <w:r>
        <w:rPr>
          <w:rFonts w:hint="eastAsia" w:ascii="宋体" w:hAnsi="宋体"/>
          <w:sz w:val="24"/>
        </w:rPr>
        <w:t>购买资金冻结期间，甲方不得提取或转移已冻结资金。</w:t>
      </w:r>
    </w:p>
    <w:p>
      <w:pPr>
        <w:spacing w:line="460" w:lineRule="exact"/>
        <w:ind w:firstLine="482" w:firstLineChars="200"/>
        <w:rPr>
          <w:rFonts w:ascii="宋体" w:hAnsi="宋体"/>
          <w:b/>
          <w:bCs/>
          <w:sz w:val="24"/>
        </w:rPr>
      </w:pPr>
      <w:r>
        <w:rPr>
          <w:rFonts w:hint="eastAsia" w:ascii="宋体" w:hAnsi="宋体"/>
          <w:b/>
          <w:bCs/>
          <w:sz w:val="24"/>
        </w:rPr>
        <w:t>八、本协议终止前，甲方可以变更“授权指定账户”,但该账户存在在途交易的情形除外,在途交易指未完成资金清算及份额确认的交易,包括但不限于开放式产品的预受理交易、封闭式产品处于募集期的认购交易。如“授权指定账户”为甲方在我行的唯一理财产品签约账户且有在途交易或存续产品，则该“授权指定账户”不得销户。若发生因甲方注销“授权指定账户”造成无法正常领取到期或期间款项的，乙方不承担任何责任。</w:t>
      </w:r>
    </w:p>
    <w:p>
      <w:pPr>
        <w:spacing w:line="460" w:lineRule="exact"/>
        <w:ind w:firstLine="482" w:firstLineChars="200"/>
        <w:rPr>
          <w:rFonts w:ascii="宋体" w:hAnsi="宋体"/>
          <w:bCs/>
          <w:sz w:val="24"/>
        </w:rPr>
      </w:pPr>
      <w:r>
        <w:rPr>
          <w:rFonts w:hint="eastAsia" w:ascii="宋体" w:hAnsi="宋体"/>
          <w:b/>
          <w:sz w:val="24"/>
        </w:rPr>
        <w:t>九、甲方同意并授权乙方有权根据代销理财业务调取收集乙方开户留存的有效身份证件或者其他身份证明文件信息，并留存业务所需的个人金融信息。</w:t>
      </w:r>
      <w:r>
        <w:rPr>
          <w:rFonts w:hint="eastAsia" w:ascii="宋体" w:hAnsi="宋体"/>
          <w:bCs/>
          <w:sz w:val="24"/>
        </w:rPr>
        <w:t>乙方将恪守</w:t>
      </w:r>
      <w:r>
        <w:rPr>
          <w:rFonts w:ascii="宋体" w:hAnsi="宋体"/>
          <w:bCs/>
          <w:sz w:val="24"/>
        </w:rPr>
        <w:t>对</w:t>
      </w:r>
      <w:r>
        <w:rPr>
          <w:rFonts w:hint="eastAsia" w:ascii="宋体" w:hAnsi="宋体"/>
          <w:bCs/>
          <w:sz w:val="24"/>
        </w:rPr>
        <w:t>甲</w:t>
      </w:r>
      <w:r>
        <w:rPr>
          <w:rFonts w:ascii="宋体" w:hAnsi="宋体"/>
          <w:bCs/>
          <w:sz w:val="24"/>
        </w:rPr>
        <w:t>方信息的保密义务，并严格按照</w:t>
      </w:r>
      <w:r>
        <w:rPr>
          <w:rFonts w:hint="eastAsia" w:ascii="宋体" w:hAnsi="宋体"/>
          <w:bCs/>
          <w:sz w:val="24"/>
        </w:rPr>
        <w:t>甲</w:t>
      </w:r>
      <w:r>
        <w:rPr>
          <w:rFonts w:ascii="宋体" w:hAnsi="宋体"/>
          <w:bCs/>
          <w:sz w:val="24"/>
        </w:rPr>
        <w:t>方授权或双方约定</w:t>
      </w:r>
      <w:r>
        <w:rPr>
          <w:rFonts w:hint="eastAsia" w:ascii="宋体" w:hAnsi="宋体"/>
          <w:bCs/>
          <w:sz w:val="24"/>
        </w:rPr>
        <w:t>使用</w:t>
      </w:r>
      <w:r>
        <w:rPr>
          <w:rFonts w:ascii="宋体" w:hAnsi="宋体"/>
          <w:bCs/>
          <w:sz w:val="24"/>
        </w:rPr>
        <w:t>和披露</w:t>
      </w:r>
      <w:r>
        <w:rPr>
          <w:rFonts w:hint="eastAsia" w:ascii="宋体" w:hAnsi="宋体"/>
          <w:bCs/>
          <w:sz w:val="24"/>
        </w:rPr>
        <w:t>甲</w:t>
      </w:r>
      <w:r>
        <w:rPr>
          <w:rFonts w:ascii="宋体" w:hAnsi="宋体"/>
          <w:bCs/>
          <w:sz w:val="24"/>
        </w:rPr>
        <w:t>方信息，</w:t>
      </w:r>
      <w:r>
        <w:rPr>
          <w:rFonts w:hint="eastAsia" w:ascii="宋体" w:hAnsi="宋体"/>
          <w:bCs/>
          <w:sz w:val="24"/>
        </w:rPr>
        <w:t>但为</w:t>
      </w:r>
      <w:r>
        <w:rPr>
          <w:rFonts w:ascii="宋体" w:hAnsi="宋体"/>
          <w:bCs/>
          <w:sz w:val="24"/>
        </w:rPr>
        <w:t>履行</w:t>
      </w:r>
      <w:r>
        <w:rPr>
          <w:rFonts w:hint="eastAsia" w:ascii="宋体" w:hAnsi="宋体"/>
          <w:bCs/>
          <w:sz w:val="24"/>
        </w:rPr>
        <w:t>本协议之目的</w:t>
      </w:r>
      <w:r>
        <w:rPr>
          <w:rFonts w:ascii="宋体" w:hAnsi="宋体"/>
          <w:bCs/>
          <w:sz w:val="24"/>
        </w:rPr>
        <w:t>而向</w:t>
      </w:r>
      <w:r>
        <w:rPr>
          <w:rFonts w:hint="eastAsia" w:ascii="宋体" w:hAnsi="宋体"/>
          <w:bCs/>
          <w:sz w:val="24"/>
        </w:rPr>
        <w:t>乙方分支机构或合作服务机构提供的或法律法规、监管部门另有要求</w:t>
      </w:r>
      <w:r>
        <w:rPr>
          <w:rFonts w:ascii="宋体" w:hAnsi="宋体"/>
          <w:bCs/>
          <w:sz w:val="24"/>
        </w:rPr>
        <w:t>的除外</w:t>
      </w:r>
      <w:r>
        <w:rPr>
          <w:rFonts w:hint="eastAsia" w:ascii="宋体" w:hAnsi="宋体"/>
          <w:bCs/>
          <w:sz w:val="24"/>
        </w:rPr>
        <w:t>。</w:t>
      </w:r>
    </w:p>
    <w:p>
      <w:pPr>
        <w:spacing w:line="460" w:lineRule="exact"/>
        <w:ind w:firstLine="482" w:firstLineChars="200"/>
        <w:rPr>
          <w:rFonts w:ascii="宋体" w:hAnsi="宋体"/>
          <w:b/>
          <w:sz w:val="24"/>
        </w:rPr>
      </w:pPr>
      <w:r>
        <w:rPr>
          <w:rFonts w:hint="eastAsia" w:ascii="宋体" w:hAnsi="宋体"/>
          <w:b/>
          <w:bCs/>
          <w:sz w:val="24"/>
        </w:rPr>
        <w:t>十、</w:t>
      </w:r>
      <w:r>
        <w:rPr>
          <w:rFonts w:hint="eastAsia" w:ascii="宋体" w:hAnsi="宋体"/>
          <w:b/>
          <w:sz w:val="24"/>
        </w:rPr>
        <w:t>甲方同意并授权乙方可通过短信、信函、电子邮件、微信公众号、银行客户端APP信息推送等形式向甲方发送通知，内容包括银行账户基本情况、持有产品的基本情况、功能变更、产品服务等。甲方如不同意本条约定，可在收到相关信息后回复指定字符或联系乙方客服电话进行退订。</w:t>
      </w:r>
    </w:p>
    <w:p>
      <w:pPr>
        <w:spacing w:line="460" w:lineRule="exact"/>
        <w:ind w:firstLine="482" w:firstLineChars="200"/>
        <w:rPr>
          <w:rFonts w:ascii="宋体" w:hAnsi="宋体"/>
          <w:b/>
          <w:sz w:val="24"/>
        </w:rPr>
      </w:pPr>
      <w:r>
        <w:rPr>
          <w:rFonts w:hint="eastAsia" w:ascii="宋体" w:hAnsi="宋体"/>
          <w:b/>
          <w:sz w:val="24"/>
        </w:rPr>
        <w:t>十一、甲方需妥善保管好个人信息、账户信息、短信验证码、密码等，凡需甲方输入短信验证码、密码等办理的业务，均视为甲方本人办理，因上述信息保管不善所造成的损失均由甲方承担。</w:t>
      </w:r>
    </w:p>
    <w:p>
      <w:pPr>
        <w:spacing w:line="460" w:lineRule="exact"/>
        <w:ind w:firstLine="482" w:firstLineChars="200"/>
        <w:rPr>
          <w:rFonts w:ascii="宋体" w:hAnsi="宋体"/>
          <w:b/>
          <w:sz w:val="24"/>
        </w:rPr>
      </w:pPr>
      <w:r>
        <w:rPr>
          <w:rFonts w:hint="eastAsia" w:ascii="宋体" w:hAnsi="宋体"/>
          <w:b/>
          <w:sz w:val="24"/>
        </w:rPr>
        <w:t>十二、甲方承诺严格遵守反洗钱相关法律法规和规章制度，不会参与或协助洗钱、恐怖融资、逃税活动等违法行为。一旦乙方发现或有合理理由怀疑甲方涉及相关违法活动的，乙方有权提前终止本协议，因此对甲方造成的损失，乙方不承担责任。</w:t>
      </w:r>
    </w:p>
    <w:p>
      <w:pPr>
        <w:spacing w:line="460" w:lineRule="exact"/>
        <w:ind w:firstLine="482" w:firstLineChars="200"/>
        <w:rPr>
          <w:rFonts w:ascii="宋体" w:hAnsi="宋体"/>
          <w:sz w:val="24"/>
        </w:rPr>
      </w:pPr>
      <w:r>
        <w:rPr>
          <w:rFonts w:hint="eastAsia" w:ascii="宋体" w:hAnsi="宋体"/>
          <w:b/>
          <w:bCs/>
          <w:sz w:val="24"/>
        </w:rPr>
        <w:t>十三</w:t>
      </w:r>
      <w:r>
        <w:rPr>
          <w:rFonts w:hint="eastAsia" w:ascii="宋体" w:hAnsi="宋体"/>
          <w:sz w:val="24"/>
        </w:rPr>
        <w:t>、免责条款</w:t>
      </w:r>
    </w:p>
    <w:p>
      <w:pPr>
        <w:spacing w:line="460" w:lineRule="exact"/>
        <w:ind w:firstLine="480" w:firstLineChars="200"/>
        <w:rPr>
          <w:rFonts w:ascii="宋体" w:hAnsi="宋体"/>
          <w:sz w:val="24"/>
        </w:rPr>
      </w:pPr>
      <w:r>
        <w:rPr>
          <w:rFonts w:hint="eastAsia" w:ascii="宋体" w:hAnsi="宋体"/>
          <w:sz w:val="24"/>
        </w:rPr>
        <w:t>（一）由于地震、火灾、战争、罢工、疫情防控或者国家有关法律、法规、规章、政策的改变、紧急措施的出台等不可抗力导致的交易中断、延误、禁止等任何风险及损失，乙方不承担责任，但应在条件允许的情况下通知甲方，并采取一切必要的补救措施以减小不可抗力造成的损失。</w:t>
      </w:r>
    </w:p>
    <w:p>
      <w:pPr>
        <w:spacing w:line="460" w:lineRule="exact"/>
        <w:ind w:firstLine="480" w:firstLineChars="200"/>
        <w:rPr>
          <w:rFonts w:ascii="宋体" w:hAnsi="宋体"/>
          <w:sz w:val="24"/>
        </w:rPr>
      </w:pPr>
      <w:r>
        <w:rPr>
          <w:rFonts w:hint="eastAsia" w:ascii="宋体" w:hAnsi="宋体"/>
          <w:sz w:val="24"/>
        </w:rPr>
        <w:t>（二）在理财产品发行期内，甲方“授权指定账户”内购买资金全部或部分被有权机关冻结、扣划或处置，乙方不承担责任。</w:t>
      </w:r>
    </w:p>
    <w:p>
      <w:pPr>
        <w:spacing w:line="460" w:lineRule="exact"/>
        <w:ind w:firstLine="480" w:firstLineChars="200"/>
        <w:rPr>
          <w:rFonts w:ascii="宋体" w:hAnsi="宋体"/>
          <w:sz w:val="24"/>
        </w:rPr>
      </w:pPr>
      <w:r>
        <w:rPr>
          <w:rFonts w:hint="eastAsia" w:ascii="宋体" w:hAnsi="宋体"/>
          <w:sz w:val="24"/>
        </w:rPr>
        <w:t>（三）在理财产品存续期内，甲方购买的理财产品被有权机关冻结、扣划或处置，乙方不承担责任。</w:t>
      </w:r>
    </w:p>
    <w:p>
      <w:pPr>
        <w:spacing w:line="460" w:lineRule="exact"/>
        <w:ind w:firstLine="482" w:firstLineChars="200"/>
        <w:rPr>
          <w:rFonts w:ascii="宋体" w:hAnsi="宋体"/>
          <w:b/>
          <w:bCs/>
          <w:sz w:val="24"/>
        </w:rPr>
      </w:pPr>
      <w:r>
        <w:rPr>
          <w:rFonts w:hint="eastAsia" w:ascii="宋体" w:hAnsi="宋体"/>
          <w:b/>
          <w:bCs/>
          <w:sz w:val="24"/>
        </w:rPr>
        <w:t>十四、本协议书适用中华人民共和国大陆地区的法律。本协议项下的及与之有关的一切争议，双方应首先友好协商解决，协商不成的，任何一方应向乙方所在地法院提起诉讼。</w:t>
      </w:r>
    </w:p>
    <w:p>
      <w:pPr>
        <w:spacing w:line="460" w:lineRule="exact"/>
        <w:ind w:firstLine="482" w:firstLineChars="200"/>
        <w:rPr>
          <w:rFonts w:ascii="宋体" w:hAnsi="宋体"/>
          <w:sz w:val="24"/>
        </w:rPr>
      </w:pPr>
      <w:r>
        <w:rPr>
          <w:rFonts w:hint="eastAsia" w:ascii="宋体" w:hAnsi="宋体"/>
          <w:b/>
          <w:bCs/>
          <w:sz w:val="24"/>
        </w:rPr>
        <w:t>十五、</w:t>
      </w:r>
      <w:r>
        <w:rPr>
          <w:rFonts w:hint="eastAsia" w:ascii="宋体" w:hAnsi="宋体"/>
          <w:sz w:val="24"/>
        </w:rPr>
        <w:t xml:space="preserve">乙方有关事项的通知、协议等文件以及就协议发生纠纷时相关文件和法律文书送达，可以通过邮寄、电子设备终端等方式按甲方向乙方提供的联系地址进行送达，上述送达地址的适用范围包括非诉阶段和争议进入诉讼程序后的一审、二审、再审和执行程序。 </w:t>
      </w:r>
    </w:p>
    <w:p>
      <w:pPr>
        <w:spacing w:line="460" w:lineRule="exact"/>
        <w:ind w:firstLine="480" w:firstLineChars="200"/>
        <w:rPr>
          <w:rFonts w:ascii="宋体" w:hAnsi="宋体"/>
          <w:sz w:val="24"/>
        </w:rPr>
      </w:pPr>
      <w:r>
        <w:rPr>
          <w:rFonts w:hint="eastAsia" w:ascii="宋体" w:hAnsi="宋体"/>
          <w:sz w:val="24"/>
        </w:rPr>
        <w:t>甲方送达地址等任一事项发生变更的，应最迟于两个工作日内书面通知乙方。</w:t>
      </w:r>
    </w:p>
    <w:p>
      <w:pPr>
        <w:spacing w:line="460" w:lineRule="exact"/>
        <w:ind w:firstLine="480" w:firstLineChars="200"/>
        <w:rPr>
          <w:rFonts w:ascii="宋体" w:hAnsi="宋体"/>
          <w:sz w:val="24"/>
        </w:rPr>
      </w:pPr>
      <w:r>
        <w:rPr>
          <w:rFonts w:hint="eastAsia" w:ascii="宋体" w:hAnsi="宋体"/>
          <w:sz w:val="24"/>
        </w:rPr>
        <w:t>甲方未按前述方式履行通知义务，其所确认的送达地址仍视为有效送达地址。若甲方送达地址变更未及时通知乙方，乙方按原送达地址送达的，或因甲方提供的变更送达地址不准确导致被退回的，均视为已送达。</w:t>
      </w:r>
    </w:p>
    <w:p>
      <w:pPr>
        <w:spacing w:line="460" w:lineRule="exact"/>
        <w:ind w:firstLine="480" w:firstLineChars="200"/>
        <w:rPr>
          <w:rFonts w:ascii="宋体" w:hAnsi="宋体"/>
          <w:sz w:val="24"/>
        </w:rPr>
      </w:pPr>
      <w:r>
        <w:rPr>
          <w:rFonts w:hint="eastAsia" w:ascii="宋体" w:hAnsi="宋体"/>
          <w:sz w:val="24"/>
        </w:rPr>
        <w:t>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w:t>
      </w:r>
    </w:p>
    <w:p>
      <w:pPr>
        <w:spacing w:line="460" w:lineRule="exact"/>
        <w:ind w:firstLine="482" w:firstLineChars="200"/>
        <w:rPr>
          <w:rFonts w:ascii="宋体" w:hAnsi="宋体"/>
          <w:sz w:val="24"/>
        </w:rPr>
      </w:pPr>
      <w:r>
        <w:rPr>
          <w:rFonts w:hint="eastAsia" w:ascii="宋体" w:hAnsi="宋体"/>
          <w:b/>
          <w:bCs/>
          <w:sz w:val="24"/>
        </w:rPr>
        <w:t>十六、</w:t>
      </w:r>
      <w:r>
        <w:rPr>
          <w:rFonts w:hint="eastAsia" w:ascii="宋体" w:hAnsi="宋体"/>
          <w:sz w:val="24"/>
        </w:rPr>
        <w:t>甲方若通过乙方柜面渠道购买理财产品的，本协议书自甲方签字、乙方经办人员签章并加盖业务专用章后生效，协议一式贰份，双方各执一份，且具有同等法律效力。</w:t>
      </w:r>
    </w:p>
    <w:p>
      <w:pPr>
        <w:spacing w:line="460" w:lineRule="exact"/>
        <w:ind w:firstLine="480" w:firstLineChars="200"/>
        <w:rPr>
          <w:rFonts w:ascii="宋体" w:hAnsi="宋体"/>
          <w:sz w:val="24"/>
        </w:rPr>
      </w:pPr>
      <w:r>
        <w:rPr>
          <w:rFonts w:hint="eastAsia" w:ascii="宋体" w:hAnsi="宋体"/>
          <w:sz w:val="24"/>
        </w:rPr>
        <w:t>根据《中华人民共和国</w:t>
      </w:r>
      <w:r>
        <w:rPr>
          <w:rFonts w:hint="eastAsia" w:ascii="宋体" w:hAnsi="宋体"/>
          <w:sz w:val="24"/>
          <w:lang w:val="en-US" w:eastAsia="zh-CN"/>
        </w:rPr>
        <w:t>民法典</w:t>
      </w:r>
      <w:r>
        <w:rPr>
          <w:rFonts w:hint="eastAsia" w:ascii="宋体" w:hAnsi="宋体"/>
          <w:sz w:val="24"/>
        </w:rPr>
        <w:t>》、《中华人民共和国电子签名法》关于民事合同使用数据电文、电子签名的规定，采用电子签名签订的电子签名合同、风险揭示书具有与纸质合同、纸质风险揭示书同等的法律效力。以此作为法律依据，本着提高合同签署效率的目的，投资者同意自本代销理财产品协议书签订之日起，投资者在</w:t>
      </w:r>
      <w:r>
        <w:rPr>
          <w:rFonts w:hint="eastAsia" w:ascii="宋体" w:hAnsi="宋体"/>
          <w:sz w:val="24"/>
          <w:lang w:eastAsia="zh-CN"/>
        </w:rPr>
        <w:t>代理销售机构</w:t>
      </w:r>
      <w:r>
        <w:rPr>
          <w:rFonts w:hint="eastAsia" w:ascii="宋体" w:hAnsi="宋体"/>
          <w:sz w:val="24"/>
        </w:rPr>
        <w:t>交易理财产品过程中，可以使用电子合同、电子签名。投资者通过身份验证</w:t>
      </w:r>
      <w:r>
        <w:rPr>
          <w:rFonts w:hint="eastAsia" w:ascii="宋体" w:hAnsi="宋体"/>
          <w:sz w:val="24"/>
          <w:lang w:eastAsia="zh-CN"/>
        </w:rPr>
        <w:t>代理销售机构</w:t>
      </w:r>
      <w:r>
        <w:rPr>
          <w:rFonts w:hint="eastAsia" w:ascii="宋体" w:hAnsi="宋体"/>
          <w:sz w:val="24"/>
        </w:rPr>
        <w:t>指定的网络系统，确认同意接受相关电子签名合同，风险揭示书或其他文书的，视为签署合同、签署风险揭示书或其他文书，与在纸质合同、纸质风险揭示书或其他文书上手写抄写、签名或者盖章具有同等的法律效力，无须另行签署纸质合同或纸质风险揭示书或其他文书。</w:t>
      </w:r>
    </w:p>
    <w:p>
      <w:pPr>
        <w:spacing w:line="460" w:lineRule="exact"/>
        <w:ind w:firstLine="480" w:firstLineChars="200"/>
        <w:rPr>
          <w:rFonts w:ascii="宋体" w:hAnsi="宋体"/>
          <w:sz w:val="24"/>
        </w:rPr>
      </w:pPr>
      <w:r>
        <w:rPr>
          <w:rFonts w:hint="eastAsia" w:ascii="宋体" w:hAnsi="宋体"/>
          <w:sz w:val="24"/>
        </w:rPr>
        <w:t>投资者应妥善保管和使用本人的签约账号、客户号、密码及电子身份证书，经投资者密码登录本人账户后的所有操作，以及</w:t>
      </w:r>
      <w:r>
        <w:rPr>
          <w:rFonts w:hint="eastAsia" w:ascii="宋体" w:hAnsi="宋体"/>
          <w:sz w:val="24"/>
          <w:lang w:eastAsia="zh-CN"/>
        </w:rPr>
        <w:t>代理销售机构</w:t>
      </w:r>
      <w:r>
        <w:rPr>
          <w:rFonts w:hint="eastAsia" w:ascii="宋体" w:hAnsi="宋体"/>
          <w:sz w:val="24"/>
        </w:rPr>
        <w:t>根据投资者的业务指令办理业务，对所有使用上述信息进行的操作均视为投资者本人行为，该操作所产生的电子信息记录均为</w:t>
      </w:r>
      <w:r>
        <w:rPr>
          <w:rFonts w:hint="eastAsia" w:ascii="宋体" w:hAnsi="宋体"/>
          <w:sz w:val="24"/>
          <w:lang w:eastAsia="zh-CN"/>
        </w:rPr>
        <w:t>代理销售机构</w:t>
      </w:r>
      <w:r>
        <w:rPr>
          <w:rFonts w:hint="eastAsia" w:ascii="宋体" w:hAnsi="宋体"/>
          <w:sz w:val="24"/>
        </w:rPr>
        <w:t>处理电子签名合同业务的有效凭据，投资者承担由此产生的一切法律后果。</w:t>
      </w:r>
    </w:p>
    <w:p>
      <w:pPr>
        <w:spacing w:line="460" w:lineRule="exact"/>
        <w:ind w:firstLine="482" w:firstLineChars="200"/>
        <w:rPr>
          <w:rFonts w:ascii="宋体" w:hAnsi="宋体" w:cs="Arial Unicode MS"/>
          <w:b/>
          <w:bCs/>
          <w:color w:val="000000"/>
          <w:kern w:val="0"/>
          <w:sz w:val="24"/>
        </w:rPr>
      </w:pPr>
      <w:r>
        <w:rPr>
          <w:rFonts w:hint="eastAsia" w:ascii="宋体" w:hAnsi="宋体"/>
          <w:b/>
          <w:sz w:val="24"/>
        </w:rPr>
        <w:t>十七、</w:t>
      </w:r>
      <w:r>
        <w:rPr>
          <w:rFonts w:hint="eastAsia" w:ascii="宋体" w:hAnsi="宋体"/>
          <w:bCs/>
          <w:sz w:val="24"/>
        </w:rPr>
        <w:t>本协议项下各方权利义务履行完毕之日，本协议自动终止。</w:t>
      </w:r>
    </w:p>
    <w:p>
      <w:pPr>
        <w:spacing w:line="460" w:lineRule="exact"/>
        <w:rPr>
          <w:rFonts w:ascii="宋体" w:hAnsi="宋体"/>
          <w:b/>
          <w:sz w:val="24"/>
        </w:rPr>
      </w:pPr>
      <w:r>
        <w:rPr>
          <w:rFonts w:ascii="宋体" w:hAnsi="宋体"/>
          <w:sz w:val="24"/>
        </w:rPr>
        <w:br w:type="page"/>
      </w:r>
    </w:p>
    <w:p>
      <w:pPr>
        <w:spacing w:line="460" w:lineRule="exact"/>
        <w:ind w:firstLine="482" w:firstLineChars="200"/>
        <w:rPr>
          <w:rFonts w:ascii="宋体" w:hAnsi="宋体"/>
          <w:b/>
          <w:sz w:val="24"/>
        </w:rPr>
      </w:pPr>
      <w:r>
        <w:rPr>
          <w:rFonts w:hint="eastAsia" w:ascii="宋体" w:hAnsi="宋体"/>
          <w:b/>
          <w:sz w:val="24"/>
        </w:rPr>
        <w:t>甲方重要声明：</w:t>
      </w:r>
    </w:p>
    <w:p>
      <w:pPr>
        <w:spacing w:line="460" w:lineRule="exact"/>
        <w:ind w:firstLine="482" w:firstLineChars="200"/>
        <w:rPr>
          <w:rFonts w:ascii="宋体" w:hAnsi="宋体"/>
          <w:b/>
          <w:sz w:val="24"/>
        </w:rPr>
      </w:pPr>
      <w:r>
        <w:rPr>
          <w:rFonts w:hint="eastAsia" w:ascii="宋体" w:hAnsi="宋体"/>
          <w:b/>
          <w:sz w:val="24"/>
        </w:rPr>
        <w:t>在签署本协议书前，本人已认真阅读本协议书及客户权益须知，充分认识理财产品的投资风险以及乙方的</w:t>
      </w:r>
      <w:r>
        <w:rPr>
          <w:rFonts w:ascii="宋体" w:hAnsi="宋体"/>
          <w:b/>
          <w:sz w:val="24"/>
        </w:rPr>
        <w:t>免责</w:t>
      </w:r>
      <w:r>
        <w:rPr>
          <w:rFonts w:hint="eastAsia" w:ascii="宋体" w:hAnsi="宋体"/>
          <w:b/>
          <w:sz w:val="24"/>
        </w:rPr>
        <w:t>情形，乙方就本协议书的全部条款已向本人进行了详细地说明和解释，双方对合同的全部条款均无疑义，并对有关权利义务和责任限制或免除条款的法律含义有准确无误的理解。</w:t>
      </w:r>
    </w:p>
    <w:p>
      <w:pPr>
        <w:spacing w:line="460" w:lineRule="exact"/>
        <w:ind w:firstLine="482" w:firstLineChars="200"/>
        <w:rPr>
          <w:rFonts w:ascii="宋体" w:hAnsi="宋体"/>
          <w:b/>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甲方签字：                    乙方（盖章）：</w:t>
      </w:r>
    </w:p>
    <w:p>
      <w:pPr>
        <w:spacing w:line="460" w:lineRule="exact"/>
        <w:ind w:firstLine="480" w:firstLineChars="200"/>
        <w:outlineLvl w:val="1"/>
        <w:rPr>
          <w:rFonts w:ascii="宋体" w:hAnsi="宋体"/>
          <w:sz w:val="24"/>
        </w:rPr>
      </w:pPr>
      <w:r>
        <w:rPr>
          <w:rFonts w:hint="eastAsia" w:ascii="宋体" w:hAnsi="宋体"/>
          <w:sz w:val="24"/>
        </w:rPr>
        <w:t xml:space="preserve">                              经办人员（签章）：</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签署日期：</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rPr>
          <w:rFonts w:hint="eastAsia" w:ascii="宋体" w:hAnsi="宋体"/>
          <w:sz w:val="22"/>
          <w:szCs w:val="22"/>
          <w:lang w:val="zh-CN"/>
        </w:rPr>
      </w:pPr>
      <w:bookmarkStart w:id="0" w:name="_GoBack"/>
      <w:bookmarkEnd w:id="0"/>
    </w:p>
    <w:sectPr>
      <w:footerReference r:id="rId3" w:type="default"/>
      <w:footerReference r:id="rId4" w:type="even"/>
      <w:pgSz w:w="11906" w:h="16838"/>
      <w:pgMar w:top="1418" w:right="1274"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7413871"/>
    </w:sdtPr>
    <w:sdtContent>
      <w:p>
        <w:pPr>
          <w:pStyle w:val="9"/>
          <w:jc w:val="center"/>
        </w:pPr>
        <w:r>
          <w:fldChar w:fldCharType="begin"/>
        </w:r>
        <w:r>
          <w:instrText xml:space="preserve">PAGE   \* MERGEFORMAT</w:instrText>
        </w:r>
        <w:r>
          <w:fldChar w:fldCharType="separate"/>
        </w:r>
        <w:r>
          <w:rPr>
            <w:lang w:val="zh-CN"/>
          </w:rPr>
          <w:t>23</w:t>
        </w:r>
        <w: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9"/>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8AA15B"/>
    <w:multiLevelType w:val="singleLevel"/>
    <w:tmpl w:val="FF8AA15B"/>
    <w:lvl w:ilvl="0" w:tentative="0">
      <w:start w:val="1"/>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8B"/>
    <w:rsid w:val="00000E67"/>
    <w:rsid w:val="00007562"/>
    <w:rsid w:val="00007F66"/>
    <w:rsid w:val="00010D15"/>
    <w:rsid w:val="00012991"/>
    <w:rsid w:val="00013613"/>
    <w:rsid w:val="000141E3"/>
    <w:rsid w:val="00015BDC"/>
    <w:rsid w:val="00017562"/>
    <w:rsid w:val="0002093F"/>
    <w:rsid w:val="00022DCB"/>
    <w:rsid w:val="0002371E"/>
    <w:rsid w:val="000264F8"/>
    <w:rsid w:val="00030BC6"/>
    <w:rsid w:val="00033DF0"/>
    <w:rsid w:val="00034577"/>
    <w:rsid w:val="00042B7D"/>
    <w:rsid w:val="00042ED3"/>
    <w:rsid w:val="00046513"/>
    <w:rsid w:val="00051E26"/>
    <w:rsid w:val="000533A7"/>
    <w:rsid w:val="000561E1"/>
    <w:rsid w:val="00064A9D"/>
    <w:rsid w:val="000654FF"/>
    <w:rsid w:val="000657F2"/>
    <w:rsid w:val="0007264B"/>
    <w:rsid w:val="000741A2"/>
    <w:rsid w:val="00077189"/>
    <w:rsid w:val="00077E38"/>
    <w:rsid w:val="0008161C"/>
    <w:rsid w:val="00081EBD"/>
    <w:rsid w:val="0008446C"/>
    <w:rsid w:val="00092310"/>
    <w:rsid w:val="00092376"/>
    <w:rsid w:val="00093579"/>
    <w:rsid w:val="000A702D"/>
    <w:rsid w:val="000B20BF"/>
    <w:rsid w:val="000B440B"/>
    <w:rsid w:val="000B4ED3"/>
    <w:rsid w:val="000B5CD5"/>
    <w:rsid w:val="000B7ACD"/>
    <w:rsid w:val="000B7B4B"/>
    <w:rsid w:val="000B7CCF"/>
    <w:rsid w:val="000C4255"/>
    <w:rsid w:val="000D1880"/>
    <w:rsid w:val="000D347A"/>
    <w:rsid w:val="000D4B28"/>
    <w:rsid w:val="000D6A71"/>
    <w:rsid w:val="000D79B0"/>
    <w:rsid w:val="000E0F28"/>
    <w:rsid w:val="000E51E2"/>
    <w:rsid w:val="000E5557"/>
    <w:rsid w:val="000E5980"/>
    <w:rsid w:val="000E7F5D"/>
    <w:rsid w:val="000F0A2E"/>
    <w:rsid w:val="000F2712"/>
    <w:rsid w:val="000F3C27"/>
    <w:rsid w:val="000F561F"/>
    <w:rsid w:val="000F6C16"/>
    <w:rsid w:val="000F79FB"/>
    <w:rsid w:val="00102D6C"/>
    <w:rsid w:val="0010421C"/>
    <w:rsid w:val="00107E2E"/>
    <w:rsid w:val="00111630"/>
    <w:rsid w:val="00111A75"/>
    <w:rsid w:val="00111DCB"/>
    <w:rsid w:val="00112FD7"/>
    <w:rsid w:val="00114B9E"/>
    <w:rsid w:val="00116F5B"/>
    <w:rsid w:val="0012032A"/>
    <w:rsid w:val="00124763"/>
    <w:rsid w:val="00125179"/>
    <w:rsid w:val="00132FD3"/>
    <w:rsid w:val="00133008"/>
    <w:rsid w:val="0013346E"/>
    <w:rsid w:val="00133EDD"/>
    <w:rsid w:val="00134A78"/>
    <w:rsid w:val="00134C17"/>
    <w:rsid w:val="001353C2"/>
    <w:rsid w:val="0013646F"/>
    <w:rsid w:val="00137623"/>
    <w:rsid w:val="00141D10"/>
    <w:rsid w:val="00141F24"/>
    <w:rsid w:val="00142C7B"/>
    <w:rsid w:val="00143C84"/>
    <w:rsid w:val="00146A07"/>
    <w:rsid w:val="00146BD3"/>
    <w:rsid w:val="001535D7"/>
    <w:rsid w:val="00161063"/>
    <w:rsid w:val="00163EE9"/>
    <w:rsid w:val="00165F56"/>
    <w:rsid w:val="001732A7"/>
    <w:rsid w:val="0017332E"/>
    <w:rsid w:val="00175C2B"/>
    <w:rsid w:val="00176015"/>
    <w:rsid w:val="00176400"/>
    <w:rsid w:val="00177B15"/>
    <w:rsid w:val="00180AD8"/>
    <w:rsid w:val="001828DE"/>
    <w:rsid w:val="00184843"/>
    <w:rsid w:val="001862B1"/>
    <w:rsid w:val="001905FA"/>
    <w:rsid w:val="00192B86"/>
    <w:rsid w:val="00193E93"/>
    <w:rsid w:val="00194819"/>
    <w:rsid w:val="00196E81"/>
    <w:rsid w:val="001A1A7F"/>
    <w:rsid w:val="001A3EB1"/>
    <w:rsid w:val="001A6D14"/>
    <w:rsid w:val="001A71CC"/>
    <w:rsid w:val="001B0CFC"/>
    <w:rsid w:val="001B2126"/>
    <w:rsid w:val="001B29A4"/>
    <w:rsid w:val="001B3B23"/>
    <w:rsid w:val="001B5E52"/>
    <w:rsid w:val="001B6E5E"/>
    <w:rsid w:val="001C044C"/>
    <w:rsid w:val="001C1E0C"/>
    <w:rsid w:val="001C2A5C"/>
    <w:rsid w:val="001C5181"/>
    <w:rsid w:val="001C74E3"/>
    <w:rsid w:val="001C758D"/>
    <w:rsid w:val="001C798E"/>
    <w:rsid w:val="001D3ACC"/>
    <w:rsid w:val="001D5310"/>
    <w:rsid w:val="001D54F7"/>
    <w:rsid w:val="001D70E9"/>
    <w:rsid w:val="001D7A97"/>
    <w:rsid w:val="001E01D4"/>
    <w:rsid w:val="001E105E"/>
    <w:rsid w:val="001E19BD"/>
    <w:rsid w:val="001E2983"/>
    <w:rsid w:val="001E4C0E"/>
    <w:rsid w:val="001E4ECB"/>
    <w:rsid w:val="001E501E"/>
    <w:rsid w:val="001E68AA"/>
    <w:rsid w:val="001F2066"/>
    <w:rsid w:val="001F7139"/>
    <w:rsid w:val="002026C3"/>
    <w:rsid w:val="0021014A"/>
    <w:rsid w:val="00211DA6"/>
    <w:rsid w:val="002120E8"/>
    <w:rsid w:val="002124B0"/>
    <w:rsid w:val="00215FB4"/>
    <w:rsid w:val="002160A2"/>
    <w:rsid w:val="002175AA"/>
    <w:rsid w:val="002207FB"/>
    <w:rsid w:val="00221533"/>
    <w:rsid w:val="00223E5E"/>
    <w:rsid w:val="00224936"/>
    <w:rsid w:val="0022544B"/>
    <w:rsid w:val="002265B7"/>
    <w:rsid w:val="00227147"/>
    <w:rsid w:val="002300C1"/>
    <w:rsid w:val="0023226B"/>
    <w:rsid w:val="00234282"/>
    <w:rsid w:val="002364AA"/>
    <w:rsid w:val="002369CC"/>
    <w:rsid w:val="00242B27"/>
    <w:rsid w:val="00247246"/>
    <w:rsid w:val="00247962"/>
    <w:rsid w:val="00252105"/>
    <w:rsid w:val="002525AF"/>
    <w:rsid w:val="00254FD4"/>
    <w:rsid w:val="00256861"/>
    <w:rsid w:val="00256EE0"/>
    <w:rsid w:val="0025758A"/>
    <w:rsid w:val="00260BC9"/>
    <w:rsid w:val="00260BD3"/>
    <w:rsid w:val="00262E26"/>
    <w:rsid w:val="002637A8"/>
    <w:rsid w:val="00263E8B"/>
    <w:rsid w:val="0026597B"/>
    <w:rsid w:val="0027738B"/>
    <w:rsid w:val="00280559"/>
    <w:rsid w:val="00280AD7"/>
    <w:rsid w:val="0028216F"/>
    <w:rsid w:val="0028531C"/>
    <w:rsid w:val="0028543B"/>
    <w:rsid w:val="0028617D"/>
    <w:rsid w:val="0029214A"/>
    <w:rsid w:val="00293361"/>
    <w:rsid w:val="00293E64"/>
    <w:rsid w:val="00294552"/>
    <w:rsid w:val="00294A27"/>
    <w:rsid w:val="002952BC"/>
    <w:rsid w:val="00297C47"/>
    <w:rsid w:val="002A01F0"/>
    <w:rsid w:val="002A030E"/>
    <w:rsid w:val="002A0BD9"/>
    <w:rsid w:val="002A5F8F"/>
    <w:rsid w:val="002A632A"/>
    <w:rsid w:val="002A74DB"/>
    <w:rsid w:val="002A7F55"/>
    <w:rsid w:val="002B39B1"/>
    <w:rsid w:val="002B5DF5"/>
    <w:rsid w:val="002B5FA6"/>
    <w:rsid w:val="002B644D"/>
    <w:rsid w:val="002C0C39"/>
    <w:rsid w:val="002C2EA2"/>
    <w:rsid w:val="002C4D48"/>
    <w:rsid w:val="002C5D51"/>
    <w:rsid w:val="002C6A02"/>
    <w:rsid w:val="002C7822"/>
    <w:rsid w:val="002C7A63"/>
    <w:rsid w:val="002C7FDD"/>
    <w:rsid w:val="002D06C6"/>
    <w:rsid w:val="002D4A1D"/>
    <w:rsid w:val="002D528F"/>
    <w:rsid w:val="002D6695"/>
    <w:rsid w:val="002D79DF"/>
    <w:rsid w:val="002E0EAB"/>
    <w:rsid w:val="002E26A6"/>
    <w:rsid w:val="002E4BDF"/>
    <w:rsid w:val="002E5CF6"/>
    <w:rsid w:val="002F0A1A"/>
    <w:rsid w:val="002F1A7F"/>
    <w:rsid w:val="002F1FC0"/>
    <w:rsid w:val="002F673F"/>
    <w:rsid w:val="00302FA1"/>
    <w:rsid w:val="00303CD4"/>
    <w:rsid w:val="00304350"/>
    <w:rsid w:val="003052B4"/>
    <w:rsid w:val="00305A45"/>
    <w:rsid w:val="0030652F"/>
    <w:rsid w:val="00312B84"/>
    <w:rsid w:val="00312E57"/>
    <w:rsid w:val="00315220"/>
    <w:rsid w:val="0031576F"/>
    <w:rsid w:val="0031722B"/>
    <w:rsid w:val="00322B0F"/>
    <w:rsid w:val="0032338B"/>
    <w:rsid w:val="00323762"/>
    <w:rsid w:val="00325EAD"/>
    <w:rsid w:val="00326115"/>
    <w:rsid w:val="00326351"/>
    <w:rsid w:val="003267FA"/>
    <w:rsid w:val="0033194F"/>
    <w:rsid w:val="00332DCD"/>
    <w:rsid w:val="00333DA8"/>
    <w:rsid w:val="00337D2F"/>
    <w:rsid w:val="00340AA0"/>
    <w:rsid w:val="00341EF5"/>
    <w:rsid w:val="00345976"/>
    <w:rsid w:val="0034634F"/>
    <w:rsid w:val="003517B8"/>
    <w:rsid w:val="003524FF"/>
    <w:rsid w:val="00355F2D"/>
    <w:rsid w:val="00361609"/>
    <w:rsid w:val="003639BA"/>
    <w:rsid w:val="00364F0E"/>
    <w:rsid w:val="00370CBF"/>
    <w:rsid w:val="003723CC"/>
    <w:rsid w:val="0037263A"/>
    <w:rsid w:val="003726C7"/>
    <w:rsid w:val="00373701"/>
    <w:rsid w:val="00376814"/>
    <w:rsid w:val="00377326"/>
    <w:rsid w:val="003778DE"/>
    <w:rsid w:val="00382004"/>
    <w:rsid w:val="00384FFE"/>
    <w:rsid w:val="00385B45"/>
    <w:rsid w:val="00386E0A"/>
    <w:rsid w:val="00387607"/>
    <w:rsid w:val="00393427"/>
    <w:rsid w:val="00395543"/>
    <w:rsid w:val="003A3DB2"/>
    <w:rsid w:val="003A6787"/>
    <w:rsid w:val="003A6870"/>
    <w:rsid w:val="003B0ECB"/>
    <w:rsid w:val="003B133A"/>
    <w:rsid w:val="003B505D"/>
    <w:rsid w:val="003B54C9"/>
    <w:rsid w:val="003B64FE"/>
    <w:rsid w:val="003B72C1"/>
    <w:rsid w:val="003C1717"/>
    <w:rsid w:val="003C446F"/>
    <w:rsid w:val="003C5609"/>
    <w:rsid w:val="003C57DD"/>
    <w:rsid w:val="003C7E39"/>
    <w:rsid w:val="003D05AF"/>
    <w:rsid w:val="003D0950"/>
    <w:rsid w:val="003D197C"/>
    <w:rsid w:val="003D48CF"/>
    <w:rsid w:val="003D615F"/>
    <w:rsid w:val="003E2EBD"/>
    <w:rsid w:val="003E4E69"/>
    <w:rsid w:val="003F131A"/>
    <w:rsid w:val="003F1780"/>
    <w:rsid w:val="003F2428"/>
    <w:rsid w:val="003F344C"/>
    <w:rsid w:val="003F4B82"/>
    <w:rsid w:val="003F71D2"/>
    <w:rsid w:val="003F7EE8"/>
    <w:rsid w:val="00400ED6"/>
    <w:rsid w:val="004022C6"/>
    <w:rsid w:val="00404C17"/>
    <w:rsid w:val="0041052A"/>
    <w:rsid w:val="00412C18"/>
    <w:rsid w:val="00412F2F"/>
    <w:rsid w:val="00414841"/>
    <w:rsid w:val="00414845"/>
    <w:rsid w:val="00414AAA"/>
    <w:rsid w:val="00422E69"/>
    <w:rsid w:val="004235AD"/>
    <w:rsid w:val="00423DE9"/>
    <w:rsid w:val="0042683D"/>
    <w:rsid w:val="00427876"/>
    <w:rsid w:val="0042792A"/>
    <w:rsid w:val="00431725"/>
    <w:rsid w:val="004324D3"/>
    <w:rsid w:val="00432CF6"/>
    <w:rsid w:val="004356F0"/>
    <w:rsid w:val="00435BCA"/>
    <w:rsid w:val="00435D55"/>
    <w:rsid w:val="0043707C"/>
    <w:rsid w:val="0043730E"/>
    <w:rsid w:val="00437C84"/>
    <w:rsid w:val="00437DB7"/>
    <w:rsid w:val="004401E8"/>
    <w:rsid w:val="00442876"/>
    <w:rsid w:val="00443F26"/>
    <w:rsid w:val="004452A0"/>
    <w:rsid w:val="004457A0"/>
    <w:rsid w:val="004458A7"/>
    <w:rsid w:val="00446357"/>
    <w:rsid w:val="00452F17"/>
    <w:rsid w:val="00455761"/>
    <w:rsid w:val="0045578B"/>
    <w:rsid w:val="00455D59"/>
    <w:rsid w:val="00463225"/>
    <w:rsid w:val="0046338B"/>
    <w:rsid w:val="00466BD3"/>
    <w:rsid w:val="00467763"/>
    <w:rsid w:val="00467CF0"/>
    <w:rsid w:val="00470EA7"/>
    <w:rsid w:val="00472921"/>
    <w:rsid w:val="00472A7E"/>
    <w:rsid w:val="004735FB"/>
    <w:rsid w:val="00475DE5"/>
    <w:rsid w:val="00476F97"/>
    <w:rsid w:val="00480EA5"/>
    <w:rsid w:val="00485C89"/>
    <w:rsid w:val="00485E82"/>
    <w:rsid w:val="00486E0E"/>
    <w:rsid w:val="00490A86"/>
    <w:rsid w:val="00493432"/>
    <w:rsid w:val="004942B2"/>
    <w:rsid w:val="00495272"/>
    <w:rsid w:val="004972F2"/>
    <w:rsid w:val="004A1553"/>
    <w:rsid w:val="004A408A"/>
    <w:rsid w:val="004B216F"/>
    <w:rsid w:val="004B311A"/>
    <w:rsid w:val="004B513E"/>
    <w:rsid w:val="004B5996"/>
    <w:rsid w:val="004B5D2B"/>
    <w:rsid w:val="004B7710"/>
    <w:rsid w:val="004C4F33"/>
    <w:rsid w:val="004D0717"/>
    <w:rsid w:val="004D2DE4"/>
    <w:rsid w:val="004D5C80"/>
    <w:rsid w:val="004E192C"/>
    <w:rsid w:val="004E34BE"/>
    <w:rsid w:val="004E3D8A"/>
    <w:rsid w:val="004E6030"/>
    <w:rsid w:val="004E72BC"/>
    <w:rsid w:val="004F6BB9"/>
    <w:rsid w:val="004F7EFC"/>
    <w:rsid w:val="00500188"/>
    <w:rsid w:val="00504AF9"/>
    <w:rsid w:val="00507416"/>
    <w:rsid w:val="00507680"/>
    <w:rsid w:val="00507A31"/>
    <w:rsid w:val="00512B92"/>
    <w:rsid w:val="00514BDB"/>
    <w:rsid w:val="005250EC"/>
    <w:rsid w:val="005253A4"/>
    <w:rsid w:val="005258CA"/>
    <w:rsid w:val="00526E28"/>
    <w:rsid w:val="005270CC"/>
    <w:rsid w:val="00531BE0"/>
    <w:rsid w:val="00532A4E"/>
    <w:rsid w:val="00533302"/>
    <w:rsid w:val="005340D9"/>
    <w:rsid w:val="00534DED"/>
    <w:rsid w:val="0053736B"/>
    <w:rsid w:val="005410A5"/>
    <w:rsid w:val="00541F62"/>
    <w:rsid w:val="005429B5"/>
    <w:rsid w:val="005514BB"/>
    <w:rsid w:val="005523E4"/>
    <w:rsid w:val="00552F9D"/>
    <w:rsid w:val="00554B88"/>
    <w:rsid w:val="005572CD"/>
    <w:rsid w:val="00557825"/>
    <w:rsid w:val="0056084F"/>
    <w:rsid w:val="0056188E"/>
    <w:rsid w:val="00563C92"/>
    <w:rsid w:val="0056679D"/>
    <w:rsid w:val="00570741"/>
    <w:rsid w:val="0057289F"/>
    <w:rsid w:val="00572DBC"/>
    <w:rsid w:val="00573C7F"/>
    <w:rsid w:val="00580400"/>
    <w:rsid w:val="00581597"/>
    <w:rsid w:val="005817E1"/>
    <w:rsid w:val="005820A5"/>
    <w:rsid w:val="00582E5D"/>
    <w:rsid w:val="00583C25"/>
    <w:rsid w:val="00583CBE"/>
    <w:rsid w:val="00584F2C"/>
    <w:rsid w:val="00586DBD"/>
    <w:rsid w:val="00587408"/>
    <w:rsid w:val="005912F8"/>
    <w:rsid w:val="00591910"/>
    <w:rsid w:val="00592EAD"/>
    <w:rsid w:val="0059341E"/>
    <w:rsid w:val="005963F2"/>
    <w:rsid w:val="0059748A"/>
    <w:rsid w:val="00597674"/>
    <w:rsid w:val="005A0C21"/>
    <w:rsid w:val="005A10CB"/>
    <w:rsid w:val="005A29C1"/>
    <w:rsid w:val="005A6B0B"/>
    <w:rsid w:val="005A6FAA"/>
    <w:rsid w:val="005A7935"/>
    <w:rsid w:val="005B0266"/>
    <w:rsid w:val="005B0D85"/>
    <w:rsid w:val="005B0F4F"/>
    <w:rsid w:val="005B2581"/>
    <w:rsid w:val="005B2730"/>
    <w:rsid w:val="005B3967"/>
    <w:rsid w:val="005B4946"/>
    <w:rsid w:val="005B56C1"/>
    <w:rsid w:val="005B5826"/>
    <w:rsid w:val="005B6E25"/>
    <w:rsid w:val="005C076B"/>
    <w:rsid w:val="005C17E2"/>
    <w:rsid w:val="005C4F74"/>
    <w:rsid w:val="005D0522"/>
    <w:rsid w:val="005D4E93"/>
    <w:rsid w:val="005D6271"/>
    <w:rsid w:val="005D6B68"/>
    <w:rsid w:val="005D7646"/>
    <w:rsid w:val="005E006F"/>
    <w:rsid w:val="005E2E17"/>
    <w:rsid w:val="005E41F1"/>
    <w:rsid w:val="005E4DDD"/>
    <w:rsid w:val="005E6E4A"/>
    <w:rsid w:val="005F24BC"/>
    <w:rsid w:val="005F5619"/>
    <w:rsid w:val="005F5BA9"/>
    <w:rsid w:val="005F63FE"/>
    <w:rsid w:val="005F6915"/>
    <w:rsid w:val="005F75D3"/>
    <w:rsid w:val="00601DB9"/>
    <w:rsid w:val="00602832"/>
    <w:rsid w:val="0060460D"/>
    <w:rsid w:val="0060464F"/>
    <w:rsid w:val="00605972"/>
    <w:rsid w:val="006065B5"/>
    <w:rsid w:val="006069DD"/>
    <w:rsid w:val="00610EFA"/>
    <w:rsid w:val="00611B37"/>
    <w:rsid w:val="00615DC3"/>
    <w:rsid w:val="00617491"/>
    <w:rsid w:val="0062013E"/>
    <w:rsid w:val="006209CE"/>
    <w:rsid w:val="006218E6"/>
    <w:rsid w:val="0062763D"/>
    <w:rsid w:val="00633F1E"/>
    <w:rsid w:val="00637DC5"/>
    <w:rsid w:val="0064043F"/>
    <w:rsid w:val="0064124F"/>
    <w:rsid w:val="006427F5"/>
    <w:rsid w:val="0064348A"/>
    <w:rsid w:val="0064461D"/>
    <w:rsid w:val="00646045"/>
    <w:rsid w:val="00647E0E"/>
    <w:rsid w:val="0065201B"/>
    <w:rsid w:val="00652026"/>
    <w:rsid w:val="00653B57"/>
    <w:rsid w:val="00654E7D"/>
    <w:rsid w:val="0065696C"/>
    <w:rsid w:val="00656AA1"/>
    <w:rsid w:val="0066080D"/>
    <w:rsid w:val="00661109"/>
    <w:rsid w:val="00666E4C"/>
    <w:rsid w:val="0067244B"/>
    <w:rsid w:val="006733AF"/>
    <w:rsid w:val="00673C37"/>
    <w:rsid w:val="006751F6"/>
    <w:rsid w:val="006779DF"/>
    <w:rsid w:val="00680E4E"/>
    <w:rsid w:val="00685963"/>
    <w:rsid w:val="00690972"/>
    <w:rsid w:val="00691133"/>
    <w:rsid w:val="00691C1F"/>
    <w:rsid w:val="006920E3"/>
    <w:rsid w:val="006923A4"/>
    <w:rsid w:val="00694025"/>
    <w:rsid w:val="00695877"/>
    <w:rsid w:val="00695C93"/>
    <w:rsid w:val="00695C9E"/>
    <w:rsid w:val="00696CD1"/>
    <w:rsid w:val="006A0398"/>
    <w:rsid w:val="006A081E"/>
    <w:rsid w:val="006A1718"/>
    <w:rsid w:val="006A183E"/>
    <w:rsid w:val="006A2B7C"/>
    <w:rsid w:val="006A3A95"/>
    <w:rsid w:val="006A4DDD"/>
    <w:rsid w:val="006A53CD"/>
    <w:rsid w:val="006A5932"/>
    <w:rsid w:val="006B0A1C"/>
    <w:rsid w:val="006B0B1C"/>
    <w:rsid w:val="006B2B6B"/>
    <w:rsid w:val="006B2D90"/>
    <w:rsid w:val="006B2F0B"/>
    <w:rsid w:val="006B3002"/>
    <w:rsid w:val="006B5471"/>
    <w:rsid w:val="006B5FE6"/>
    <w:rsid w:val="006C2D8E"/>
    <w:rsid w:val="006C3789"/>
    <w:rsid w:val="006C47CF"/>
    <w:rsid w:val="006C53DF"/>
    <w:rsid w:val="006C5DAF"/>
    <w:rsid w:val="006C667E"/>
    <w:rsid w:val="006D01FF"/>
    <w:rsid w:val="006D05F8"/>
    <w:rsid w:val="006D23ED"/>
    <w:rsid w:val="006D3247"/>
    <w:rsid w:val="006D680C"/>
    <w:rsid w:val="006E02B3"/>
    <w:rsid w:val="006E1822"/>
    <w:rsid w:val="006E3C2D"/>
    <w:rsid w:val="006E70CD"/>
    <w:rsid w:val="006F4BD2"/>
    <w:rsid w:val="006F729A"/>
    <w:rsid w:val="006F7F15"/>
    <w:rsid w:val="006F7FAA"/>
    <w:rsid w:val="007046B0"/>
    <w:rsid w:val="00705010"/>
    <w:rsid w:val="00705D1F"/>
    <w:rsid w:val="007078BB"/>
    <w:rsid w:val="007078C0"/>
    <w:rsid w:val="00710D34"/>
    <w:rsid w:val="0071276F"/>
    <w:rsid w:val="00716E7C"/>
    <w:rsid w:val="00720595"/>
    <w:rsid w:val="007214E9"/>
    <w:rsid w:val="00723F7A"/>
    <w:rsid w:val="00726591"/>
    <w:rsid w:val="00732409"/>
    <w:rsid w:val="00732F7E"/>
    <w:rsid w:val="0073451A"/>
    <w:rsid w:val="007350FE"/>
    <w:rsid w:val="00735D39"/>
    <w:rsid w:val="00735F7D"/>
    <w:rsid w:val="00736BA2"/>
    <w:rsid w:val="00742CF1"/>
    <w:rsid w:val="00747AFB"/>
    <w:rsid w:val="007504FE"/>
    <w:rsid w:val="0075087A"/>
    <w:rsid w:val="0075285B"/>
    <w:rsid w:val="007546ED"/>
    <w:rsid w:val="0075495B"/>
    <w:rsid w:val="007575FB"/>
    <w:rsid w:val="0075779B"/>
    <w:rsid w:val="00760EB2"/>
    <w:rsid w:val="00762E5A"/>
    <w:rsid w:val="007646BB"/>
    <w:rsid w:val="0076577D"/>
    <w:rsid w:val="007664A2"/>
    <w:rsid w:val="00770E88"/>
    <w:rsid w:val="00771793"/>
    <w:rsid w:val="007745C6"/>
    <w:rsid w:val="00785FC9"/>
    <w:rsid w:val="00786387"/>
    <w:rsid w:val="007872C0"/>
    <w:rsid w:val="00787AA7"/>
    <w:rsid w:val="0079101B"/>
    <w:rsid w:val="007A0CB1"/>
    <w:rsid w:val="007A5B5C"/>
    <w:rsid w:val="007A7B3A"/>
    <w:rsid w:val="007B5AF3"/>
    <w:rsid w:val="007B6E22"/>
    <w:rsid w:val="007B74EB"/>
    <w:rsid w:val="007C134D"/>
    <w:rsid w:val="007C5873"/>
    <w:rsid w:val="007C5E1A"/>
    <w:rsid w:val="007C624A"/>
    <w:rsid w:val="007C731D"/>
    <w:rsid w:val="007D54C3"/>
    <w:rsid w:val="007D5A56"/>
    <w:rsid w:val="007D7521"/>
    <w:rsid w:val="007D7794"/>
    <w:rsid w:val="007E63AE"/>
    <w:rsid w:val="007E7464"/>
    <w:rsid w:val="007E75DB"/>
    <w:rsid w:val="007F1E09"/>
    <w:rsid w:val="007F281E"/>
    <w:rsid w:val="007F2DC6"/>
    <w:rsid w:val="007F3C1C"/>
    <w:rsid w:val="007F50A7"/>
    <w:rsid w:val="007F5652"/>
    <w:rsid w:val="007F59A6"/>
    <w:rsid w:val="007F602A"/>
    <w:rsid w:val="007F7DBA"/>
    <w:rsid w:val="008017FC"/>
    <w:rsid w:val="008036B4"/>
    <w:rsid w:val="008047A0"/>
    <w:rsid w:val="00805573"/>
    <w:rsid w:val="00806456"/>
    <w:rsid w:val="008069D3"/>
    <w:rsid w:val="008069D6"/>
    <w:rsid w:val="00807A7D"/>
    <w:rsid w:val="00807A9F"/>
    <w:rsid w:val="00807EF9"/>
    <w:rsid w:val="00814845"/>
    <w:rsid w:val="00815AB2"/>
    <w:rsid w:val="00815D63"/>
    <w:rsid w:val="00817307"/>
    <w:rsid w:val="00817BD8"/>
    <w:rsid w:val="008200D7"/>
    <w:rsid w:val="008204B6"/>
    <w:rsid w:val="008223B4"/>
    <w:rsid w:val="0082310B"/>
    <w:rsid w:val="008237C4"/>
    <w:rsid w:val="00824D22"/>
    <w:rsid w:val="00825132"/>
    <w:rsid w:val="00830FD8"/>
    <w:rsid w:val="0083155D"/>
    <w:rsid w:val="00833846"/>
    <w:rsid w:val="00836D88"/>
    <w:rsid w:val="00840082"/>
    <w:rsid w:val="00841167"/>
    <w:rsid w:val="00843312"/>
    <w:rsid w:val="00844DCB"/>
    <w:rsid w:val="008461AD"/>
    <w:rsid w:val="00846B43"/>
    <w:rsid w:val="008479A7"/>
    <w:rsid w:val="00847FE5"/>
    <w:rsid w:val="008524A2"/>
    <w:rsid w:val="00852688"/>
    <w:rsid w:val="00852F15"/>
    <w:rsid w:val="00852FE0"/>
    <w:rsid w:val="008560BB"/>
    <w:rsid w:val="008564A3"/>
    <w:rsid w:val="00857393"/>
    <w:rsid w:val="00861A49"/>
    <w:rsid w:val="008679C3"/>
    <w:rsid w:val="008713A1"/>
    <w:rsid w:val="00873681"/>
    <w:rsid w:val="00876D9E"/>
    <w:rsid w:val="008811DE"/>
    <w:rsid w:val="00881BC6"/>
    <w:rsid w:val="0088491A"/>
    <w:rsid w:val="00884E70"/>
    <w:rsid w:val="00885ACF"/>
    <w:rsid w:val="00886AB1"/>
    <w:rsid w:val="0089092A"/>
    <w:rsid w:val="008917B2"/>
    <w:rsid w:val="008941A0"/>
    <w:rsid w:val="00894546"/>
    <w:rsid w:val="00895E37"/>
    <w:rsid w:val="008964E8"/>
    <w:rsid w:val="008973B1"/>
    <w:rsid w:val="008A1682"/>
    <w:rsid w:val="008A28EF"/>
    <w:rsid w:val="008B07BA"/>
    <w:rsid w:val="008B22AA"/>
    <w:rsid w:val="008B235B"/>
    <w:rsid w:val="008B3801"/>
    <w:rsid w:val="008B5D4F"/>
    <w:rsid w:val="008C24EA"/>
    <w:rsid w:val="008C45BE"/>
    <w:rsid w:val="008C7903"/>
    <w:rsid w:val="008D023F"/>
    <w:rsid w:val="008D0525"/>
    <w:rsid w:val="008D0D61"/>
    <w:rsid w:val="008D0DAC"/>
    <w:rsid w:val="008D5358"/>
    <w:rsid w:val="008D77BA"/>
    <w:rsid w:val="008D7EDF"/>
    <w:rsid w:val="008E0D19"/>
    <w:rsid w:val="008E3872"/>
    <w:rsid w:val="008E54B6"/>
    <w:rsid w:val="008E79AE"/>
    <w:rsid w:val="008F0267"/>
    <w:rsid w:val="008F1381"/>
    <w:rsid w:val="008F1D2E"/>
    <w:rsid w:val="008F348D"/>
    <w:rsid w:val="008F3E08"/>
    <w:rsid w:val="008F53A6"/>
    <w:rsid w:val="008F6183"/>
    <w:rsid w:val="00900B1D"/>
    <w:rsid w:val="0090159F"/>
    <w:rsid w:val="00901607"/>
    <w:rsid w:val="0090425F"/>
    <w:rsid w:val="00904625"/>
    <w:rsid w:val="00904A0B"/>
    <w:rsid w:val="009063F9"/>
    <w:rsid w:val="00907050"/>
    <w:rsid w:val="009078D2"/>
    <w:rsid w:val="00910DFE"/>
    <w:rsid w:val="00913CF8"/>
    <w:rsid w:val="00915BE1"/>
    <w:rsid w:val="00920FAA"/>
    <w:rsid w:val="00921205"/>
    <w:rsid w:val="0092266A"/>
    <w:rsid w:val="00925358"/>
    <w:rsid w:val="009256FA"/>
    <w:rsid w:val="00926E72"/>
    <w:rsid w:val="009274E4"/>
    <w:rsid w:val="00927B5B"/>
    <w:rsid w:val="00927F2D"/>
    <w:rsid w:val="00933EF9"/>
    <w:rsid w:val="00933FB4"/>
    <w:rsid w:val="009341C4"/>
    <w:rsid w:val="00935103"/>
    <w:rsid w:val="00940D0D"/>
    <w:rsid w:val="00941DC4"/>
    <w:rsid w:val="00942620"/>
    <w:rsid w:val="00942DEC"/>
    <w:rsid w:val="00942F81"/>
    <w:rsid w:val="009435A3"/>
    <w:rsid w:val="009505BD"/>
    <w:rsid w:val="00951486"/>
    <w:rsid w:val="0095202C"/>
    <w:rsid w:val="0095279D"/>
    <w:rsid w:val="00962085"/>
    <w:rsid w:val="00962CA7"/>
    <w:rsid w:val="00962FE7"/>
    <w:rsid w:val="009631C4"/>
    <w:rsid w:val="009744DF"/>
    <w:rsid w:val="00974DDC"/>
    <w:rsid w:val="00975805"/>
    <w:rsid w:val="00977FA8"/>
    <w:rsid w:val="00981644"/>
    <w:rsid w:val="00983655"/>
    <w:rsid w:val="009861D5"/>
    <w:rsid w:val="009864B2"/>
    <w:rsid w:val="00987B88"/>
    <w:rsid w:val="009903E5"/>
    <w:rsid w:val="009904E0"/>
    <w:rsid w:val="00990733"/>
    <w:rsid w:val="009907AE"/>
    <w:rsid w:val="00994B30"/>
    <w:rsid w:val="00995866"/>
    <w:rsid w:val="009A14BC"/>
    <w:rsid w:val="009A28C0"/>
    <w:rsid w:val="009A291F"/>
    <w:rsid w:val="009A4F21"/>
    <w:rsid w:val="009A5BF0"/>
    <w:rsid w:val="009A6021"/>
    <w:rsid w:val="009A7601"/>
    <w:rsid w:val="009B2844"/>
    <w:rsid w:val="009B2DF0"/>
    <w:rsid w:val="009B6AF4"/>
    <w:rsid w:val="009C0FC5"/>
    <w:rsid w:val="009C1203"/>
    <w:rsid w:val="009C137D"/>
    <w:rsid w:val="009C1699"/>
    <w:rsid w:val="009C36BB"/>
    <w:rsid w:val="009C4A17"/>
    <w:rsid w:val="009C77D6"/>
    <w:rsid w:val="009D03CB"/>
    <w:rsid w:val="009D2F10"/>
    <w:rsid w:val="009D512D"/>
    <w:rsid w:val="009D7517"/>
    <w:rsid w:val="009E198A"/>
    <w:rsid w:val="009E2516"/>
    <w:rsid w:val="009E3F0D"/>
    <w:rsid w:val="009E4A31"/>
    <w:rsid w:val="009E5A4A"/>
    <w:rsid w:val="009E7B0E"/>
    <w:rsid w:val="009F117F"/>
    <w:rsid w:val="009F7B33"/>
    <w:rsid w:val="00A01AA8"/>
    <w:rsid w:val="00A02297"/>
    <w:rsid w:val="00A04C03"/>
    <w:rsid w:val="00A0532F"/>
    <w:rsid w:val="00A058A0"/>
    <w:rsid w:val="00A07391"/>
    <w:rsid w:val="00A10014"/>
    <w:rsid w:val="00A1082B"/>
    <w:rsid w:val="00A108E4"/>
    <w:rsid w:val="00A119B9"/>
    <w:rsid w:val="00A1319E"/>
    <w:rsid w:val="00A15AAE"/>
    <w:rsid w:val="00A15B60"/>
    <w:rsid w:val="00A2237D"/>
    <w:rsid w:val="00A22A94"/>
    <w:rsid w:val="00A24DB3"/>
    <w:rsid w:val="00A321CA"/>
    <w:rsid w:val="00A3268E"/>
    <w:rsid w:val="00A333CB"/>
    <w:rsid w:val="00A334B8"/>
    <w:rsid w:val="00A348A2"/>
    <w:rsid w:val="00A3669E"/>
    <w:rsid w:val="00A37EC7"/>
    <w:rsid w:val="00A40024"/>
    <w:rsid w:val="00A4050E"/>
    <w:rsid w:val="00A41A4D"/>
    <w:rsid w:val="00A42530"/>
    <w:rsid w:val="00A42CC8"/>
    <w:rsid w:val="00A45754"/>
    <w:rsid w:val="00A4594B"/>
    <w:rsid w:val="00A46D8F"/>
    <w:rsid w:val="00A471AA"/>
    <w:rsid w:val="00A517D2"/>
    <w:rsid w:val="00A52B3D"/>
    <w:rsid w:val="00A56552"/>
    <w:rsid w:val="00A56816"/>
    <w:rsid w:val="00A5791A"/>
    <w:rsid w:val="00A63189"/>
    <w:rsid w:val="00A650A9"/>
    <w:rsid w:val="00A65989"/>
    <w:rsid w:val="00A6731A"/>
    <w:rsid w:val="00A6744F"/>
    <w:rsid w:val="00A67D2C"/>
    <w:rsid w:val="00A703B1"/>
    <w:rsid w:val="00A71196"/>
    <w:rsid w:val="00A75D91"/>
    <w:rsid w:val="00A761F5"/>
    <w:rsid w:val="00A814C2"/>
    <w:rsid w:val="00A86831"/>
    <w:rsid w:val="00A87AEF"/>
    <w:rsid w:val="00A87C45"/>
    <w:rsid w:val="00A92972"/>
    <w:rsid w:val="00A936D5"/>
    <w:rsid w:val="00A950C8"/>
    <w:rsid w:val="00A9561F"/>
    <w:rsid w:val="00A95BA6"/>
    <w:rsid w:val="00A96C63"/>
    <w:rsid w:val="00AA356C"/>
    <w:rsid w:val="00AA394B"/>
    <w:rsid w:val="00AA4410"/>
    <w:rsid w:val="00AA4BC9"/>
    <w:rsid w:val="00AA5BCA"/>
    <w:rsid w:val="00AB036B"/>
    <w:rsid w:val="00AB2150"/>
    <w:rsid w:val="00AB3240"/>
    <w:rsid w:val="00AB3598"/>
    <w:rsid w:val="00AB6343"/>
    <w:rsid w:val="00AC319B"/>
    <w:rsid w:val="00AC4828"/>
    <w:rsid w:val="00AC7B1D"/>
    <w:rsid w:val="00AD3834"/>
    <w:rsid w:val="00AD3AF2"/>
    <w:rsid w:val="00AD507F"/>
    <w:rsid w:val="00AE0301"/>
    <w:rsid w:val="00AE2C22"/>
    <w:rsid w:val="00AE6A2D"/>
    <w:rsid w:val="00AE7434"/>
    <w:rsid w:val="00AF11EB"/>
    <w:rsid w:val="00AF2E7A"/>
    <w:rsid w:val="00AF3C07"/>
    <w:rsid w:val="00AF42C7"/>
    <w:rsid w:val="00AF75E2"/>
    <w:rsid w:val="00B05A89"/>
    <w:rsid w:val="00B076EF"/>
    <w:rsid w:val="00B10E92"/>
    <w:rsid w:val="00B11486"/>
    <w:rsid w:val="00B118F8"/>
    <w:rsid w:val="00B12B51"/>
    <w:rsid w:val="00B12D48"/>
    <w:rsid w:val="00B13861"/>
    <w:rsid w:val="00B17B08"/>
    <w:rsid w:val="00B20045"/>
    <w:rsid w:val="00B22BFA"/>
    <w:rsid w:val="00B25044"/>
    <w:rsid w:val="00B25EBD"/>
    <w:rsid w:val="00B267FB"/>
    <w:rsid w:val="00B30BA7"/>
    <w:rsid w:val="00B31C49"/>
    <w:rsid w:val="00B33E64"/>
    <w:rsid w:val="00B35931"/>
    <w:rsid w:val="00B35A51"/>
    <w:rsid w:val="00B360F5"/>
    <w:rsid w:val="00B41172"/>
    <w:rsid w:val="00B41542"/>
    <w:rsid w:val="00B43BB6"/>
    <w:rsid w:val="00B44511"/>
    <w:rsid w:val="00B468D6"/>
    <w:rsid w:val="00B51023"/>
    <w:rsid w:val="00B526F0"/>
    <w:rsid w:val="00B529BE"/>
    <w:rsid w:val="00B54DA7"/>
    <w:rsid w:val="00B55919"/>
    <w:rsid w:val="00B570DC"/>
    <w:rsid w:val="00B612CC"/>
    <w:rsid w:val="00B613F6"/>
    <w:rsid w:val="00B62AF3"/>
    <w:rsid w:val="00B65570"/>
    <w:rsid w:val="00B6612A"/>
    <w:rsid w:val="00B6752F"/>
    <w:rsid w:val="00B72B6E"/>
    <w:rsid w:val="00B73082"/>
    <w:rsid w:val="00B73D25"/>
    <w:rsid w:val="00B82C8C"/>
    <w:rsid w:val="00B83EF2"/>
    <w:rsid w:val="00B84B5D"/>
    <w:rsid w:val="00B86AF7"/>
    <w:rsid w:val="00B902A5"/>
    <w:rsid w:val="00B90591"/>
    <w:rsid w:val="00B927F9"/>
    <w:rsid w:val="00B92951"/>
    <w:rsid w:val="00B957A8"/>
    <w:rsid w:val="00B95A16"/>
    <w:rsid w:val="00B96440"/>
    <w:rsid w:val="00B969FA"/>
    <w:rsid w:val="00B978F2"/>
    <w:rsid w:val="00BA20F4"/>
    <w:rsid w:val="00BA3810"/>
    <w:rsid w:val="00BA3E48"/>
    <w:rsid w:val="00BA4287"/>
    <w:rsid w:val="00BA621E"/>
    <w:rsid w:val="00BA6F17"/>
    <w:rsid w:val="00BB04AF"/>
    <w:rsid w:val="00BB05F5"/>
    <w:rsid w:val="00BB33B9"/>
    <w:rsid w:val="00BB7609"/>
    <w:rsid w:val="00BC275D"/>
    <w:rsid w:val="00BC2E72"/>
    <w:rsid w:val="00BC3369"/>
    <w:rsid w:val="00BC631B"/>
    <w:rsid w:val="00BD0220"/>
    <w:rsid w:val="00BD0515"/>
    <w:rsid w:val="00BD30DB"/>
    <w:rsid w:val="00BD3137"/>
    <w:rsid w:val="00BD4FF0"/>
    <w:rsid w:val="00BD52FD"/>
    <w:rsid w:val="00BD5680"/>
    <w:rsid w:val="00BD581E"/>
    <w:rsid w:val="00BD6D0C"/>
    <w:rsid w:val="00BD7C4F"/>
    <w:rsid w:val="00BD7E14"/>
    <w:rsid w:val="00BE21A2"/>
    <w:rsid w:val="00BE225E"/>
    <w:rsid w:val="00BE32A7"/>
    <w:rsid w:val="00BE334A"/>
    <w:rsid w:val="00BE7340"/>
    <w:rsid w:val="00BF00AB"/>
    <w:rsid w:val="00BF25B4"/>
    <w:rsid w:val="00BF6BC4"/>
    <w:rsid w:val="00BF75CE"/>
    <w:rsid w:val="00C0141E"/>
    <w:rsid w:val="00C0486F"/>
    <w:rsid w:val="00C05AD8"/>
    <w:rsid w:val="00C1064E"/>
    <w:rsid w:val="00C110D7"/>
    <w:rsid w:val="00C11186"/>
    <w:rsid w:val="00C1201A"/>
    <w:rsid w:val="00C140C7"/>
    <w:rsid w:val="00C16194"/>
    <w:rsid w:val="00C16BED"/>
    <w:rsid w:val="00C16CDB"/>
    <w:rsid w:val="00C23CF8"/>
    <w:rsid w:val="00C251E9"/>
    <w:rsid w:val="00C316FB"/>
    <w:rsid w:val="00C33A91"/>
    <w:rsid w:val="00C3443B"/>
    <w:rsid w:val="00C34A2C"/>
    <w:rsid w:val="00C36750"/>
    <w:rsid w:val="00C36EF8"/>
    <w:rsid w:val="00C373E1"/>
    <w:rsid w:val="00C375AF"/>
    <w:rsid w:val="00C414BD"/>
    <w:rsid w:val="00C46777"/>
    <w:rsid w:val="00C51D28"/>
    <w:rsid w:val="00C51DDF"/>
    <w:rsid w:val="00C53C1A"/>
    <w:rsid w:val="00C569BA"/>
    <w:rsid w:val="00C609A2"/>
    <w:rsid w:val="00C60ACF"/>
    <w:rsid w:val="00C61D31"/>
    <w:rsid w:val="00C620B5"/>
    <w:rsid w:val="00C62261"/>
    <w:rsid w:val="00C63402"/>
    <w:rsid w:val="00C63DB0"/>
    <w:rsid w:val="00C64744"/>
    <w:rsid w:val="00C64949"/>
    <w:rsid w:val="00C64B31"/>
    <w:rsid w:val="00C662BD"/>
    <w:rsid w:val="00C6668D"/>
    <w:rsid w:val="00C716DA"/>
    <w:rsid w:val="00C74EBD"/>
    <w:rsid w:val="00C75A79"/>
    <w:rsid w:val="00C77D73"/>
    <w:rsid w:val="00C8382E"/>
    <w:rsid w:val="00C85B90"/>
    <w:rsid w:val="00C862FE"/>
    <w:rsid w:val="00C86BFA"/>
    <w:rsid w:val="00C87748"/>
    <w:rsid w:val="00C92DB5"/>
    <w:rsid w:val="00C942AB"/>
    <w:rsid w:val="00C95A03"/>
    <w:rsid w:val="00CA29C7"/>
    <w:rsid w:val="00CA54E3"/>
    <w:rsid w:val="00CA649D"/>
    <w:rsid w:val="00CB13CD"/>
    <w:rsid w:val="00CB1D02"/>
    <w:rsid w:val="00CB216A"/>
    <w:rsid w:val="00CB2308"/>
    <w:rsid w:val="00CB2D1A"/>
    <w:rsid w:val="00CB2D7B"/>
    <w:rsid w:val="00CB5789"/>
    <w:rsid w:val="00CB7CF9"/>
    <w:rsid w:val="00CB7DEE"/>
    <w:rsid w:val="00CC4076"/>
    <w:rsid w:val="00CD2838"/>
    <w:rsid w:val="00CD2994"/>
    <w:rsid w:val="00CD4731"/>
    <w:rsid w:val="00CE133F"/>
    <w:rsid w:val="00CE14E3"/>
    <w:rsid w:val="00CE1787"/>
    <w:rsid w:val="00CE17AE"/>
    <w:rsid w:val="00CE2245"/>
    <w:rsid w:val="00CE2FCE"/>
    <w:rsid w:val="00CE776E"/>
    <w:rsid w:val="00CE79C8"/>
    <w:rsid w:val="00CE7ECB"/>
    <w:rsid w:val="00CF1015"/>
    <w:rsid w:val="00CF11E4"/>
    <w:rsid w:val="00CF15DB"/>
    <w:rsid w:val="00CF2B66"/>
    <w:rsid w:val="00CF4464"/>
    <w:rsid w:val="00CF6D09"/>
    <w:rsid w:val="00D00515"/>
    <w:rsid w:val="00D036C3"/>
    <w:rsid w:val="00D04E9E"/>
    <w:rsid w:val="00D11B96"/>
    <w:rsid w:val="00D12A97"/>
    <w:rsid w:val="00D12B3C"/>
    <w:rsid w:val="00D12DE0"/>
    <w:rsid w:val="00D14471"/>
    <w:rsid w:val="00D14A51"/>
    <w:rsid w:val="00D14C34"/>
    <w:rsid w:val="00D15395"/>
    <w:rsid w:val="00D15986"/>
    <w:rsid w:val="00D1644F"/>
    <w:rsid w:val="00D17A11"/>
    <w:rsid w:val="00D207D6"/>
    <w:rsid w:val="00D25193"/>
    <w:rsid w:val="00D26DC1"/>
    <w:rsid w:val="00D32F74"/>
    <w:rsid w:val="00D333D7"/>
    <w:rsid w:val="00D3408B"/>
    <w:rsid w:val="00D34818"/>
    <w:rsid w:val="00D35E3C"/>
    <w:rsid w:val="00D36F24"/>
    <w:rsid w:val="00D3786D"/>
    <w:rsid w:val="00D40639"/>
    <w:rsid w:val="00D40879"/>
    <w:rsid w:val="00D408A6"/>
    <w:rsid w:val="00D40AA7"/>
    <w:rsid w:val="00D44B31"/>
    <w:rsid w:val="00D45FCD"/>
    <w:rsid w:val="00D46AE5"/>
    <w:rsid w:val="00D46DEE"/>
    <w:rsid w:val="00D47B18"/>
    <w:rsid w:val="00D47E96"/>
    <w:rsid w:val="00D51691"/>
    <w:rsid w:val="00D52B59"/>
    <w:rsid w:val="00D537FC"/>
    <w:rsid w:val="00D53AC6"/>
    <w:rsid w:val="00D57BA2"/>
    <w:rsid w:val="00D64214"/>
    <w:rsid w:val="00D66DF4"/>
    <w:rsid w:val="00D679DF"/>
    <w:rsid w:val="00D7290B"/>
    <w:rsid w:val="00D74A91"/>
    <w:rsid w:val="00D7574F"/>
    <w:rsid w:val="00D757F4"/>
    <w:rsid w:val="00D76757"/>
    <w:rsid w:val="00D8019A"/>
    <w:rsid w:val="00D831EE"/>
    <w:rsid w:val="00D8489B"/>
    <w:rsid w:val="00D85001"/>
    <w:rsid w:val="00D85C75"/>
    <w:rsid w:val="00D85F1D"/>
    <w:rsid w:val="00D86605"/>
    <w:rsid w:val="00D9063E"/>
    <w:rsid w:val="00D90E41"/>
    <w:rsid w:val="00D924A2"/>
    <w:rsid w:val="00D9256D"/>
    <w:rsid w:val="00D92C73"/>
    <w:rsid w:val="00D92F5F"/>
    <w:rsid w:val="00D93420"/>
    <w:rsid w:val="00D93D6A"/>
    <w:rsid w:val="00D96B8F"/>
    <w:rsid w:val="00D97A46"/>
    <w:rsid w:val="00D97EA0"/>
    <w:rsid w:val="00DA1784"/>
    <w:rsid w:val="00DA270C"/>
    <w:rsid w:val="00DA5DC5"/>
    <w:rsid w:val="00DB00F4"/>
    <w:rsid w:val="00DB02CA"/>
    <w:rsid w:val="00DB7370"/>
    <w:rsid w:val="00DB760A"/>
    <w:rsid w:val="00DC0542"/>
    <w:rsid w:val="00DC1691"/>
    <w:rsid w:val="00DC2FE9"/>
    <w:rsid w:val="00DC58B7"/>
    <w:rsid w:val="00DC6BF5"/>
    <w:rsid w:val="00DC74ED"/>
    <w:rsid w:val="00DD2250"/>
    <w:rsid w:val="00DD2DC0"/>
    <w:rsid w:val="00DD391A"/>
    <w:rsid w:val="00DD4E15"/>
    <w:rsid w:val="00DE0B4B"/>
    <w:rsid w:val="00DE101E"/>
    <w:rsid w:val="00DE2C48"/>
    <w:rsid w:val="00DE31D1"/>
    <w:rsid w:val="00DE43B9"/>
    <w:rsid w:val="00DE4F5B"/>
    <w:rsid w:val="00DF1E26"/>
    <w:rsid w:val="00DF1F1D"/>
    <w:rsid w:val="00DF2F51"/>
    <w:rsid w:val="00DF5029"/>
    <w:rsid w:val="00DF6408"/>
    <w:rsid w:val="00DF78BE"/>
    <w:rsid w:val="00DF7A20"/>
    <w:rsid w:val="00E0355F"/>
    <w:rsid w:val="00E04D55"/>
    <w:rsid w:val="00E07265"/>
    <w:rsid w:val="00E10ED8"/>
    <w:rsid w:val="00E12AE3"/>
    <w:rsid w:val="00E12CF6"/>
    <w:rsid w:val="00E1365F"/>
    <w:rsid w:val="00E1391D"/>
    <w:rsid w:val="00E17108"/>
    <w:rsid w:val="00E26430"/>
    <w:rsid w:val="00E30D30"/>
    <w:rsid w:val="00E34665"/>
    <w:rsid w:val="00E35B4F"/>
    <w:rsid w:val="00E35CEC"/>
    <w:rsid w:val="00E36816"/>
    <w:rsid w:val="00E41736"/>
    <w:rsid w:val="00E4303A"/>
    <w:rsid w:val="00E448E9"/>
    <w:rsid w:val="00E45478"/>
    <w:rsid w:val="00E472A5"/>
    <w:rsid w:val="00E5023D"/>
    <w:rsid w:val="00E530E0"/>
    <w:rsid w:val="00E558DC"/>
    <w:rsid w:val="00E579BD"/>
    <w:rsid w:val="00E6050B"/>
    <w:rsid w:val="00E616ED"/>
    <w:rsid w:val="00E62EBD"/>
    <w:rsid w:val="00E636E1"/>
    <w:rsid w:val="00E643DD"/>
    <w:rsid w:val="00E6487A"/>
    <w:rsid w:val="00E65A1A"/>
    <w:rsid w:val="00E67F08"/>
    <w:rsid w:val="00E7010F"/>
    <w:rsid w:val="00E72019"/>
    <w:rsid w:val="00E727EE"/>
    <w:rsid w:val="00E73FB6"/>
    <w:rsid w:val="00E7455C"/>
    <w:rsid w:val="00E76A7D"/>
    <w:rsid w:val="00E80F79"/>
    <w:rsid w:val="00E814B6"/>
    <w:rsid w:val="00E81B12"/>
    <w:rsid w:val="00E82C35"/>
    <w:rsid w:val="00E83A74"/>
    <w:rsid w:val="00E841E4"/>
    <w:rsid w:val="00E866A2"/>
    <w:rsid w:val="00E87B81"/>
    <w:rsid w:val="00E920C7"/>
    <w:rsid w:val="00E921CF"/>
    <w:rsid w:val="00E922C4"/>
    <w:rsid w:val="00E96BD1"/>
    <w:rsid w:val="00E9756D"/>
    <w:rsid w:val="00EA40C3"/>
    <w:rsid w:val="00EA5435"/>
    <w:rsid w:val="00EA5924"/>
    <w:rsid w:val="00EB0F87"/>
    <w:rsid w:val="00EB2ED7"/>
    <w:rsid w:val="00EB33A3"/>
    <w:rsid w:val="00EB4B4E"/>
    <w:rsid w:val="00EB4EEF"/>
    <w:rsid w:val="00EB6226"/>
    <w:rsid w:val="00EB74ED"/>
    <w:rsid w:val="00EB751E"/>
    <w:rsid w:val="00EC2325"/>
    <w:rsid w:val="00EC47F9"/>
    <w:rsid w:val="00EC5BAB"/>
    <w:rsid w:val="00EC5D7C"/>
    <w:rsid w:val="00EC72DA"/>
    <w:rsid w:val="00ED05A4"/>
    <w:rsid w:val="00ED1698"/>
    <w:rsid w:val="00ED35DC"/>
    <w:rsid w:val="00ED46E6"/>
    <w:rsid w:val="00ED48B1"/>
    <w:rsid w:val="00ED54B6"/>
    <w:rsid w:val="00EE1423"/>
    <w:rsid w:val="00EE3590"/>
    <w:rsid w:val="00EF2295"/>
    <w:rsid w:val="00EF6FBC"/>
    <w:rsid w:val="00EF7337"/>
    <w:rsid w:val="00EF7571"/>
    <w:rsid w:val="00F01093"/>
    <w:rsid w:val="00F010A9"/>
    <w:rsid w:val="00F012B0"/>
    <w:rsid w:val="00F028D0"/>
    <w:rsid w:val="00F06956"/>
    <w:rsid w:val="00F07827"/>
    <w:rsid w:val="00F100DE"/>
    <w:rsid w:val="00F11310"/>
    <w:rsid w:val="00F12243"/>
    <w:rsid w:val="00F1360F"/>
    <w:rsid w:val="00F13BA6"/>
    <w:rsid w:val="00F13E12"/>
    <w:rsid w:val="00F161F4"/>
    <w:rsid w:val="00F21866"/>
    <w:rsid w:val="00F21E87"/>
    <w:rsid w:val="00F22772"/>
    <w:rsid w:val="00F23696"/>
    <w:rsid w:val="00F248CD"/>
    <w:rsid w:val="00F25848"/>
    <w:rsid w:val="00F25D32"/>
    <w:rsid w:val="00F27070"/>
    <w:rsid w:val="00F271FC"/>
    <w:rsid w:val="00F27545"/>
    <w:rsid w:val="00F30546"/>
    <w:rsid w:val="00F3085F"/>
    <w:rsid w:val="00F317AB"/>
    <w:rsid w:val="00F31F14"/>
    <w:rsid w:val="00F33119"/>
    <w:rsid w:val="00F34ADF"/>
    <w:rsid w:val="00F402B5"/>
    <w:rsid w:val="00F42BC1"/>
    <w:rsid w:val="00F4369C"/>
    <w:rsid w:val="00F459B4"/>
    <w:rsid w:val="00F45B64"/>
    <w:rsid w:val="00F4600E"/>
    <w:rsid w:val="00F469E2"/>
    <w:rsid w:val="00F46EDA"/>
    <w:rsid w:val="00F470E4"/>
    <w:rsid w:val="00F50053"/>
    <w:rsid w:val="00F5427B"/>
    <w:rsid w:val="00F54AA6"/>
    <w:rsid w:val="00F60AAA"/>
    <w:rsid w:val="00F610AF"/>
    <w:rsid w:val="00F6169B"/>
    <w:rsid w:val="00F63633"/>
    <w:rsid w:val="00F65D9B"/>
    <w:rsid w:val="00F70F33"/>
    <w:rsid w:val="00F723E4"/>
    <w:rsid w:val="00F72964"/>
    <w:rsid w:val="00F7565E"/>
    <w:rsid w:val="00F771FB"/>
    <w:rsid w:val="00F77280"/>
    <w:rsid w:val="00F8012D"/>
    <w:rsid w:val="00F8116E"/>
    <w:rsid w:val="00F829BA"/>
    <w:rsid w:val="00F82FBD"/>
    <w:rsid w:val="00F84BF4"/>
    <w:rsid w:val="00F86D41"/>
    <w:rsid w:val="00F86DF4"/>
    <w:rsid w:val="00F87361"/>
    <w:rsid w:val="00F87D68"/>
    <w:rsid w:val="00F87F2D"/>
    <w:rsid w:val="00F90A20"/>
    <w:rsid w:val="00F92ECB"/>
    <w:rsid w:val="00F94D7E"/>
    <w:rsid w:val="00F96D26"/>
    <w:rsid w:val="00FA1DEA"/>
    <w:rsid w:val="00FA2D90"/>
    <w:rsid w:val="00FA33CD"/>
    <w:rsid w:val="00FA50D3"/>
    <w:rsid w:val="00FA5414"/>
    <w:rsid w:val="00FB3DC7"/>
    <w:rsid w:val="00FB77A8"/>
    <w:rsid w:val="00FC5BE8"/>
    <w:rsid w:val="00FC7E67"/>
    <w:rsid w:val="00FD2755"/>
    <w:rsid w:val="00FD3257"/>
    <w:rsid w:val="00FD470A"/>
    <w:rsid w:val="00FD4A68"/>
    <w:rsid w:val="00FD4D8A"/>
    <w:rsid w:val="00FD50C1"/>
    <w:rsid w:val="00FE17BB"/>
    <w:rsid w:val="00FE2A6E"/>
    <w:rsid w:val="00FE4573"/>
    <w:rsid w:val="00FE4798"/>
    <w:rsid w:val="00FE625A"/>
    <w:rsid w:val="00FE7964"/>
    <w:rsid w:val="00FF0301"/>
    <w:rsid w:val="00FF0DB8"/>
    <w:rsid w:val="00FF12C5"/>
    <w:rsid w:val="00FF1468"/>
    <w:rsid w:val="00FF1F5D"/>
    <w:rsid w:val="00FF2808"/>
    <w:rsid w:val="00FF596E"/>
    <w:rsid w:val="02DA0DBB"/>
    <w:rsid w:val="07E7256C"/>
    <w:rsid w:val="07EB441D"/>
    <w:rsid w:val="09821302"/>
    <w:rsid w:val="0BD73E91"/>
    <w:rsid w:val="0D760F75"/>
    <w:rsid w:val="0DEC713C"/>
    <w:rsid w:val="0E586479"/>
    <w:rsid w:val="102271E3"/>
    <w:rsid w:val="186D77D1"/>
    <w:rsid w:val="1AE5086A"/>
    <w:rsid w:val="1CCA24BA"/>
    <w:rsid w:val="1D6F5803"/>
    <w:rsid w:val="1F320934"/>
    <w:rsid w:val="215C7457"/>
    <w:rsid w:val="21945C4B"/>
    <w:rsid w:val="21C127EB"/>
    <w:rsid w:val="234D392F"/>
    <w:rsid w:val="23773223"/>
    <w:rsid w:val="23AD7D23"/>
    <w:rsid w:val="2DAF4592"/>
    <w:rsid w:val="2E846947"/>
    <w:rsid w:val="33E06DBE"/>
    <w:rsid w:val="3652573B"/>
    <w:rsid w:val="378D2D17"/>
    <w:rsid w:val="38FE19D7"/>
    <w:rsid w:val="393F70E8"/>
    <w:rsid w:val="3BD93AB6"/>
    <w:rsid w:val="3BFF76CE"/>
    <w:rsid w:val="3C8A5F73"/>
    <w:rsid w:val="40C2167D"/>
    <w:rsid w:val="413427C1"/>
    <w:rsid w:val="42B91BD0"/>
    <w:rsid w:val="438E693E"/>
    <w:rsid w:val="446C5F72"/>
    <w:rsid w:val="44CC1860"/>
    <w:rsid w:val="45B67921"/>
    <w:rsid w:val="4EB10098"/>
    <w:rsid w:val="4F4A26F5"/>
    <w:rsid w:val="51506908"/>
    <w:rsid w:val="51903E46"/>
    <w:rsid w:val="52A54C65"/>
    <w:rsid w:val="52AF45F7"/>
    <w:rsid w:val="54692717"/>
    <w:rsid w:val="55C96418"/>
    <w:rsid w:val="560D1564"/>
    <w:rsid w:val="57962949"/>
    <w:rsid w:val="57AF1B19"/>
    <w:rsid w:val="581D6BAE"/>
    <w:rsid w:val="58E67CF2"/>
    <w:rsid w:val="62B4532F"/>
    <w:rsid w:val="635A0283"/>
    <w:rsid w:val="644855F2"/>
    <w:rsid w:val="6C2315CD"/>
    <w:rsid w:val="6C3A7AC0"/>
    <w:rsid w:val="6F1E6479"/>
    <w:rsid w:val="74DF7C7F"/>
    <w:rsid w:val="753644BB"/>
    <w:rsid w:val="765608C9"/>
    <w:rsid w:val="79940248"/>
    <w:rsid w:val="7B66775B"/>
    <w:rsid w:val="7B734D0F"/>
    <w:rsid w:val="7E2D1304"/>
    <w:rsid w:val="7EC27A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keepLines/>
      <w:spacing w:before="340" w:after="330" w:line="578" w:lineRule="auto"/>
      <w:outlineLvl w:val="0"/>
    </w:pPr>
    <w:rPr>
      <w:rFonts w:ascii="Calibri" w:hAnsi="Calibri"/>
      <w:b/>
      <w:bCs/>
      <w:kern w:val="44"/>
      <w:sz w:val="44"/>
      <w:szCs w:val="4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link w:val="33"/>
    <w:unhideWhenUsed/>
    <w:qFormat/>
    <w:uiPriority w:val="99"/>
    <w:pPr>
      <w:jc w:val="left"/>
    </w:pPr>
  </w:style>
  <w:style w:type="paragraph" w:styleId="5">
    <w:name w:val="Body Text"/>
    <w:basedOn w:val="1"/>
    <w:link w:val="39"/>
    <w:unhideWhenUsed/>
    <w:qFormat/>
    <w:uiPriority w:val="1"/>
    <w:pPr>
      <w:spacing w:after="120"/>
    </w:pPr>
  </w:style>
  <w:style w:type="paragraph" w:styleId="6">
    <w:name w:val="Body Text Indent"/>
    <w:basedOn w:val="1"/>
    <w:link w:val="22"/>
    <w:qFormat/>
    <w:uiPriority w:val="0"/>
    <w:pPr>
      <w:adjustRightInd w:val="0"/>
      <w:snapToGrid w:val="0"/>
      <w:ind w:firstLine="360" w:firstLineChars="150"/>
      <w:jc w:val="left"/>
    </w:pPr>
    <w:rPr>
      <w:sz w:val="24"/>
    </w:rPr>
  </w:style>
  <w:style w:type="paragraph" w:styleId="7">
    <w:name w:val="Body Text Indent 2"/>
    <w:basedOn w:val="1"/>
    <w:link w:val="31"/>
    <w:semiHidden/>
    <w:unhideWhenUsed/>
    <w:qFormat/>
    <w:uiPriority w:val="99"/>
    <w:pPr>
      <w:spacing w:after="120" w:line="480" w:lineRule="auto"/>
      <w:ind w:left="420" w:leftChars="200"/>
    </w:pPr>
  </w:style>
  <w:style w:type="paragraph" w:styleId="8">
    <w:name w:val="Balloon Text"/>
    <w:basedOn w:val="1"/>
    <w:link w:val="27"/>
    <w:semiHidden/>
    <w:unhideWhenUsed/>
    <w:qFormat/>
    <w:uiPriority w:val="99"/>
    <w:rPr>
      <w:sz w:val="18"/>
      <w:szCs w:val="18"/>
    </w:rPr>
  </w:style>
  <w:style w:type="paragraph" w:styleId="9">
    <w:name w:val="footer"/>
    <w:basedOn w:val="1"/>
    <w:link w:val="23"/>
    <w:qFormat/>
    <w:uiPriority w:val="0"/>
    <w:pPr>
      <w:tabs>
        <w:tab w:val="center" w:pos="4153"/>
        <w:tab w:val="right" w:pos="8306"/>
      </w:tabs>
      <w:snapToGrid w:val="0"/>
      <w:jc w:val="left"/>
    </w:pPr>
    <w:rPr>
      <w:sz w:val="18"/>
      <w:szCs w:val="18"/>
    </w:rPr>
  </w:style>
  <w:style w:type="paragraph" w:styleId="10">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Indent 3"/>
    <w:basedOn w:val="1"/>
    <w:qFormat/>
    <w:uiPriority w:val="0"/>
    <w:pPr>
      <w:ind w:firstLine="632" w:firstLineChars="200"/>
    </w:pPr>
    <w:rPr>
      <w:rFonts w:ascii="仿宋_GB2312" w:hAnsi="Times New Roman" w:eastAsia="仿宋_GB2312"/>
      <w:sz w:val="32"/>
      <w:szCs w:val="24"/>
    </w:rPr>
  </w:style>
  <w:style w:type="paragraph" w:styleId="12">
    <w:name w:val="Normal (Web)"/>
    <w:basedOn w:val="1"/>
    <w:unhideWhenUsed/>
    <w:qFormat/>
    <w:uiPriority w:val="99"/>
    <w:pPr>
      <w:widowControl/>
      <w:spacing w:before="75" w:after="75"/>
      <w:jc w:val="left"/>
    </w:pPr>
    <w:rPr>
      <w:rFonts w:ascii="宋体" w:hAnsi="宋体" w:cs="宋体"/>
      <w:kern w:val="0"/>
      <w:sz w:val="24"/>
    </w:rPr>
  </w:style>
  <w:style w:type="paragraph" w:styleId="13">
    <w:name w:val="annotation subject"/>
    <w:basedOn w:val="4"/>
    <w:next w:val="4"/>
    <w:link w:val="34"/>
    <w:semiHidden/>
    <w:unhideWhenUsed/>
    <w:qFormat/>
    <w:uiPriority w:val="99"/>
    <w:rPr>
      <w:b/>
      <w:bCs/>
    </w:rPr>
  </w:style>
  <w:style w:type="paragraph" w:styleId="14">
    <w:name w:val="Body Text First Indent 2"/>
    <w:basedOn w:val="6"/>
    <w:link w:val="24"/>
    <w:qFormat/>
    <w:uiPriority w:val="0"/>
    <w:pPr>
      <w:adjustRightInd/>
      <w:snapToGrid/>
      <w:spacing w:after="120"/>
      <w:ind w:left="420" w:leftChars="200" w:firstLine="420" w:firstLineChars="200"/>
      <w:jc w:val="both"/>
    </w:pPr>
    <w:rPr>
      <w:sz w:val="21"/>
    </w:rPr>
  </w:style>
  <w:style w:type="table" w:styleId="16">
    <w:name w:val="Table Grid"/>
    <w:basedOn w:val="1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8">
    <w:name w:val="page number"/>
    <w:basedOn w:val="17"/>
    <w:qFormat/>
    <w:uiPriority w:val="0"/>
  </w:style>
  <w:style w:type="character" w:styleId="19">
    <w:name w:val="Hyperlink"/>
    <w:basedOn w:val="17"/>
    <w:qFormat/>
    <w:uiPriority w:val="0"/>
    <w:rPr>
      <w:color w:val="000000"/>
      <w:u w:val="none"/>
    </w:rPr>
  </w:style>
  <w:style w:type="character" w:styleId="20">
    <w:name w:val="annotation reference"/>
    <w:basedOn w:val="17"/>
    <w:unhideWhenUsed/>
    <w:qFormat/>
    <w:uiPriority w:val="99"/>
    <w:rPr>
      <w:sz w:val="21"/>
      <w:szCs w:val="21"/>
    </w:rPr>
  </w:style>
  <w:style w:type="character" w:customStyle="1" w:styleId="21">
    <w:name w:val="标题 1 字符"/>
    <w:basedOn w:val="17"/>
    <w:link w:val="2"/>
    <w:qFormat/>
    <w:uiPriority w:val="9"/>
    <w:rPr>
      <w:rFonts w:ascii="Calibri" w:hAnsi="Calibri" w:eastAsia="宋体" w:cs="Times New Roman"/>
      <w:b/>
      <w:bCs/>
      <w:kern w:val="44"/>
      <w:sz w:val="44"/>
      <w:szCs w:val="44"/>
    </w:rPr>
  </w:style>
  <w:style w:type="character" w:customStyle="1" w:styleId="22">
    <w:name w:val="正文文本缩进 字符"/>
    <w:basedOn w:val="17"/>
    <w:link w:val="6"/>
    <w:qFormat/>
    <w:uiPriority w:val="0"/>
    <w:rPr>
      <w:rFonts w:ascii="Times New Roman" w:hAnsi="Times New Roman" w:eastAsia="宋体" w:cs="Times New Roman"/>
      <w:sz w:val="24"/>
      <w:szCs w:val="24"/>
    </w:rPr>
  </w:style>
  <w:style w:type="character" w:customStyle="1" w:styleId="23">
    <w:name w:val="页脚 字符"/>
    <w:basedOn w:val="17"/>
    <w:link w:val="9"/>
    <w:qFormat/>
    <w:uiPriority w:val="0"/>
    <w:rPr>
      <w:rFonts w:ascii="Times New Roman" w:hAnsi="Times New Roman" w:eastAsia="宋体" w:cs="Times New Roman"/>
      <w:sz w:val="18"/>
      <w:szCs w:val="18"/>
    </w:rPr>
  </w:style>
  <w:style w:type="character" w:customStyle="1" w:styleId="24">
    <w:name w:val="正文文本首行缩进 2 字符"/>
    <w:basedOn w:val="22"/>
    <w:link w:val="14"/>
    <w:qFormat/>
    <w:uiPriority w:val="0"/>
    <w:rPr>
      <w:rFonts w:ascii="Times New Roman" w:hAnsi="Times New Roman" w:eastAsia="宋体" w:cs="Times New Roman"/>
      <w:sz w:val="24"/>
      <w:szCs w:val="24"/>
    </w:rPr>
  </w:style>
  <w:style w:type="paragraph" w:customStyle="1" w:styleId="25">
    <w:name w:val="正文所"/>
    <w:basedOn w:val="1"/>
    <w:qFormat/>
    <w:uiPriority w:val="0"/>
    <w:pPr>
      <w:spacing w:line="360" w:lineRule="auto"/>
      <w:ind w:firstLine="420" w:firstLineChars="200"/>
    </w:pPr>
    <w:rPr>
      <w:rFonts w:ascii="宋体"/>
      <w:szCs w:val="20"/>
    </w:rPr>
  </w:style>
  <w:style w:type="paragraph" w:customStyle="1" w:styleId="26">
    <w:name w:val="段落1"/>
    <w:basedOn w:val="1"/>
    <w:qFormat/>
    <w:uiPriority w:val="0"/>
    <w:pPr>
      <w:spacing w:line="300" w:lineRule="auto"/>
      <w:ind w:firstLine="420"/>
    </w:pPr>
    <w:rPr>
      <w:rFonts w:ascii="宋体" w:hAnsi="宋体"/>
      <w:sz w:val="24"/>
    </w:rPr>
  </w:style>
  <w:style w:type="character" w:customStyle="1" w:styleId="27">
    <w:name w:val="批注框文本 字符"/>
    <w:basedOn w:val="17"/>
    <w:link w:val="8"/>
    <w:semiHidden/>
    <w:qFormat/>
    <w:uiPriority w:val="99"/>
    <w:rPr>
      <w:rFonts w:ascii="Times New Roman" w:hAnsi="Times New Roman" w:eastAsia="宋体" w:cs="Times New Roman"/>
      <w:sz w:val="18"/>
      <w:szCs w:val="18"/>
    </w:rPr>
  </w:style>
  <w:style w:type="character" w:customStyle="1" w:styleId="28">
    <w:name w:val="页眉 字符"/>
    <w:basedOn w:val="17"/>
    <w:link w:val="10"/>
    <w:qFormat/>
    <w:uiPriority w:val="99"/>
    <w:rPr>
      <w:rFonts w:ascii="Times New Roman" w:hAnsi="Times New Roman" w:eastAsia="宋体" w:cs="Times New Roman"/>
      <w:sz w:val="18"/>
      <w:szCs w:val="18"/>
    </w:rPr>
  </w:style>
  <w:style w:type="paragraph" w:styleId="29">
    <w:name w:val="List Paragraph"/>
    <w:basedOn w:val="1"/>
    <w:link w:val="30"/>
    <w:qFormat/>
    <w:uiPriority w:val="34"/>
    <w:pPr>
      <w:ind w:firstLine="420" w:firstLineChars="200"/>
    </w:pPr>
  </w:style>
  <w:style w:type="character" w:customStyle="1" w:styleId="30">
    <w:name w:val="列表段落 字符"/>
    <w:link w:val="29"/>
    <w:qFormat/>
    <w:uiPriority w:val="34"/>
    <w:rPr>
      <w:rFonts w:ascii="Times New Roman" w:hAnsi="Times New Roman" w:eastAsia="宋体" w:cs="Times New Roman"/>
      <w:szCs w:val="24"/>
    </w:rPr>
  </w:style>
  <w:style w:type="character" w:customStyle="1" w:styleId="31">
    <w:name w:val="正文文本缩进 2 字符"/>
    <w:basedOn w:val="17"/>
    <w:link w:val="7"/>
    <w:semiHidden/>
    <w:qFormat/>
    <w:uiPriority w:val="99"/>
    <w:rPr>
      <w:rFonts w:ascii="Times New Roman" w:hAnsi="Times New Roman" w:eastAsia="宋体" w:cs="Times New Roman"/>
      <w:szCs w:val="24"/>
    </w:rPr>
  </w:style>
  <w:style w:type="character" w:customStyle="1" w:styleId="32">
    <w:name w:val="detail1"/>
    <w:basedOn w:val="17"/>
    <w:qFormat/>
    <w:uiPriority w:val="0"/>
    <w:rPr>
      <w:rFonts w:hint="default" w:ascii="ˎ̥" w:hAnsi="ˎ̥"/>
      <w:sz w:val="21"/>
      <w:szCs w:val="21"/>
      <w:u w:val="none"/>
    </w:rPr>
  </w:style>
  <w:style w:type="character" w:customStyle="1" w:styleId="33">
    <w:name w:val="批注文字 字符"/>
    <w:basedOn w:val="17"/>
    <w:link w:val="4"/>
    <w:qFormat/>
    <w:uiPriority w:val="99"/>
    <w:rPr>
      <w:rFonts w:ascii="Times New Roman" w:hAnsi="Times New Roman" w:eastAsia="宋体" w:cs="Times New Roman"/>
      <w:szCs w:val="24"/>
    </w:rPr>
  </w:style>
  <w:style w:type="character" w:customStyle="1" w:styleId="34">
    <w:name w:val="批注主题 字符"/>
    <w:basedOn w:val="33"/>
    <w:link w:val="13"/>
    <w:semiHidden/>
    <w:qFormat/>
    <w:uiPriority w:val="99"/>
    <w:rPr>
      <w:rFonts w:ascii="Times New Roman" w:hAnsi="Times New Roman" w:eastAsia="宋体" w:cs="Times New Roman"/>
      <w:b/>
      <w:bCs/>
      <w:szCs w:val="24"/>
    </w:rPr>
  </w:style>
  <w:style w:type="character" w:customStyle="1" w:styleId="35">
    <w:name w:val="iconnostar"/>
    <w:basedOn w:val="17"/>
    <w:qFormat/>
    <w:uiPriority w:val="0"/>
    <w:rPr>
      <w:rFonts w:hint="eastAsia" w:ascii="宋体" w:hAnsi="宋体" w:eastAsia="宋体"/>
      <w:sz w:val="18"/>
      <w:szCs w:val="18"/>
    </w:rPr>
  </w:style>
  <w:style w:type="paragraph" w:customStyle="1" w:styleId="36">
    <w:name w:val="列出段落1"/>
    <w:basedOn w:val="1"/>
    <w:link w:val="37"/>
    <w:qFormat/>
    <w:uiPriority w:val="99"/>
    <w:pPr>
      <w:ind w:firstLine="420" w:firstLineChars="200"/>
    </w:pPr>
  </w:style>
  <w:style w:type="character" w:customStyle="1" w:styleId="37">
    <w:name w:val="列出段落 Char"/>
    <w:basedOn w:val="17"/>
    <w:link w:val="36"/>
    <w:qFormat/>
    <w:locked/>
    <w:uiPriority w:val="99"/>
    <w:rPr>
      <w:rFonts w:ascii="Times New Roman" w:hAnsi="Times New Roman" w:eastAsia="宋体" w:cs="Times New Roman"/>
      <w:szCs w:val="24"/>
    </w:rPr>
  </w:style>
  <w:style w:type="paragraph" w:customStyle="1" w:styleId="38">
    <w:name w:val="Default"/>
    <w:qFormat/>
    <w:uiPriority w:val="0"/>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character" w:customStyle="1" w:styleId="39">
    <w:name w:val="正文文本 字符"/>
    <w:basedOn w:val="17"/>
    <w:link w:val="5"/>
    <w:qFormat/>
    <w:uiPriority w:val="1"/>
    <w:rPr>
      <w:rFonts w:ascii="Times New Roman" w:hAnsi="Times New Roman" w:eastAsia="宋体" w:cs="Times New Roman"/>
      <w:szCs w:val="24"/>
    </w:rPr>
  </w:style>
  <w:style w:type="paragraph" w:customStyle="1" w:styleId="40">
    <w:name w:val="Table Paragraph"/>
    <w:basedOn w:val="1"/>
    <w:qFormat/>
    <w:uiPriority w:val="1"/>
    <w:pPr>
      <w:spacing w:line="249" w:lineRule="exact"/>
      <w:ind w:left="100"/>
      <w:jc w:val="left"/>
    </w:pPr>
    <w:rPr>
      <w:rFonts w:ascii="宋体" w:hAnsi="宋体" w:cs="宋体"/>
      <w:kern w:val="0"/>
      <w:sz w:val="22"/>
      <w:szCs w:val="22"/>
      <w:lang w:eastAsia="en-US"/>
    </w:rPr>
  </w:style>
  <w:style w:type="paragraph" w:customStyle="1" w:styleId="41">
    <w:name w:val="Revision"/>
    <w:hidden/>
    <w:semiHidden/>
    <w:qFormat/>
    <w:uiPriority w:val="99"/>
    <w:rPr>
      <w:rFonts w:ascii="Times New Roman" w:hAnsi="Times New Roman" w:eastAsia="宋体" w:cs="Times New Roman"/>
      <w:kern w:val="2"/>
      <w:sz w:val="21"/>
      <w:szCs w:val="24"/>
      <w:lang w:val="en-US" w:eastAsia="zh-CN" w:bidi="ar-SA"/>
    </w:rPr>
  </w:style>
  <w:style w:type="character" w:styleId="42">
    <w:name w:val="Placeholder Text"/>
    <w:basedOn w:val="17"/>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DE3421-FE26-410A-818F-817BA6936C59}">
  <ds:schemaRefs/>
</ds:datastoreItem>
</file>

<file path=docProps/app.xml><?xml version="1.0" encoding="utf-8"?>
<Properties xmlns="http://schemas.openxmlformats.org/officeDocument/2006/extended-properties" xmlns:vt="http://schemas.openxmlformats.org/officeDocument/2006/docPropsVTypes">
  <Template>Normal.dotm</Template>
  <Company>CMB China HeadOffice</Company>
  <Pages>6</Pages>
  <Words>1091</Words>
  <Characters>6223</Characters>
  <Lines>51</Lines>
  <Paragraphs>14</Paragraphs>
  <TotalTime>1</TotalTime>
  <ScaleCrop>false</ScaleCrop>
  <LinksUpToDate>false</LinksUpToDate>
  <CharactersWithSpaces>7300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2021-08-16T10:14:00Z</dcterms:created>
  <dc:creator>王潇\01169084</dc:creator>
  <cp:lastModifiedBy>周 翔</cp:lastModifiedBy>
  <cp:lastPrinted>2019-07-25T01:22:00Z</cp:lastPrinted>
  <dcterms:modified xsi:type="dcterms:W3CDTF">2025-03-17T08:33:03Z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FFC855DA9DB54852AD6CD9A9C397D932</vt:lpwstr>
  </property>
</Properties>
</file>