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spacing w:before="0" w:beforeAutospacing="0" w:after="0" w:afterAutospacing="0" w:line="360" w:lineRule="auto"/>
        <w:jc w:val="center"/>
        <w:outlineLvl w:val="0"/>
        <w:rPr>
          <w:rFonts w:ascii="楷体" w:hAnsi="楷体" w:eastAsia="楷体"/>
          <w:b/>
          <w:sz w:val="32"/>
          <w:szCs w:val="32"/>
          <w:highlight w:val="none"/>
        </w:rPr>
      </w:pPr>
      <w:r>
        <w:rPr>
          <w:rFonts w:hint="eastAsia" w:ascii="楷体" w:hAnsi="楷体" w:eastAsia="楷体"/>
          <w:b/>
          <w:sz w:val="32"/>
          <w:szCs w:val="32"/>
          <w:highlight w:val="none"/>
        </w:rPr>
        <w:t>“苏银理财启源货币1号”理财产品风险揭示书</w:t>
      </w:r>
    </w:p>
    <w:p>
      <w:pPr>
        <w:jc w:val="center"/>
        <w:outlineLvl w:val="1"/>
        <w:rPr>
          <w:rFonts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国家金融监督管理总局（以下简称“金融监管总局”）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1"/>
        </w:numPr>
        <w:tabs>
          <w:tab w:val="left" w:pos="1134"/>
        </w:tabs>
        <w:ind w:left="0" w:firstLine="562" w:firstLineChars="200"/>
        <w:outlineLvl w:val="1"/>
        <w:rPr>
          <w:rFonts w:ascii="楷体" w:hAnsi="楷体" w:eastAsia="楷体"/>
          <w:b/>
          <w:sz w:val="24"/>
          <w:szCs w:val="24"/>
          <w:highlight w:val="none"/>
        </w:rPr>
      </w:pPr>
      <w:r>
        <w:rPr>
          <w:rFonts w:hint="eastAsia" w:ascii="楷体" w:hAnsi="楷体" w:eastAsia="楷体"/>
          <w:b/>
          <w:sz w:val="28"/>
          <w:szCs w:val="28"/>
          <w:highlight w:val="none"/>
        </w:rPr>
        <w:t>风险揭示</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本金及理财产品收益风险：</w:t>
      </w:r>
      <w:r>
        <w:rPr>
          <w:rFonts w:hint="eastAsia" w:ascii="楷体" w:hAnsi="楷体" w:eastAsia="楷体"/>
          <w:sz w:val="24"/>
          <w:szCs w:val="24"/>
          <w:highlight w:val="none"/>
        </w:rPr>
        <w:t>本理财计划不等同于银行存款，不保障投资者投资理财的本金，不保证理财收益</w:t>
      </w:r>
      <w:r>
        <w:rPr>
          <w:rFonts w:hint="eastAsia" w:ascii="楷体" w:hAnsi="楷体" w:eastAsia="楷体"/>
          <w:sz w:val="24"/>
          <w:szCs w:val="24"/>
          <w:highlight w:val="none"/>
          <w:lang w:eastAsia="zh-CN"/>
        </w:rPr>
        <w:t>，</w:t>
      </w:r>
      <w:r>
        <w:rPr>
          <w:rFonts w:hint="eastAsia" w:ascii="楷体" w:hAnsi="楷体" w:eastAsia="楷体"/>
          <w:sz w:val="24"/>
          <w:szCs w:val="24"/>
          <w:highlight w:val="none"/>
        </w:rPr>
        <w:t>投资者的本金和理财收益（如有）均可能随理财计划投资盈亏而浮动，在最不利的情况，投资者可能无法取得理财收益甚至损失部分或全部本金。</w:t>
      </w:r>
    </w:p>
    <w:p>
      <w:pPr>
        <w:numPr>
          <w:ilvl w:val="0"/>
          <w:numId w:val="2"/>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流动性风险：</w:t>
      </w:r>
      <w:r>
        <w:rPr>
          <w:rFonts w:hint="eastAsia" w:ascii="楷体" w:hAnsi="楷体" w:eastAsia="楷体"/>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代销风险（如有）：</w:t>
      </w:r>
      <w:r>
        <w:rPr>
          <w:rFonts w:hint="eastAsia" w:ascii="楷体" w:hAnsi="楷体" w:eastAsia="楷体"/>
          <w:bCs/>
          <w:sz w:val="24"/>
          <w:szCs w:val="24"/>
          <w:highlight w:val="none"/>
        </w:rPr>
        <w:t>如</w:t>
      </w:r>
      <w:r>
        <w:rPr>
          <w:rFonts w:hint="eastAsia" w:ascii="楷体" w:hAnsi="楷体" w:eastAsia="楷体"/>
          <w:sz w:val="24"/>
          <w:szCs w:val="24"/>
          <w:highlight w:val="none"/>
        </w:rPr>
        <w:t>本产品通过代销渠道（非产品管理人自有渠道）销售，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bCs/>
          <w:sz w:val="24"/>
          <w:szCs w:val="24"/>
          <w:highlight w:val="none"/>
        </w:rPr>
        <w:t>理财产品的份额类别差异风险：</w:t>
      </w:r>
      <w:r>
        <w:rPr>
          <w:rFonts w:hint="eastAsia" w:ascii="楷体" w:hAnsi="楷体" w:eastAsia="楷体"/>
          <w:sz w:val="24"/>
          <w:szCs w:val="24"/>
          <w:highlight w:val="none"/>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2"/>
        </w:numPr>
        <w:tabs>
          <w:tab w:val="left" w:pos="993"/>
        </w:tabs>
        <w:ind w:left="0" w:firstLine="482" w:firstLineChars="200"/>
        <w:rPr>
          <w:rFonts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82" w:firstLineChars="200"/>
        <w:rPr>
          <w:rFonts w:ascii="楷体" w:hAnsi="楷体" w:eastAsia="楷体"/>
          <w:b/>
          <w:sz w:val="24"/>
          <w:szCs w:val="24"/>
          <w:highlight w:val="none"/>
        </w:rPr>
      </w:pPr>
      <w:r>
        <w:rPr>
          <w:rFonts w:hint="eastAsia" w:ascii="楷体" w:hAnsi="楷体" w:eastAsia="楷体"/>
          <w:b/>
          <w:sz w:val="24"/>
          <w:szCs w:val="24"/>
          <w:highlight w:val="none"/>
        </w:rPr>
        <w:t>债券投资的特殊风险</w:t>
      </w:r>
    </w:p>
    <w:p>
      <w:pPr>
        <w:numPr>
          <w:ilvl w:val="0"/>
          <w:numId w:val="3"/>
        </w:numPr>
        <w:tabs>
          <w:tab w:val="left" w:pos="742"/>
        </w:tabs>
        <w:ind w:left="0" w:firstLine="480" w:firstLineChars="200"/>
        <w:outlineLvl w:val="2"/>
        <w:rPr>
          <w:rFonts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4"/>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4"/>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4"/>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4"/>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4"/>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4"/>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ind w:left="0" w:firstLine="480" w:firstLineChars="200"/>
        <w:outlineLvl w:val="2"/>
        <w:rPr>
          <w:rFonts w:ascii="楷体" w:hAnsi="楷体" w:eastAsia="楷体"/>
          <w:sz w:val="24"/>
          <w:szCs w:val="24"/>
          <w:highlight w:val="none"/>
        </w:rPr>
      </w:pPr>
      <w:r>
        <w:rPr>
          <w:rFonts w:hint="eastAsia" w:ascii="楷体" w:hAnsi="楷体" w:eastAsia="楷体"/>
          <w:sz w:val="24"/>
          <w:szCs w:val="24"/>
          <w:highlight w:val="none"/>
        </w:rPr>
        <w:t>相关资产管理计划或基金份额的特殊风险：</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5"/>
        </w:numPr>
        <w:tabs>
          <w:tab w:val="left" w:pos="109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highlight w:val="none"/>
          <w:u w:val="single"/>
        </w:rPr>
      </w:pPr>
    </w:p>
    <w:p>
      <w:pPr>
        <w:numPr>
          <w:ilvl w:val="0"/>
          <w:numId w:val="1"/>
        </w:numPr>
        <w:tabs>
          <w:tab w:val="left" w:pos="1134"/>
        </w:tabs>
        <w:ind w:left="0" w:firstLine="562" w:firstLineChars="200"/>
        <w:outlineLvl w:val="1"/>
        <w:rPr>
          <w:rFonts w:ascii="楷体" w:hAnsi="楷体" w:eastAsia="楷体"/>
          <w:b/>
          <w:sz w:val="28"/>
          <w:szCs w:val="28"/>
          <w:highlight w:val="none"/>
        </w:rPr>
      </w:pPr>
      <w:r>
        <w:rPr>
          <w:rFonts w:hint="eastAsia" w:ascii="楷体" w:hAnsi="楷体" w:eastAsia="楷体"/>
          <w:b/>
          <w:sz w:val="28"/>
          <w:szCs w:val="28"/>
          <w:highlight w:val="none"/>
        </w:rPr>
        <w:t>投资者提示</w:t>
      </w:r>
    </w:p>
    <w:p>
      <w:pPr>
        <w:tabs>
          <w:tab w:val="left" w:pos="742"/>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3.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4.本理财产品类型为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★一级，适合</w:t>
      </w:r>
      <w:r>
        <w:rPr>
          <w:rFonts w:hint="eastAsia" w:ascii="楷体" w:hAnsi="楷体" w:eastAsia="楷体" w:cs="Calibri"/>
          <w:b/>
          <w:sz w:val="24"/>
          <w:szCs w:val="24"/>
          <w:highlight w:val="none"/>
          <w:u w:val="single"/>
        </w:rPr>
        <w:t>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highlight w:val="none"/>
        </w:rPr>
      </w:pPr>
    </w:p>
    <w:p>
      <w:pPr>
        <w:pStyle w:val="12"/>
        <w:spacing w:before="0" w:beforeAutospacing="0" w:after="0" w:afterAutospacing="0" w:line="360" w:lineRule="auto"/>
        <w:ind w:left="420"/>
        <w:jc w:val="right"/>
        <w:rPr>
          <w:highlight w:val="none"/>
        </w:rPr>
      </w:pPr>
      <w:r>
        <w:rPr>
          <w:rFonts w:hint="eastAsia" w:ascii="楷体" w:hAnsi="楷体" w:eastAsia="楷体"/>
          <w:b/>
          <w:highlight w:val="none"/>
        </w:rPr>
        <w:t>风险揭示方：苏银理财有限责任公司</w:t>
      </w:r>
    </w:p>
    <w:p>
      <w:pPr>
        <w:pStyle w:val="12"/>
        <w:spacing w:before="0" w:beforeAutospacing="0" w:after="0" w:afterAutospacing="0" w:line="360" w:lineRule="auto"/>
        <w:jc w:val="center"/>
        <w:rPr>
          <w:rFonts w:ascii="楷体" w:hAnsi="楷体" w:eastAsia="楷体"/>
          <w:b/>
          <w:sz w:val="36"/>
          <w:szCs w:val="36"/>
          <w:highlight w:val="none"/>
        </w:rPr>
      </w:pPr>
    </w:p>
    <w:p>
      <w:pPr>
        <w:pStyle w:val="12"/>
        <w:spacing w:before="0" w:beforeAutospacing="0" w:after="0" w:afterAutospacing="0" w:line="360" w:lineRule="auto"/>
        <w:jc w:val="center"/>
        <w:rPr>
          <w:rFonts w:ascii="楷体" w:hAnsi="楷体" w:eastAsia="楷体"/>
          <w:b/>
          <w:sz w:val="36"/>
          <w:szCs w:val="36"/>
          <w:highlight w:val="none"/>
        </w:rPr>
      </w:pPr>
    </w:p>
    <w:p>
      <w:pPr>
        <w:pStyle w:val="12"/>
        <w:spacing w:before="0" w:beforeAutospacing="0" w:after="0" w:afterAutospacing="0" w:line="360" w:lineRule="auto"/>
        <w:jc w:val="center"/>
        <w:outlineLvl w:val="0"/>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6"/>
        </w:numPr>
        <w:tabs>
          <w:tab w:val="left" w:pos="1134"/>
        </w:tabs>
        <w:ind w:firstLine="560" w:firstLineChars="200"/>
        <w:outlineLvl w:val="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highlight w:val="none"/>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ascii="楷体" w:hAnsi="楷体" w:eastAsia="楷体"/>
          <w:b/>
          <w:sz w:val="24"/>
          <w:szCs w:val="24"/>
          <w:highlight w:val="none"/>
        </w:rPr>
      </w:pPr>
    </w:p>
    <w:p>
      <w:pPr>
        <w:ind w:firstLine="480" w:firstLineChars="200"/>
        <w:rPr>
          <w:rFonts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ascii="楷体" w:hAnsi="楷体" w:eastAsia="楷体"/>
          <w:sz w:val="24"/>
          <w:szCs w:val="24"/>
          <w:highlight w:val="none"/>
          <w:u w:val="single"/>
        </w:rPr>
      </w:pPr>
    </w:p>
    <w:p>
      <w:pPr>
        <w:rPr>
          <w:rFonts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ascii="楷体" w:hAnsi="楷体" w:eastAsia="楷体"/>
          <w:sz w:val="24"/>
          <w:szCs w:val="24"/>
          <w:highlight w:val="none"/>
        </w:rPr>
      </w:pPr>
      <w:r>
        <w:rPr>
          <w:rFonts w:hint="eastAsia" w:ascii="楷体" w:hAnsi="楷体" w:eastAsia="楷体"/>
          <w:sz w:val="24"/>
          <w:szCs w:val="24"/>
          <w:highlight w:val="none"/>
        </w:rPr>
        <w:t>年   月   日</w:t>
      </w:r>
    </w:p>
    <w:p>
      <w:pPr>
        <w:numPr>
          <w:ilvl w:val="0"/>
          <w:numId w:val="6"/>
        </w:numPr>
        <w:tabs>
          <w:tab w:val="left" w:pos="1134"/>
        </w:tabs>
        <w:ind w:firstLine="560" w:firstLineChars="200"/>
        <w:outlineLvl w:val="0"/>
        <w:rPr>
          <w:rFonts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w:t>
      </w:r>
      <w:r>
        <w:rPr>
          <w:rFonts w:hint="eastAsia" w:ascii="楷体" w:hAnsi="楷体" w:eastAsia="楷体"/>
          <w:b/>
          <w:bCs/>
          <w:sz w:val="24"/>
          <w:szCs w:val="24"/>
          <w:highlight w:val="none"/>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p>
    <w:p>
      <w:pPr>
        <w:rPr>
          <w:rFonts w:ascii="楷体" w:hAnsi="楷体" w:eastAsia="楷体"/>
          <w:sz w:val="24"/>
          <w:szCs w:val="24"/>
          <w:highlight w:val="none"/>
        </w:rPr>
      </w:pPr>
    </w:p>
    <w:p>
      <w:pPr>
        <w:rPr>
          <w:rFonts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ascii="楷体" w:hAnsi="楷体" w:eastAsia="楷体"/>
          <w:sz w:val="24"/>
          <w:szCs w:val="24"/>
          <w:highlight w:val="none"/>
        </w:rPr>
      </w:pPr>
      <w:r>
        <w:rPr>
          <w:rFonts w:hint="eastAsia" w:ascii="楷体" w:hAnsi="楷体" w:eastAsia="楷体"/>
          <w:sz w:val="24"/>
          <w:szCs w:val="24"/>
          <w:highlight w:val="none"/>
        </w:rPr>
        <w:t>机构投资者法定代表人或授权代表（签字或盖章）</w:t>
      </w:r>
    </w:p>
    <w:p>
      <w:pPr>
        <w:rPr>
          <w:rFonts w:ascii="楷体" w:hAnsi="楷体" w:eastAsia="楷体"/>
          <w:highlight w:val="none"/>
        </w:rPr>
      </w:pPr>
    </w:p>
    <w:p>
      <w:pPr>
        <w:ind w:firstLine="360" w:firstLineChars="150"/>
        <w:jc w:val="right"/>
        <w:rPr>
          <w:highlight w:val="none"/>
        </w:rPr>
      </w:pPr>
      <w:r>
        <w:rPr>
          <w:rFonts w:hint="eastAsia" w:ascii="楷体" w:hAnsi="楷体" w:eastAsia="楷体"/>
          <w:sz w:val="24"/>
          <w:szCs w:val="24"/>
          <w:highlight w:val="none"/>
        </w:rPr>
        <w:t>年   月   日</w:t>
      </w:r>
    </w:p>
    <w:p>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CB488A"/>
    <w:rsid w:val="02F91254"/>
    <w:rsid w:val="02FF0E39"/>
    <w:rsid w:val="03040CCD"/>
    <w:rsid w:val="0337506D"/>
    <w:rsid w:val="03404E17"/>
    <w:rsid w:val="036C4C82"/>
    <w:rsid w:val="03C0185E"/>
    <w:rsid w:val="03D84221"/>
    <w:rsid w:val="04114DD0"/>
    <w:rsid w:val="04386532"/>
    <w:rsid w:val="046B703C"/>
    <w:rsid w:val="049F6495"/>
    <w:rsid w:val="04A55DD3"/>
    <w:rsid w:val="04BD2C91"/>
    <w:rsid w:val="05091BBF"/>
    <w:rsid w:val="050D4AAD"/>
    <w:rsid w:val="05293A29"/>
    <w:rsid w:val="056720A5"/>
    <w:rsid w:val="05C24554"/>
    <w:rsid w:val="061239DA"/>
    <w:rsid w:val="06136505"/>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64B08"/>
    <w:rsid w:val="0BD96283"/>
    <w:rsid w:val="0BDC010B"/>
    <w:rsid w:val="0BED7F86"/>
    <w:rsid w:val="0C510802"/>
    <w:rsid w:val="0D1260BC"/>
    <w:rsid w:val="0D3F2706"/>
    <w:rsid w:val="0D542D4A"/>
    <w:rsid w:val="0D6B1BDB"/>
    <w:rsid w:val="0D817E81"/>
    <w:rsid w:val="0D9C032D"/>
    <w:rsid w:val="0DAF4280"/>
    <w:rsid w:val="0DFA753B"/>
    <w:rsid w:val="0E076AE9"/>
    <w:rsid w:val="0E11325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5B0189"/>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5D4C31"/>
    <w:rsid w:val="17896CFA"/>
    <w:rsid w:val="17D45A8C"/>
    <w:rsid w:val="17E21328"/>
    <w:rsid w:val="17FB18BA"/>
    <w:rsid w:val="182D7E75"/>
    <w:rsid w:val="184C55BE"/>
    <w:rsid w:val="189B493E"/>
    <w:rsid w:val="18C156F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082050"/>
    <w:rsid w:val="22506514"/>
    <w:rsid w:val="228E60BF"/>
    <w:rsid w:val="22935B46"/>
    <w:rsid w:val="22961598"/>
    <w:rsid w:val="22D73079"/>
    <w:rsid w:val="22E22C59"/>
    <w:rsid w:val="234D3929"/>
    <w:rsid w:val="23541932"/>
    <w:rsid w:val="23826133"/>
    <w:rsid w:val="23CD30A4"/>
    <w:rsid w:val="23DC536C"/>
    <w:rsid w:val="240D352F"/>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071937"/>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3070A0"/>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BF5D05"/>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BA296A"/>
    <w:rsid w:val="45CD2D28"/>
    <w:rsid w:val="45F92A29"/>
    <w:rsid w:val="46011FAD"/>
    <w:rsid w:val="46190435"/>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C761962"/>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061658C"/>
    <w:rsid w:val="519B7108"/>
    <w:rsid w:val="51C43505"/>
    <w:rsid w:val="51D84EF3"/>
    <w:rsid w:val="51DF4501"/>
    <w:rsid w:val="52617B9A"/>
    <w:rsid w:val="526A0EA3"/>
    <w:rsid w:val="527B3ECE"/>
    <w:rsid w:val="52A56F95"/>
    <w:rsid w:val="52E30177"/>
    <w:rsid w:val="52F05286"/>
    <w:rsid w:val="5306714B"/>
    <w:rsid w:val="531C52ED"/>
    <w:rsid w:val="533E5A53"/>
    <w:rsid w:val="53417F4F"/>
    <w:rsid w:val="535C1CA7"/>
    <w:rsid w:val="536E3862"/>
    <w:rsid w:val="5386049A"/>
    <w:rsid w:val="53A4550B"/>
    <w:rsid w:val="53E97734"/>
    <w:rsid w:val="549402BD"/>
    <w:rsid w:val="549A2529"/>
    <w:rsid w:val="54EC2723"/>
    <w:rsid w:val="550C0DEA"/>
    <w:rsid w:val="5514217D"/>
    <w:rsid w:val="555B0AE3"/>
    <w:rsid w:val="55833F56"/>
    <w:rsid w:val="55B151A9"/>
    <w:rsid w:val="55BB0B38"/>
    <w:rsid w:val="55BF0E11"/>
    <w:rsid w:val="55EC2B74"/>
    <w:rsid w:val="55FB6C6E"/>
    <w:rsid w:val="56136CDA"/>
    <w:rsid w:val="56150ED4"/>
    <w:rsid w:val="56182B77"/>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AF6527"/>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97A51"/>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AD4F10"/>
    <w:rsid w:val="70C7777F"/>
    <w:rsid w:val="70DC0F3A"/>
    <w:rsid w:val="715C6E4A"/>
    <w:rsid w:val="715F7D1F"/>
    <w:rsid w:val="71A71FB4"/>
    <w:rsid w:val="71ED3D75"/>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515C1"/>
    <w:rsid w:val="777D0E86"/>
    <w:rsid w:val="77820D78"/>
    <w:rsid w:val="779C4B53"/>
    <w:rsid w:val="77B15C8C"/>
    <w:rsid w:val="77B2647A"/>
    <w:rsid w:val="77B34A1D"/>
    <w:rsid w:val="77B91A0C"/>
    <w:rsid w:val="78431FAF"/>
    <w:rsid w:val="78724A45"/>
    <w:rsid w:val="78823025"/>
    <w:rsid w:val="79153558"/>
    <w:rsid w:val="793D4199"/>
    <w:rsid w:val="79421110"/>
    <w:rsid w:val="797F6542"/>
    <w:rsid w:val="799228EE"/>
    <w:rsid w:val="79CD2757"/>
    <w:rsid w:val="79D07C69"/>
    <w:rsid w:val="7A481C15"/>
    <w:rsid w:val="7A6E4950"/>
    <w:rsid w:val="7A817929"/>
    <w:rsid w:val="7B12208E"/>
    <w:rsid w:val="7B2456A1"/>
    <w:rsid w:val="7B2960C0"/>
    <w:rsid w:val="7B2C1F5B"/>
    <w:rsid w:val="7B550B7A"/>
    <w:rsid w:val="7B5A7743"/>
    <w:rsid w:val="7BCC1A1B"/>
    <w:rsid w:val="7BF66B1F"/>
    <w:rsid w:val="7C2177D5"/>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0D7231"/>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3"/>
    <w:qFormat/>
    <w:uiPriority w:val="1"/>
    <w:rPr>
      <w:rFonts w:ascii="黑体" w:hAnsi="Times New Roman" w:eastAsia="黑体" w:cs="黑体"/>
      <w:b/>
      <w:bCs/>
      <w:kern w:val="0"/>
      <w:sz w:val="36"/>
      <w:szCs w:val="36"/>
    </w:rPr>
  </w:style>
  <w:style w:type="character" w:customStyle="1" w:styleId="22">
    <w:name w:val="标题 2 Char"/>
    <w:link w:val="4"/>
    <w:qFormat/>
    <w:uiPriority w:val="9"/>
    <w:rPr>
      <w:rFonts w:ascii="Cambria" w:hAnsi="Cambria" w:eastAsia="宋体" w:cs="Times New Roman"/>
      <w:b/>
      <w:bCs/>
      <w:sz w:val="32"/>
      <w:szCs w:val="32"/>
    </w:rPr>
  </w:style>
  <w:style w:type="character" w:customStyle="1" w:styleId="23">
    <w:name w:val="标题 3 Char"/>
    <w:link w:val="2"/>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5541</Words>
  <Characters>5550</Characters>
  <Lines>290</Lines>
  <Paragraphs>81</Paragraphs>
  <TotalTime>0</TotalTime>
  <ScaleCrop>false</ScaleCrop>
  <LinksUpToDate>false</LinksUpToDate>
  <CharactersWithSpaces>5675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2025-03-04T06:05:56Z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