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w:t>
      </w:r>
      <w:r>
        <w:rPr>
          <w:rStyle w:val="27"/>
          <w:rFonts w:hint="eastAsia" w:ascii="黑体" w:hAnsi="黑体" w:eastAsia="黑体"/>
          <w:sz w:val="44"/>
          <w:szCs w:val="44"/>
          <w:lang w:eastAsia="zh-CN"/>
        </w:rPr>
        <w:t>稳利安盈封闭式</w:t>
      </w:r>
      <w:r>
        <w:rPr>
          <w:rStyle w:val="27"/>
          <w:rFonts w:hint="eastAsia" w:ascii="黑体" w:hAnsi="黑体" w:eastAsia="黑体"/>
          <w:sz w:val="44"/>
          <w:szCs w:val="44"/>
        </w:rPr>
        <w:t>】</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4</w:t>
      </w:r>
      <w:r>
        <w:rPr>
          <w:rStyle w:val="27"/>
          <w:rFonts w:hint="eastAsia" w:ascii="宋体" w:hAnsi="宋体" w:cs="Times New Roman"/>
          <w:sz w:val="32"/>
          <w:szCs w:val="32"/>
        </w:rPr>
        <w:t>】月</w:t>
      </w:r>
      <w:permEnd w:id="1"/>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"_Toc176189753"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_Toc176189753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"_Toc176189754"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_Toc176189754 \h </w:instrText>
          </w:r>
          <w:r>
            <w:fldChar w:fldCharType="separate"/>
          </w:r>
          <w:r>
            <w:t>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"_Toc176189755"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_Toc176189755 \h </w:instrText>
          </w:r>
          <w:r>
            <w:fldChar w:fldCharType="separate"/>
          </w:r>
          <w:r>
            <w:t>13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"_Toc176189756"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_Toc176189756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"_Toc176189757"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_Toc176189757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"_Toc176189758"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_Toc176189758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"_Toc176189759"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_Toc176189759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"_Toc176189760"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_Toc176189760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"_Toc176189761"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_Toc176189761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"_Toc176189762"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_Toc176189762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"_Toc176189763"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_Toc176189763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"_Toc176189764"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_Toc176189764 \h </w:instrText>
          </w:r>
          <w:r>
            <w:fldChar w:fldCharType="separate"/>
          </w:r>
          <w:r>
            <w:t>32</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76189753"/>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指中国建设银行股份有限公司（以下简称“建设银行”）。建设银行成立于1954年，于1998年开展资产托管业务，具备理财产品托管资格。托管人提供的</w:t>
      </w:r>
      <w:r>
        <w:rPr>
          <w:rFonts w:asciiTheme="majorEastAsia" w:hAnsiTheme="majorEastAsia" w:eastAsiaTheme="majorEastAsia"/>
          <w:bCs/>
          <w:color w:val="auto"/>
          <w:sz w:val="18"/>
          <w:szCs w:val="18"/>
        </w:rPr>
        <w:t>托管服务内容主要包括托管资产的账户管理、资产保管、资金清算、会计核算与资产估值、投资监督和信息报告等</w:t>
      </w:r>
      <w:r>
        <w:rPr>
          <w:rFonts w:hint="eastAsia" w:asciiTheme="majorEastAsia" w:hAnsiTheme="majorEastAsia" w:eastAsiaTheme="majorEastAsia"/>
          <w:bCs/>
          <w:color w:val="auto"/>
          <w:sz w:val="18"/>
          <w:szCs w:val="18"/>
        </w:rPr>
        <w:t>。</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稳利安盈封闭式</w:t>
      </w:r>
      <w:r>
        <w:rPr>
          <w:rFonts w:hint="eastAsia" w:asciiTheme="majorEastAsia" w:hAnsiTheme="majorEastAsia" w:eastAsiaTheme="majorEastAsia"/>
          <w:bCs/>
          <w:sz w:val="18"/>
          <w:szCs w:val="18"/>
        </w:rPr>
        <w:t>】</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稳利安盈封闭式</w:t>
      </w:r>
      <w:r>
        <w:rPr>
          <w:rFonts w:hint="eastAsia" w:asciiTheme="majorEastAsia" w:hAnsiTheme="majorEastAsia" w:eastAsiaTheme="majorEastAsia"/>
          <w:bCs/>
          <w:sz w:val="18"/>
          <w:szCs w:val="18"/>
        </w:rPr>
        <w:t>】</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稳利安盈封闭式</w:t>
      </w:r>
      <w:r>
        <w:rPr>
          <w:rFonts w:hint="eastAsia" w:asciiTheme="majorEastAsia" w:hAnsiTheme="majorEastAsia" w:eastAsiaTheme="majorEastAsia"/>
          <w:bCs/>
          <w:sz w:val="18"/>
          <w:szCs w:val="18"/>
        </w:rPr>
        <w:t>】</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稳利安盈封闭式</w:t>
      </w:r>
      <w:r>
        <w:rPr>
          <w:rFonts w:hint="eastAsia" w:asciiTheme="majorEastAsia" w:hAnsiTheme="majorEastAsia" w:eastAsiaTheme="majorEastAsia"/>
          <w:bCs/>
          <w:sz w:val="18"/>
          <w:szCs w:val="18"/>
        </w:rPr>
        <w:t>】</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稳利安盈封闭式</w:t>
      </w:r>
      <w:r>
        <w:rPr>
          <w:rFonts w:hint="eastAsia" w:asciiTheme="majorEastAsia" w:hAnsiTheme="majorEastAsia" w:eastAsiaTheme="majorEastAsia"/>
          <w:bCs/>
          <w:sz w:val="18"/>
          <w:szCs w:val="18"/>
        </w:rPr>
        <w:t>】</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稳利安盈封闭式</w:t>
      </w:r>
      <w:r>
        <w:rPr>
          <w:rFonts w:hint="eastAsia" w:asciiTheme="majorEastAsia" w:hAnsiTheme="majorEastAsia" w:eastAsiaTheme="majorEastAsia"/>
          <w:bCs/>
          <w:sz w:val="18"/>
          <w:szCs w:val="18"/>
        </w:rPr>
        <w:t>】</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稳利安盈封闭式</w:t>
      </w:r>
      <w:r>
        <w:rPr>
          <w:rFonts w:hint="eastAsia" w:asciiTheme="majorEastAsia" w:hAnsiTheme="majorEastAsia" w:eastAsiaTheme="majorEastAsia"/>
          <w:bCs/>
          <w:sz w:val="18"/>
          <w:szCs w:val="18"/>
        </w:rPr>
        <w:t>】</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稳利安盈封闭式</w:t>
      </w:r>
      <w:r>
        <w:rPr>
          <w:rFonts w:hint="eastAsia" w:asciiTheme="majorEastAsia" w:hAnsiTheme="majorEastAsia" w:eastAsiaTheme="majorEastAsia"/>
          <w:bCs/>
          <w:sz w:val="18"/>
          <w:szCs w:val="18"/>
        </w:rPr>
        <w:t>】</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稳利安盈封闭式</w:t>
      </w:r>
      <w:r>
        <w:rPr>
          <w:rFonts w:hint="eastAsia" w:asciiTheme="majorEastAsia" w:hAnsiTheme="majorEastAsia" w:eastAsiaTheme="majorEastAsia"/>
          <w:bCs/>
          <w:sz w:val="18"/>
          <w:szCs w:val="18"/>
        </w:rPr>
        <w:t>】</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0）理财产品估值：指计算评估理财产品资产和理财产品负债的价值，以确定理财产品份额净值的过程。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eastAsia="黑体"/>
          <w:sz w:val="18"/>
        </w:rPr>
        <w:t>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w:t>
      </w:r>
      <w:r>
        <w:rPr>
          <w:rFonts w:hint="eastAsia" w:cs="仿宋_GB2312" w:asciiTheme="minorEastAsia" w:hAnsiTheme="minorEastAsia" w:eastAsiaTheme="minorEastAsia"/>
          <w:bCs/>
          <w:color w:val="auto"/>
          <w:sz w:val="18"/>
          <w:szCs w:val="18"/>
        </w:rPr>
        <w:t>★</w:t>
      </w:r>
      <w:r>
        <w:rPr>
          <w:rFonts w:hint="eastAsia" w:asciiTheme="minorEastAsia" w:hAnsiTheme="minorEastAsia" w:eastAsiaTheme="minorEastAsia"/>
          <w:sz w:val="18"/>
          <w:szCs w:val="18"/>
        </w:rPr>
        <w:t>销售服务费：指</w:t>
      </w:r>
      <w:r>
        <w:rPr>
          <w:rFonts w:hint="eastAsia" w:hAnsi="宋体"/>
          <w:sz w:val="18"/>
          <w:szCs w:val="18"/>
        </w:rPr>
        <w:t>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hAnsi="宋体"/>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176189754"/>
      <w:bookmarkStart w:id="3" w:name="_Toc79154665"/>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70"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674" w:type="dxa"/>
            <w:shd w:val="solid" w:color="FFFFFF" w:fill="FFFFFF"/>
          </w:tcPr>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rPr>
              <w:t>【兴银理财稳利安盈封闭式2025年456期固收类理财产品】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74" w:type="dxa"/>
            <w:shd w:val="solid" w:color="FFFFFF" w:fill="FFFFFF"/>
          </w:tcPr>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【稳利安盈封闭式2025年456期A(专享)】</w:t>
            </w:r>
            <w:r>
              <w:rPr>
                <w:rFonts w:hint="eastAsia" w:hAnsi="宋体"/>
                <w:sz w:val="18"/>
                <w:szCs w:val="18"/>
              </w:rPr>
              <w:t>（</w:t>
            </w:r>
            <w:r>
              <w:rPr>
                <w:rFonts w:hint="eastAsia" w:hAnsi="宋体"/>
                <w:sz w:val="18"/>
                <w:szCs w:val="18"/>
                <w:lang w:eastAsia="zh-CN"/>
              </w:rPr>
              <w:t>适用【A】类份额</w:t>
            </w:r>
            <w:r>
              <w:rPr>
                <w:rFonts w:hint="eastAsia" w:hAnsi="宋体"/>
                <w:sz w:val="18"/>
                <w:szCs w:val="18"/>
              </w:rPr>
              <w:t>）</w:t>
            </w:r>
          </w:p>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【稳利安盈封闭式2025年456期B(储蓄联动款)】</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B</w:t>
            </w:r>
            <w:r>
              <w:rPr>
                <w:rFonts w:hint="eastAsia" w:hAnsi="宋体"/>
                <w:sz w:val="18"/>
                <w:szCs w:val="18"/>
                <w:lang w:eastAsia="zh-CN"/>
              </w:rPr>
              <w:t>】类份额</w:t>
            </w:r>
            <w:r>
              <w:rPr>
                <w:rFonts w:hint="eastAsia" w:hAnsi="宋体"/>
                <w:sz w:val="18"/>
                <w:szCs w:val="18"/>
              </w:rPr>
              <w:t>）</w:t>
            </w:r>
          </w:p>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【稳利安盈封闭式2025年456期C(兴普惠)】</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C</w:t>
            </w:r>
            <w:r>
              <w:rPr>
                <w:rFonts w:hint="eastAsia" w:hAnsi="宋体"/>
                <w:sz w:val="18"/>
                <w:szCs w:val="18"/>
                <w:lang w:eastAsia="zh-CN"/>
              </w:rPr>
              <w:t>】类份额</w:t>
            </w:r>
            <w:r>
              <w:rPr>
                <w:rFonts w:hint="eastAsia" w:hAnsi="宋体"/>
                <w:sz w:val="18"/>
                <w:szCs w:val="18"/>
              </w:rPr>
              <w:t>）</w:t>
            </w:r>
          </w:p>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【稳利安盈封闭式2025年456期D(兴普惠)】</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D</w:t>
            </w:r>
            <w:r>
              <w:rPr>
                <w:rFonts w:hint="eastAsia" w:hAnsi="宋体"/>
                <w:sz w:val="18"/>
                <w:szCs w:val="18"/>
                <w:lang w:eastAsia="zh-CN"/>
              </w:rPr>
              <w:t>】类份额</w:t>
            </w:r>
            <w:r>
              <w:rPr>
                <w:rFonts w:hint="eastAsia" w:hAnsi="宋体"/>
                <w:sz w:val="18"/>
                <w:szCs w:val="18"/>
              </w:rPr>
              <w:t>）</w:t>
            </w:r>
          </w:p>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【稳利安盈封闭式2025年456期E(兴普惠)】</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E</w:t>
            </w:r>
            <w:r>
              <w:rPr>
                <w:rFonts w:hint="eastAsia" w:hAnsi="宋体"/>
                <w:sz w:val="18"/>
                <w:szCs w:val="18"/>
                <w:lang w:eastAsia="zh-CN"/>
              </w:rPr>
              <w:t>】类份额</w:t>
            </w:r>
            <w:r>
              <w:rPr>
                <w:rFonts w:hint="eastAsia" w:hAnsi="宋体"/>
                <w:sz w:val="18"/>
                <w:szCs w:val="18"/>
              </w:rPr>
              <w:t>）</w:t>
            </w:r>
          </w:p>
          <w:p>
            <w:pPr>
              <w:widowControl/>
              <w:spacing w:line="360" w:lineRule="auto"/>
              <w:jc w:val="left"/>
              <w:rPr>
                <w:rFonts w:hint="eastAsia" w:hAnsi="宋体"/>
                <w:sz w:val="18"/>
                <w:szCs w:val="18"/>
              </w:rPr>
            </w:pPr>
            <w:r>
              <w:rPr>
                <w:rFonts w:hint="eastAsia" w:asciiTheme="majorEastAsia" w:hAnsiTheme="majorEastAsia" w:eastAsiaTheme="majorEastAsia"/>
                <w:bCs/>
                <w:kern w:val="0"/>
                <w:sz w:val="18"/>
                <w:szCs w:val="18"/>
              </w:rPr>
              <w:t>【稳利安盈封闭式2025年456期F(兴普惠)】</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F</w:t>
            </w:r>
            <w:r>
              <w:rPr>
                <w:rFonts w:hint="eastAsia" w:hAnsi="宋体"/>
                <w:sz w:val="18"/>
                <w:szCs w:val="18"/>
                <w:lang w:eastAsia="zh-CN"/>
              </w:rPr>
              <w:t>】类份额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7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【Z7002025000394】</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7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9A254560】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674" w:type="dxa"/>
            <w:shd w:val="solid" w:color="FFFFFF" w:fill="FFFFFF"/>
          </w:tcPr>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9A25456A</w:t>
            </w:r>
            <w:r>
              <w:rPr>
                <w:rFonts w:hint="eastAsia" w:hAnsi="宋体"/>
                <w:sz w:val="18"/>
                <w:szCs w:val="18"/>
              </w:rPr>
              <w:t>】（</w:t>
            </w:r>
            <w:r>
              <w:rPr>
                <w:rFonts w:hint="eastAsia" w:hAnsi="宋体"/>
                <w:sz w:val="18"/>
                <w:szCs w:val="18"/>
                <w:lang w:eastAsia="zh-CN"/>
              </w:rPr>
              <w:t>适用【A】类份额</w:t>
            </w:r>
            <w:r>
              <w:rPr>
                <w:rFonts w:hint="eastAsia" w:hAnsi="宋体"/>
                <w:sz w:val="18"/>
                <w:szCs w:val="18"/>
              </w:rPr>
              <w:t>）</w:t>
            </w:r>
          </w:p>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9A25456B</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B</w:t>
            </w:r>
            <w:r>
              <w:rPr>
                <w:rFonts w:hint="eastAsia" w:hAnsi="宋体"/>
                <w:sz w:val="18"/>
                <w:szCs w:val="18"/>
                <w:lang w:eastAsia="zh-CN"/>
              </w:rPr>
              <w:t>】类份额</w:t>
            </w:r>
            <w:r>
              <w:rPr>
                <w:rFonts w:hint="eastAsia" w:hAnsi="宋体"/>
                <w:sz w:val="18"/>
                <w:szCs w:val="18"/>
              </w:rPr>
              <w:t>）</w:t>
            </w:r>
          </w:p>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9A25456C</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C</w:t>
            </w:r>
            <w:r>
              <w:rPr>
                <w:rFonts w:hint="eastAsia" w:hAnsi="宋体"/>
                <w:sz w:val="18"/>
                <w:szCs w:val="18"/>
                <w:lang w:eastAsia="zh-CN"/>
              </w:rPr>
              <w:t>】类份额</w:t>
            </w:r>
            <w:r>
              <w:rPr>
                <w:rFonts w:hint="eastAsia" w:hAnsi="宋体"/>
                <w:sz w:val="18"/>
                <w:szCs w:val="18"/>
              </w:rPr>
              <w:t>）</w:t>
            </w:r>
          </w:p>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9A25456D</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D</w:t>
            </w:r>
            <w:r>
              <w:rPr>
                <w:rFonts w:hint="eastAsia" w:hAnsi="宋体"/>
                <w:sz w:val="18"/>
                <w:szCs w:val="18"/>
                <w:lang w:eastAsia="zh-CN"/>
              </w:rPr>
              <w:t>】类份额</w:t>
            </w:r>
            <w:r>
              <w:rPr>
                <w:rFonts w:hint="eastAsia" w:hAnsi="宋体"/>
                <w:sz w:val="18"/>
                <w:szCs w:val="18"/>
              </w:rPr>
              <w:t>）</w:t>
            </w:r>
          </w:p>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9A25456E</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E</w:t>
            </w:r>
            <w:r>
              <w:rPr>
                <w:rFonts w:hint="eastAsia" w:hAnsi="宋体"/>
                <w:sz w:val="18"/>
                <w:szCs w:val="18"/>
                <w:lang w:eastAsia="zh-CN"/>
              </w:rPr>
              <w:t>】类份额</w:t>
            </w:r>
            <w:r>
              <w:rPr>
                <w:rFonts w:hint="eastAsia" w:hAnsi="宋体"/>
                <w:sz w:val="18"/>
                <w:szCs w:val="18"/>
              </w:rPr>
              <w:t>）</w:t>
            </w:r>
          </w:p>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9A25456F</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F</w:t>
            </w:r>
            <w:r>
              <w:rPr>
                <w:rFonts w:hint="eastAsia" w:hAnsi="宋体"/>
                <w:sz w:val="18"/>
                <w:szCs w:val="18"/>
                <w:lang w:eastAsia="zh-CN"/>
              </w:rPr>
              <w:t>】类份额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7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w:t>
            </w:r>
            <w:r>
              <w:rPr>
                <w:rFonts w:ascii="宋体" w:hAnsi="宋体"/>
                <w:bCs/>
                <w:sz w:val="18"/>
                <w:szCs w:val="18"/>
              </w:rPr>
              <w:t>可能</w:t>
            </w:r>
            <w:r>
              <w:rPr>
                <w:rFonts w:hint="eastAsia" w:ascii="宋体" w:hAnsi="宋体"/>
                <w:bCs/>
                <w:sz w:val="18"/>
                <w:szCs w:val="18"/>
              </w:rPr>
              <w:t>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74" w:type="dxa"/>
            <w:shd w:val="solid" w:color="FFFFFF" w:fill="FFFFFF"/>
            <w:vAlign w:val="center"/>
          </w:tcPr>
          <w:p>
            <w:pPr>
              <w:spacing w:line="360" w:lineRule="auto"/>
              <w:rPr>
                <w:rFonts w:ascii="宋体" w:hAnsi="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7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674" w:type="dxa"/>
            <w:shd w:val="solid" w:color="FFFFFF" w:fill="FFFFFF"/>
            <w:vAlign w:val="center"/>
          </w:tcPr>
          <w:p>
            <w:pPr>
              <w:adjustRightInd w:val="0"/>
              <w:snapToGrid w:val="0"/>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固定收益类</w:t>
            </w:r>
          </w:p>
          <w:p>
            <w:pPr>
              <w:adjustRightInd w:val="0"/>
              <w:snapToGrid w:val="0"/>
              <w:spacing w:line="360" w:lineRule="auto"/>
              <w:rPr>
                <w:rFonts w:ascii="黑体" w:hAnsi="黑体" w:eastAsia="黑体"/>
                <w:bCs/>
                <w:sz w:val="18"/>
                <w:szCs w:val="18"/>
              </w:rPr>
            </w:pPr>
            <w:r>
              <w:rPr>
                <w:rFonts w:hint="eastAsia" w:ascii="黑体" w:hAnsi="黑体" w:eastAsia="黑体"/>
                <w:sz w:val="18"/>
                <w:szCs w:val="18"/>
              </w:rPr>
              <w:t>固定</w:t>
            </w:r>
            <w:r>
              <w:rPr>
                <w:rFonts w:ascii="黑体" w:hAnsi="黑体" w:eastAsia="黑体"/>
                <w:sz w:val="18"/>
                <w:szCs w:val="18"/>
              </w:rPr>
              <w:t>收益</w:t>
            </w:r>
            <w:r>
              <w:rPr>
                <w:rFonts w:hint="eastAsia" w:ascii="黑体" w:hAnsi="黑体" w:eastAsia="黑体"/>
                <w:sz w:val="18"/>
                <w:szCs w:val="18"/>
              </w:rPr>
              <w:t>类</w:t>
            </w:r>
            <w:r>
              <w:rPr>
                <w:rFonts w:ascii="黑体" w:hAnsi="黑体" w:eastAsia="黑体"/>
                <w:sz w:val="18"/>
                <w:szCs w:val="18"/>
              </w:rPr>
              <w:t>产品是指根据监管</w:t>
            </w:r>
            <w:r>
              <w:rPr>
                <w:rFonts w:hint="eastAsia" w:ascii="黑体" w:hAnsi="黑体" w:eastAsia="黑体"/>
                <w:sz w:val="18"/>
                <w:szCs w:val="18"/>
              </w:rPr>
              <w:t>相关规定</w:t>
            </w:r>
            <w:r>
              <w:rPr>
                <w:rFonts w:ascii="黑体" w:hAnsi="黑体" w:eastAsia="黑体"/>
                <w:sz w:val="18"/>
                <w:szCs w:val="18"/>
              </w:rPr>
              <w:t>，投资于债权类资产的</w:t>
            </w:r>
            <w:r>
              <w:rPr>
                <w:rFonts w:hint="eastAsia" w:ascii="黑体" w:hAnsi="黑体" w:eastAsia="黑体"/>
                <w:sz w:val="18"/>
                <w:szCs w:val="18"/>
              </w:rPr>
              <w:t>比例</w:t>
            </w:r>
            <w:r>
              <w:rPr>
                <w:rFonts w:ascii="黑体" w:hAnsi="黑体" w:eastAsia="黑体"/>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74" w:type="dxa"/>
            <w:shd w:val="solid" w:color="FFFFFF" w:fill="FFFFFF"/>
            <w:vAlign w:val="center"/>
          </w:tcPr>
          <w:p>
            <w:pPr>
              <w:adjustRightInd w:val="0"/>
              <w:snapToGrid w:val="0"/>
              <w:spacing w:line="360" w:lineRule="auto"/>
              <w:rPr>
                <w:rFonts w:ascii="黑体" w:hAnsi="黑体" w:eastAsia="黑体"/>
                <w:sz w:val="18"/>
                <w:szCs w:val="18"/>
              </w:rPr>
            </w:pPr>
            <w:r>
              <w:rPr>
                <w:rFonts w:hint="eastAsia" w:ascii="黑体" w:hAnsi="黑体" w:eastAsia="黑体"/>
                <w:sz w:val="18"/>
                <w:szCs w:val="18"/>
              </w:rPr>
              <w:t>非保本浮动收益</w:t>
            </w:r>
          </w:p>
          <w:p>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color w:val="000000" w:themeColor="text1"/>
                <w:sz w:val="18"/>
                <w:szCs w:val="18"/>
                <w14:textFill>
                  <w14:solidFill>
                    <w14:schemeClr w14:val="tx1"/>
                  </w14:solidFill>
                </w14:textFill>
              </w:rPr>
            </w:pPr>
            <w:r>
              <w:rPr>
                <w:rFonts w:hint="eastAsia" w:ascii="黑体" w:hAnsi="黑体" w:eastAsia="黑体"/>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7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7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中国建设银行股份有限公司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10</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141</w:t>
            </w:r>
            <w:bookmarkStart w:id="156" w:name="_GoBack"/>
            <w:bookmarkEnd w:id="156"/>
            <w:r>
              <w:rPr>
                <w:rFonts w:hint="eastAsia" w:asciiTheme="majorEastAsia" w:hAnsiTheme="majorEastAsia" w:eastAsiaTheme="majorEastAsia"/>
                <w:bCs/>
                <w:sz w:val="18"/>
                <w:szCs w:val="18"/>
                <w:lang w:val="en-US" w:eastAsia="zh-CN"/>
              </w:rPr>
              <w:t>天</w:t>
            </w:r>
            <w:r>
              <w:rPr>
                <w:rFonts w:hint="eastAsia" w:asciiTheme="majorEastAsia" w:hAnsiTheme="majorEastAsia" w:eastAsiaTheme="majorEastAsia"/>
                <w:bCs/>
                <w:sz w:val="18"/>
                <w:szCs w:val="18"/>
              </w:rPr>
              <w:t>】</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□无固定期限</w:t>
            </w:r>
          </w:p>
          <w:p>
            <w:pPr>
              <w:spacing w:line="360" w:lineRule="auto"/>
              <w:rPr>
                <w:rFonts w:asciiTheme="majorEastAsia" w:hAnsiTheme="majorEastAsia" w:eastAsiaTheme="majorEastAsia"/>
                <w:bCs/>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7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28</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7</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p>
            <w:pPr>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asciiTheme="majorEastAsia" w:hAnsiTheme="majorEastAsia" w:eastAsiaTheme="majorEastAsia"/>
                <w:bCs/>
                <w:sz w:val="18"/>
                <w:szCs w:val="18"/>
              </w:rPr>
            </w:pPr>
            <w:r>
              <w:rPr>
                <w:rFonts w:hint="eastAsia" w:ascii="黑体" w:hAnsi="黑体" w:eastAsia="黑体" w:cs="黑体"/>
                <w:bCs/>
                <w:color w:val="000000" w:themeColor="text1"/>
                <w:sz w:val="18"/>
                <w:szCs w:val="18"/>
                <w14:textFill>
                  <w14:solidFill>
                    <w14:schemeClr w14:val="tx1"/>
                  </w14:solidFill>
                </w14:textFill>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7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rPr>
              <w:t>5】月【8】日（遇节假日顺延）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67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26</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cs="Times New Roman" w:asciiTheme="minorEastAsia" w:hAnsiTheme="minorEastAsia"/>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A/B/C/D/E/F</w:t>
            </w:r>
            <w:r>
              <w:rPr>
                <w:rFonts w:hint="eastAsia" w:asciiTheme="majorEastAsia" w:hAnsiTheme="majorEastAsia" w:eastAsiaTheme="majorEastAsia"/>
                <w:bCs/>
                <w:color w:val="000000" w:themeColor="text1"/>
                <w:sz w:val="18"/>
                <w:szCs w:val="18"/>
                <w:lang w:eastAsia="zh-CN"/>
                <w14:textFill>
                  <w14:solidFill>
                    <w14:schemeClr w14:val="tx1"/>
                  </w14:solidFill>
                </w14:textFill>
              </w:rPr>
              <w:t>】类份额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674" w:type="dxa"/>
            <w:shd w:val="solid" w:color="FFFFFF" w:fill="FFFFFF"/>
            <w:vAlign w:val="center"/>
          </w:tcPr>
          <w:p>
            <w:pPr>
              <w:pStyle w:val="34"/>
              <w:spacing w:line="360" w:lineRule="auto"/>
              <w:rPr>
                <w:rFonts w:hAnsi="宋体"/>
                <w:bCs/>
                <w:sz w:val="18"/>
                <w:szCs w:val="18"/>
              </w:rPr>
            </w:pPr>
            <w:r>
              <w:rPr>
                <w:rFonts w:hint="eastAsia" w:hAnsi="宋体"/>
                <w:bCs/>
                <w:sz w:val="18"/>
                <w:szCs w:val="18"/>
              </w:rPr>
              <w:t>（</w:t>
            </w:r>
            <w:r>
              <w:rPr>
                <w:rFonts w:hint="eastAsia" w:hAnsi="宋体"/>
                <w:bCs/>
                <w:sz w:val="18"/>
                <w:szCs w:val="18"/>
                <w:lang w:eastAsia="zh-CN"/>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A/B/C/D/E/F</w:t>
            </w:r>
            <w:r>
              <w:rPr>
                <w:rFonts w:hint="eastAsia" w:hAnsi="宋体"/>
                <w:bCs/>
                <w:sz w:val="18"/>
                <w:szCs w:val="18"/>
                <w:lang w:eastAsia="zh-CN"/>
              </w:rPr>
              <w:t>】类份额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w:t>
            </w:r>
            <w:r>
              <w:rPr>
                <w:rFonts w:ascii="黑体" w:hAnsi="黑体" w:eastAsia="黑体"/>
                <w:color w:val="000000" w:themeColor="text1"/>
                <w:sz w:val="18"/>
                <w:szCs w:val="18"/>
                <w14:textFill>
                  <w14:solidFill>
                    <w14:schemeClr w14:val="tx1"/>
                  </w14:solidFill>
                </w14:textFill>
              </w:rPr>
              <w:t>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7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7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74" w:type="dxa"/>
            <w:shd w:val="solid" w:color="FFFFFF" w:fill="FFFFFF"/>
            <w:vAlign w:val="center"/>
          </w:tcPr>
          <w:p>
            <w:pPr>
              <w:autoSpaceDE w:val="0"/>
              <w:autoSpaceDN w:val="0"/>
              <w:adjustRightInd w:val="0"/>
              <w:spacing w:line="360" w:lineRule="auto"/>
              <w:jc w:val="left"/>
              <w:rPr>
                <w:rFonts w:hAnsi="宋体"/>
                <w:sz w:val="18"/>
                <w:szCs w:val="18"/>
              </w:rPr>
            </w:pPr>
            <w:r>
              <w:rPr>
                <w:rFonts w:hAnsi="宋体"/>
                <w:sz w:val="18"/>
                <w:szCs w:val="18"/>
              </w:rPr>
              <w:t>1.业绩比较基准的设置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Theme="majorEastAsia" w:hAnsiTheme="majorEastAsia" w:eastAsiaTheme="majorEastAsia"/>
                <w:kern w:val="0"/>
                <w:sz w:val="18"/>
                <w:szCs w:val="18"/>
              </w:rPr>
              <w:t>产品管理人设置业绩比较基准。</w:t>
            </w:r>
          </w:p>
          <w:p>
            <w:pPr>
              <w:autoSpaceDE w:val="0"/>
              <w:autoSpaceDN w:val="0"/>
              <w:adjustRightInd w:val="0"/>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宋体" w:hAnsi="宋体"/>
                <w:bCs/>
                <w:sz w:val="18"/>
                <w:szCs w:val="18"/>
              </w:rPr>
              <w:t>【产品投资债权类资产不低于80%，根据当前市场环境下大类资产合理配置比例及大类资产收益情况，考虑杠杆和费率等因素，并结合产品投资策略，设定业绩比较基准。</w:t>
            </w:r>
            <w:r>
              <w:rPr>
                <w:rFonts w:ascii="宋体" w:hAnsi="宋体"/>
                <w:bCs/>
                <w:sz w:val="18"/>
                <w:szCs w:val="18"/>
              </w:rPr>
              <w:t>】</w:t>
            </w:r>
          </w:p>
          <w:p>
            <w:pPr>
              <w:autoSpaceDE w:val="0"/>
              <w:autoSpaceDN w:val="0"/>
              <w:adjustRightInd w:val="0"/>
              <w:spacing w:line="360" w:lineRule="auto"/>
              <w:jc w:val="left"/>
              <w:rPr>
                <w:rFonts w:hint="eastAsia" w:asciiTheme="majorEastAsia" w:hAnsiTheme="majorEastAsia"/>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pPr>
              <w:autoSpaceDE w:val="0"/>
              <w:autoSpaceDN w:val="0"/>
              <w:adjustRightInd w:val="0"/>
              <w:spacing w:line="360" w:lineRule="auto"/>
              <w:jc w:val="left"/>
              <w:rPr>
                <w:rFonts w:hint="eastAsia" w:hAnsi="宋体"/>
                <w:sz w:val="18"/>
                <w:szCs w:val="18"/>
              </w:rPr>
            </w:pPr>
            <w:r>
              <w:rPr>
                <w:rFonts w:hint="eastAsia" w:asciiTheme="majorEastAsia" w:hAnsiTheme="majorEastAsia"/>
                <w:sz w:val="18"/>
                <w:lang w:val="en-US" w:eastAsia="zh-CN"/>
              </w:rPr>
              <w:t>年化</w:t>
            </w:r>
            <w:r>
              <w:rPr>
                <w:rFonts w:hint="eastAsia" w:ascii="宋体" w:hAnsi="宋体"/>
                <w:bCs/>
                <w:sz w:val="18"/>
                <w:szCs w:val="18"/>
              </w:rPr>
              <w:t>【2.</w:t>
            </w:r>
            <w:r>
              <w:rPr>
                <w:rFonts w:hint="eastAsia" w:ascii="宋体" w:hAnsi="宋体"/>
                <w:bCs/>
                <w:sz w:val="18"/>
                <w:szCs w:val="18"/>
                <w:lang w:val="en-US" w:eastAsia="zh-CN"/>
              </w:rPr>
              <w:t>20%-2.50%</w:t>
            </w:r>
            <w:r>
              <w:rPr>
                <w:rFonts w:ascii="宋体" w:hAnsi="宋体"/>
                <w:bCs/>
                <w:sz w:val="18"/>
                <w:szCs w:val="18"/>
              </w:rPr>
              <w:t>】</w:t>
            </w:r>
            <w:r>
              <w:rPr>
                <w:rFonts w:hint="eastAsia" w:hAnsi="宋体"/>
                <w:sz w:val="18"/>
                <w:szCs w:val="18"/>
              </w:rPr>
              <w:t>（</w:t>
            </w:r>
            <w:r>
              <w:rPr>
                <w:rFonts w:hint="eastAsia" w:hAnsi="宋体"/>
                <w:sz w:val="18"/>
                <w:szCs w:val="18"/>
                <w:lang w:eastAsia="zh-CN"/>
              </w:rPr>
              <w:t>适用【A】类份额</w:t>
            </w:r>
            <w:r>
              <w:rPr>
                <w:rFonts w:hint="eastAsia" w:hAnsi="宋体"/>
                <w:sz w:val="18"/>
                <w:szCs w:val="18"/>
              </w:rPr>
              <w:t>）</w:t>
            </w:r>
          </w:p>
          <w:p>
            <w:pPr>
              <w:autoSpaceDE w:val="0"/>
              <w:autoSpaceDN w:val="0"/>
              <w:adjustRightInd w:val="0"/>
              <w:spacing w:line="360" w:lineRule="auto"/>
              <w:jc w:val="left"/>
              <w:rPr>
                <w:rFonts w:hint="eastAsia" w:hAnsi="宋体"/>
                <w:sz w:val="18"/>
                <w:szCs w:val="18"/>
              </w:rPr>
            </w:pPr>
            <w:r>
              <w:rPr>
                <w:rFonts w:hint="eastAsia" w:asciiTheme="majorEastAsia" w:hAnsiTheme="majorEastAsia"/>
                <w:sz w:val="18"/>
                <w:lang w:val="en-US" w:eastAsia="zh-CN"/>
              </w:rPr>
              <w:t>年化</w:t>
            </w:r>
            <w:r>
              <w:rPr>
                <w:rFonts w:hint="eastAsia" w:ascii="宋体" w:hAnsi="宋体"/>
                <w:bCs/>
                <w:sz w:val="18"/>
                <w:szCs w:val="18"/>
              </w:rPr>
              <w:t>【2.</w:t>
            </w:r>
            <w:r>
              <w:rPr>
                <w:rFonts w:hint="eastAsia" w:ascii="宋体" w:hAnsi="宋体"/>
                <w:bCs/>
                <w:sz w:val="18"/>
                <w:szCs w:val="18"/>
                <w:lang w:val="en-US" w:eastAsia="zh-CN"/>
              </w:rPr>
              <w:t>20%-2.50%</w:t>
            </w:r>
            <w:r>
              <w:rPr>
                <w:rFonts w:ascii="宋体" w:hAnsi="宋体"/>
                <w:bCs/>
                <w:sz w:val="18"/>
                <w:szCs w:val="18"/>
              </w:rPr>
              <w:t>】</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B</w:t>
            </w:r>
            <w:r>
              <w:rPr>
                <w:rFonts w:hint="eastAsia" w:hAnsi="宋体"/>
                <w:sz w:val="18"/>
                <w:szCs w:val="18"/>
                <w:lang w:eastAsia="zh-CN"/>
              </w:rPr>
              <w:t>】类份额</w:t>
            </w:r>
            <w:r>
              <w:rPr>
                <w:rFonts w:hint="eastAsia" w:hAnsi="宋体"/>
                <w:sz w:val="18"/>
                <w:szCs w:val="18"/>
              </w:rPr>
              <w:t>）</w:t>
            </w:r>
          </w:p>
          <w:p>
            <w:pPr>
              <w:autoSpaceDE w:val="0"/>
              <w:autoSpaceDN w:val="0"/>
              <w:adjustRightInd w:val="0"/>
              <w:spacing w:line="360" w:lineRule="auto"/>
              <w:jc w:val="left"/>
              <w:rPr>
                <w:rFonts w:hint="eastAsia" w:hAnsi="宋体"/>
                <w:sz w:val="18"/>
                <w:szCs w:val="18"/>
              </w:rPr>
            </w:pPr>
            <w:r>
              <w:rPr>
                <w:rFonts w:hint="eastAsia" w:asciiTheme="majorEastAsia" w:hAnsiTheme="majorEastAsia"/>
                <w:sz w:val="18"/>
                <w:lang w:val="en-US" w:eastAsia="zh-CN"/>
              </w:rPr>
              <w:t>年化</w:t>
            </w:r>
            <w:r>
              <w:rPr>
                <w:rFonts w:hint="eastAsia" w:ascii="宋体" w:hAnsi="宋体"/>
                <w:bCs/>
                <w:sz w:val="18"/>
                <w:szCs w:val="18"/>
              </w:rPr>
              <w:t>【2.25</w:t>
            </w:r>
            <w:r>
              <w:rPr>
                <w:rFonts w:hint="eastAsia" w:ascii="宋体" w:hAnsi="宋体"/>
                <w:bCs/>
                <w:sz w:val="18"/>
                <w:szCs w:val="18"/>
                <w:lang w:val="en-US" w:eastAsia="zh-CN"/>
              </w:rPr>
              <w:t>%-2.55%</w:t>
            </w:r>
            <w:r>
              <w:rPr>
                <w:rFonts w:ascii="宋体" w:hAnsi="宋体"/>
                <w:bCs/>
                <w:sz w:val="18"/>
                <w:szCs w:val="18"/>
              </w:rPr>
              <w:t>】</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C</w:t>
            </w:r>
            <w:r>
              <w:rPr>
                <w:rFonts w:hint="eastAsia" w:hAnsi="宋体"/>
                <w:sz w:val="18"/>
                <w:szCs w:val="18"/>
                <w:lang w:eastAsia="zh-CN"/>
              </w:rPr>
              <w:t>】类份额</w:t>
            </w:r>
            <w:r>
              <w:rPr>
                <w:rFonts w:hint="eastAsia" w:hAnsi="宋体"/>
                <w:sz w:val="18"/>
                <w:szCs w:val="18"/>
              </w:rPr>
              <w:t>）</w:t>
            </w:r>
          </w:p>
          <w:p>
            <w:pPr>
              <w:autoSpaceDE w:val="0"/>
              <w:autoSpaceDN w:val="0"/>
              <w:adjustRightInd w:val="0"/>
              <w:spacing w:line="360" w:lineRule="auto"/>
              <w:jc w:val="left"/>
              <w:rPr>
                <w:rFonts w:hint="eastAsia" w:hAnsi="宋体"/>
                <w:sz w:val="18"/>
                <w:szCs w:val="18"/>
              </w:rPr>
            </w:pPr>
            <w:r>
              <w:rPr>
                <w:rFonts w:hint="eastAsia" w:asciiTheme="majorEastAsia" w:hAnsiTheme="majorEastAsia"/>
                <w:sz w:val="18"/>
                <w:lang w:val="en-US" w:eastAsia="zh-CN"/>
              </w:rPr>
              <w:t>年化</w:t>
            </w:r>
            <w:r>
              <w:rPr>
                <w:rFonts w:hint="eastAsia" w:ascii="宋体" w:hAnsi="宋体"/>
                <w:bCs/>
                <w:sz w:val="18"/>
                <w:szCs w:val="18"/>
              </w:rPr>
              <w:t>【2.</w:t>
            </w:r>
            <w:r>
              <w:rPr>
                <w:rFonts w:hint="eastAsia" w:ascii="宋体" w:hAnsi="宋体"/>
                <w:bCs/>
                <w:sz w:val="18"/>
                <w:szCs w:val="18"/>
                <w:lang w:val="en-US" w:eastAsia="zh-CN"/>
              </w:rPr>
              <w:t>20%-2.50%</w:t>
            </w:r>
            <w:r>
              <w:rPr>
                <w:rFonts w:ascii="宋体" w:hAnsi="宋体"/>
                <w:bCs/>
                <w:sz w:val="18"/>
                <w:szCs w:val="18"/>
              </w:rPr>
              <w:t>】</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D</w:t>
            </w:r>
            <w:r>
              <w:rPr>
                <w:rFonts w:hint="eastAsia" w:hAnsi="宋体"/>
                <w:sz w:val="18"/>
                <w:szCs w:val="18"/>
                <w:lang w:eastAsia="zh-CN"/>
              </w:rPr>
              <w:t>】类份额</w:t>
            </w:r>
            <w:r>
              <w:rPr>
                <w:rFonts w:hint="eastAsia" w:hAnsi="宋体"/>
                <w:sz w:val="18"/>
                <w:szCs w:val="18"/>
              </w:rPr>
              <w:t>）</w:t>
            </w:r>
          </w:p>
          <w:p>
            <w:pPr>
              <w:autoSpaceDE w:val="0"/>
              <w:autoSpaceDN w:val="0"/>
              <w:adjustRightInd w:val="0"/>
              <w:spacing w:line="360" w:lineRule="auto"/>
              <w:jc w:val="left"/>
              <w:rPr>
                <w:rFonts w:hint="eastAsia" w:hAnsi="宋体"/>
                <w:sz w:val="18"/>
                <w:szCs w:val="18"/>
              </w:rPr>
            </w:pPr>
            <w:r>
              <w:rPr>
                <w:rFonts w:hint="eastAsia" w:asciiTheme="majorEastAsia" w:hAnsiTheme="majorEastAsia"/>
                <w:sz w:val="18"/>
                <w:lang w:val="en-US" w:eastAsia="zh-CN"/>
              </w:rPr>
              <w:t>年化</w:t>
            </w:r>
            <w:r>
              <w:rPr>
                <w:rFonts w:hint="eastAsia" w:ascii="宋体" w:hAnsi="宋体"/>
                <w:bCs/>
                <w:sz w:val="18"/>
                <w:szCs w:val="18"/>
              </w:rPr>
              <w:t>【2.15</w:t>
            </w:r>
            <w:r>
              <w:rPr>
                <w:rFonts w:hint="eastAsia" w:ascii="宋体" w:hAnsi="宋体"/>
                <w:bCs/>
                <w:sz w:val="18"/>
                <w:szCs w:val="18"/>
                <w:lang w:val="en-US" w:eastAsia="zh-CN"/>
              </w:rPr>
              <w:t>%-2.45%</w:t>
            </w:r>
            <w:r>
              <w:rPr>
                <w:rFonts w:ascii="宋体" w:hAnsi="宋体"/>
                <w:bCs/>
                <w:sz w:val="18"/>
                <w:szCs w:val="18"/>
              </w:rPr>
              <w:t>】</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E</w:t>
            </w:r>
            <w:r>
              <w:rPr>
                <w:rFonts w:hint="eastAsia" w:hAnsi="宋体"/>
                <w:sz w:val="18"/>
                <w:szCs w:val="18"/>
                <w:lang w:eastAsia="zh-CN"/>
              </w:rPr>
              <w:t>】类份额</w:t>
            </w:r>
            <w:r>
              <w:rPr>
                <w:rFonts w:hint="eastAsia" w:hAnsi="宋体"/>
                <w:sz w:val="18"/>
                <w:szCs w:val="18"/>
              </w:rPr>
              <w:t>）</w:t>
            </w:r>
          </w:p>
          <w:p>
            <w:pPr>
              <w:autoSpaceDE w:val="0"/>
              <w:autoSpaceDN w:val="0"/>
              <w:adjustRightInd w:val="0"/>
              <w:spacing w:line="360" w:lineRule="auto"/>
              <w:jc w:val="left"/>
              <w:rPr>
                <w:rFonts w:hint="eastAsia" w:hAnsi="宋体"/>
                <w:sz w:val="18"/>
                <w:szCs w:val="18"/>
              </w:rPr>
            </w:pPr>
            <w:r>
              <w:rPr>
                <w:rFonts w:hint="eastAsia" w:asciiTheme="majorEastAsia" w:hAnsiTheme="majorEastAsia"/>
                <w:sz w:val="18"/>
                <w:lang w:val="en-US" w:eastAsia="zh-CN"/>
              </w:rPr>
              <w:t>年化</w:t>
            </w:r>
            <w:r>
              <w:rPr>
                <w:rFonts w:hint="eastAsia" w:ascii="宋体" w:hAnsi="宋体"/>
                <w:bCs/>
                <w:sz w:val="18"/>
                <w:szCs w:val="18"/>
              </w:rPr>
              <w:t>【2.05</w:t>
            </w:r>
            <w:r>
              <w:rPr>
                <w:rFonts w:hint="eastAsia" w:ascii="宋体" w:hAnsi="宋体"/>
                <w:bCs/>
                <w:sz w:val="18"/>
                <w:szCs w:val="18"/>
                <w:lang w:val="en-US" w:eastAsia="zh-CN"/>
              </w:rPr>
              <w:t>%-2.35%</w:t>
            </w:r>
            <w:r>
              <w:rPr>
                <w:rFonts w:ascii="宋体" w:hAnsi="宋体"/>
                <w:bCs/>
                <w:sz w:val="18"/>
                <w:szCs w:val="18"/>
              </w:rPr>
              <w:t>】</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F</w:t>
            </w:r>
            <w:r>
              <w:rPr>
                <w:rFonts w:hint="eastAsia" w:hAnsi="宋体"/>
                <w:sz w:val="18"/>
                <w:szCs w:val="18"/>
                <w:lang w:eastAsia="zh-CN"/>
              </w:rPr>
              <w:t>】类份额</w:t>
            </w:r>
            <w:r>
              <w:rPr>
                <w:rFonts w:hint="eastAsia" w:hAnsi="宋体"/>
                <w:sz w:val="18"/>
                <w:szCs w:val="18"/>
              </w:rPr>
              <w:t>）</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Theme="majorEastAsia" w:hAnsiTheme="majorEastAsia"/>
                <w:b/>
                <w:sz w:val="18"/>
              </w:rPr>
            </w:pPr>
            <w:r>
              <w:rPr>
                <w:rFonts w:hint="eastAsia" w:asciiTheme="majorEastAsia" w:hAnsiTheme="majorEastAsia"/>
                <w:b/>
                <w:sz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pPr>
              <w:spacing w:line="360" w:lineRule="auto"/>
              <w:jc w:val="left"/>
              <w:rPr>
                <w:rFonts w:hAnsi="宋体"/>
                <w:bCs/>
                <w:sz w:val="18"/>
                <w:szCs w:val="18"/>
              </w:rPr>
            </w:pPr>
            <w:r>
              <w:rPr>
                <w:rFonts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产品管理人设置业绩报酬计提基准。</w:t>
            </w:r>
          </w:p>
          <w:p>
            <w:pPr>
              <w:spacing w:line="360" w:lineRule="auto"/>
              <w:jc w:val="left"/>
              <w:rPr>
                <w:rFonts w:hint="eastAsia" w:ascii="宋体" w:hAnsi="宋体"/>
                <w:bCs/>
                <w:sz w:val="18"/>
                <w:szCs w:val="18"/>
              </w:rPr>
            </w:pPr>
            <w:r>
              <w:rPr>
                <w:rFonts w:ascii="宋体" w:hAnsi="宋体"/>
                <w:bCs/>
                <w:sz w:val="18"/>
                <w:szCs w:val="18"/>
              </w:rPr>
              <w:t>业绩报酬计提基准的设定</w:t>
            </w:r>
            <w:r>
              <w:rPr>
                <w:rFonts w:hint="eastAsia" w:ascii="宋体" w:hAnsi="宋体"/>
                <w:bCs/>
                <w:sz w:val="18"/>
                <w:szCs w:val="18"/>
              </w:rPr>
              <w:t>：管理人</w:t>
            </w:r>
            <w:r>
              <w:rPr>
                <w:rFonts w:ascii="宋体" w:hAnsi="宋体"/>
                <w:bCs/>
                <w:sz w:val="18"/>
                <w:szCs w:val="18"/>
              </w:rPr>
              <w:t>对本产品设定</w:t>
            </w:r>
            <w:r>
              <w:rPr>
                <w:rFonts w:hint="eastAsia" w:ascii="宋体" w:hAnsi="宋体"/>
                <w:bCs/>
                <w:sz w:val="18"/>
                <w:szCs w:val="18"/>
              </w:rPr>
              <w:t>业绩报酬计提基准：</w:t>
            </w:r>
          </w:p>
          <w:p>
            <w:pPr>
              <w:spacing w:line="360" w:lineRule="auto"/>
              <w:jc w:val="left"/>
              <w:rPr>
                <w:rFonts w:hint="eastAsia" w:hAnsi="宋体"/>
                <w:bCs/>
                <w:sz w:val="18"/>
                <w:szCs w:val="18"/>
              </w:rPr>
            </w:pPr>
            <w:r>
              <w:rPr>
                <w:rFonts w:hint="eastAsia" w:ascii="宋体" w:hAnsi="宋体"/>
                <w:bCs/>
                <w:sz w:val="18"/>
                <w:szCs w:val="18"/>
                <w:lang w:val="en-US" w:eastAsia="zh-CN"/>
              </w:rPr>
              <w:t>年化</w:t>
            </w:r>
            <w:r>
              <w:rPr>
                <w:rFonts w:hint="eastAsia" w:ascii="宋体" w:hAnsi="宋体"/>
                <w:bCs/>
                <w:sz w:val="18"/>
                <w:szCs w:val="18"/>
              </w:rPr>
              <w:t>【2.</w:t>
            </w:r>
            <w:r>
              <w:rPr>
                <w:rFonts w:hint="eastAsia" w:ascii="宋体" w:hAnsi="宋体"/>
                <w:bCs/>
                <w:sz w:val="18"/>
                <w:szCs w:val="18"/>
                <w:lang w:val="en-US" w:eastAsia="zh-CN"/>
              </w:rPr>
              <w:t>35%</w:t>
            </w:r>
            <w:r>
              <w:rPr>
                <w:rFonts w:hint="eastAsia" w:ascii="宋体" w:hAnsi="宋体"/>
                <w:bCs/>
                <w:sz w:val="18"/>
                <w:szCs w:val="18"/>
              </w:rPr>
              <w:t>】</w:t>
            </w:r>
            <w:r>
              <w:rPr>
                <w:rFonts w:hint="eastAsia" w:hAnsi="宋体"/>
                <w:bCs/>
                <w:sz w:val="18"/>
                <w:szCs w:val="18"/>
              </w:rPr>
              <w:t>（</w:t>
            </w:r>
            <w:r>
              <w:rPr>
                <w:rFonts w:hint="eastAsia" w:hAnsi="宋体"/>
                <w:bCs/>
                <w:sz w:val="18"/>
                <w:szCs w:val="18"/>
                <w:lang w:eastAsia="zh-CN"/>
              </w:rPr>
              <w:t>适用【A】类份额</w:t>
            </w:r>
            <w:r>
              <w:rPr>
                <w:rFonts w:hint="eastAsia" w:hAnsi="宋体"/>
                <w:bCs/>
                <w:sz w:val="18"/>
                <w:szCs w:val="18"/>
              </w:rPr>
              <w:t>）</w:t>
            </w:r>
          </w:p>
          <w:p>
            <w:pPr>
              <w:spacing w:line="360" w:lineRule="auto"/>
              <w:jc w:val="left"/>
              <w:rPr>
                <w:rFonts w:hint="default" w:hAnsi="宋体"/>
                <w:bCs/>
                <w:sz w:val="18"/>
                <w:szCs w:val="18"/>
                <w:lang w:val="en-US" w:eastAsia="zh-CN"/>
              </w:rPr>
            </w:pPr>
            <w:r>
              <w:rPr>
                <w:rFonts w:hint="eastAsia" w:ascii="宋体" w:hAnsi="宋体"/>
                <w:bCs/>
                <w:sz w:val="18"/>
                <w:szCs w:val="18"/>
                <w:lang w:val="en-US" w:eastAsia="zh-CN"/>
              </w:rPr>
              <w:t>年化</w:t>
            </w:r>
            <w:r>
              <w:rPr>
                <w:rFonts w:hint="eastAsia" w:ascii="宋体" w:hAnsi="宋体"/>
                <w:bCs/>
                <w:sz w:val="18"/>
                <w:szCs w:val="18"/>
              </w:rPr>
              <w:t>【2.</w:t>
            </w:r>
            <w:r>
              <w:rPr>
                <w:rFonts w:hint="eastAsia" w:ascii="宋体" w:hAnsi="宋体"/>
                <w:bCs/>
                <w:sz w:val="18"/>
                <w:szCs w:val="18"/>
                <w:lang w:val="en-US" w:eastAsia="zh-CN"/>
              </w:rPr>
              <w:t>35%</w:t>
            </w:r>
            <w:r>
              <w:rPr>
                <w:rFonts w:hint="eastAsia" w:ascii="宋体" w:hAnsi="宋体"/>
                <w:bCs/>
                <w:sz w:val="18"/>
                <w:szCs w:val="18"/>
              </w:rPr>
              <w:t>】</w:t>
            </w:r>
            <w:r>
              <w:rPr>
                <w:rFonts w:hint="eastAsia" w:hAnsi="宋体"/>
                <w:bCs/>
                <w:sz w:val="18"/>
                <w:szCs w:val="18"/>
              </w:rPr>
              <w:t>（</w:t>
            </w:r>
            <w:r>
              <w:rPr>
                <w:rFonts w:hint="eastAsia" w:hAnsi="宋体"/>
                <w:bCs/>
                <w:sz w:val="18"/>
                <w:szCs w:val="18"/>
                <w:lang w:eastAsia="zh-CN"/>
              </w:rPr>
              <w:t>适用【</w:t>
            </w:r>
            <w:r>
              <w:rPr>
                <w:rFonts w:hint="eastAsia" w:hAnsi="宋体"/>
                <w:bCs/>
                <w:sz w:val="18"/>
                <w:szCs w:val="18"/>
                <w:lang w:val="en-US" w:eastAsia="zh-CN"/>
              </w:rPr>
              <w:t>B</w:t>
            </w:r>
            <w:r>
              <w:rPr>
                <w:rFonts w:hint="eastAsia" w:hAnsi="宋体"/>
                <w:bCs/>
                <w:sz w:val="18"/>
                <w:szCs w:val="18"/>
                <w:lang w:eastAsia="zh-CN"/>
              </w:rPr>
              <w:t>】类份额</w:t>
            </w:r>
            <w:r>
              <w:rPr>
                <w:rFonts w:hint="eastAsia" w:hAnsi="宋体"/>
                <w:bCs/>
                <w:sz w:val="18"/>
                <w:szCs w:val="18"/>
              </w:rPr>
              <w:t>）</w:t>
            </w:r>
          </w:p>
          <w:p>
            <w:pPr>
              <w:spacing w:line="360" w:lineRule="auto"/>
              <w:jc w:val="left"/>
              <w:rPr>
                <w:rFonts w:hint="default" w:hAnsi="宋体"/>
                <w:bCs/>
                <w:sz w:val="18"/>
                <w:szCs w:val="18"/>
                <w:lang w:val="en-US" w:eastAsia="zh-CN"/>
              </w:rPr>
            </w:pPr>
            <w:r>
              <w:rPr>
                <w:rFonts w:hint="eastAsia" w:ascii="宋体" w:hAnsi="宋体"/>
                <w:bCs/>
                <w:sz w:val="18"/>
                <w:szCs w:val="18"/>
                <w:lang w:val="en-US" w:eastAsia="zh-CN"/>
              </w:rPr>
              <w:t>年化</w:t>
            </w:r>
            <w:r>
              <w:rPr>
                <w:rFonts w:hint="eastAsia" w:ascii="宋体" w:hAnsi="宋体"/>
                <w:bCs/>
                <w:sz w:val="18"/>
                <w:szCs w:val="18"/>
              </w:rPr>
              <w:t>【2.4</w:t>
            </w:r>
            <w:r>
              <w:rPr>
                <w:rFonts w:hint="eastAsia" w:ascii="宋体" w:hAnsi="宋体"/>
                <w:bCs/>
                <w:sz w:val="18"/>
                <w:szCs w:val="18"/>
                <w:lang w:val="en-US" w:eastAsia="zh-CN"/>
              </w:rPr>
              <w:t>0%</w:t>
            </w:r>
            <w:r>
              <w:rPr>
                <w:rFonts w:hint="eastAsia" w:ascii="宋体" w:hAnsi="宋体"/>
                <w:bCs/>
                <w:sz w:val="18"/>
                <w:szCs w:val="18"/>
              </w:rPr>
              <w:t>】</w:t>
            </w:r>
            <w:r>
              <w:rPr>
                <w:rFonts w:hint="eastAsia" w:hAnsi="宋体"/>
                <w:bCs/>
                <w:sz w:val="18"/>
                <w:szCs w:val="18"/>
              </w:rPr>
              <w:t>（</w:t>
            </w:r>
            <w:r>
              <w:rPr>
                <w:rFonts w:hint="eastAsia" w:hAnsi="宋体"/>
                <w:bCs/>
                <w:sz w:val="18"/>
                <w:szCs w:val="18"/>
                <w:lang w:eastAsia="zh-CN"/>
              </w:rPr>
              <w:t>适用【</w:t>
            </w:r>
            <w:r>
              <w:rPr>
                <w:rFonts w:hint="eastAsia" w:hAnsi="宋体"/>
                <w:bCs/>
                <w:sz w:val="18"/>
                <w:szCs w:val="18"/>
                <w:lang w:val="en-US" w:eastAsia="zh-CN"/>
              </w:rPr>
              <w:t>C</w:t>
            </w:r>
            <w:r>
              <w:rPr>
                <w:rFonts w:hint="eastAsia" w:hAnsi="宋体"/>
                <w:bCs/>
                <w:sz w:val="18"/>
                <w:szCs w:val="18"/>
                <w:lang w:eastAsia="zh-CN"/>
              </w:rPr>
              <w:t>】类份额</w:t>
            </w:r>
            <w:r>
              <w:rPr>
                <w:rFonts w:hint="eastAsia" w:hAnsi="宋体"/>
                <w:bCs/>
                <w:sz w:val="18"/>
                <w:szCs w:val="18"/>
              </w:rPr>
              <w:t>）</w:t>
            </w:r>
          </w:p>
          <w:p>
            <w:pPr>
              <w:spacing w:line="360" w:lineRule="auto"/>
              <w:jc w:val="left"/>
              <w:rPr>
                <w:rFonts w:hint="default" w:hAnsi="宋体"/>
                <w:bCs/>
                <w:sz w:val="18"/>
                <w:szCs w:val="18"/>
                <w:lang w:val="en-US" w:eastAsia="zh-CN"/>
              </w:rPr>
            </w:pPr>
            <w:r>
              <w:rPr>
                <w:rFonts w:hint="eastAsia" w:ascii="宋体" w:hAnsi="宋体"/>
                <w:bCs/>
                <w:sz w:val="18"/>
                <w:szCs w:val="18"/>
                <w:lang w:val="en-US" w:eastAsia="zh-CN"/>
              </w:rPr>
              <w:t>年化</w:t>
            </w:r>
            <w:r>
              <w:rPr>
                <w:rFonts w:hint="eastAsia" w:ascii="宋体" w:hAnsi="宋体"/>
                <w:bCs/>
                <w:sz w:val="18"/>
                <w:szCs w:val="18"/>
              </w:rPr>
              <w:t>【2.</w:t>
            </w:r>
            <w:r>
              <w:rPr>
                <w:rFonts w:hint="eastAsia" w:ascii="宋体" w:hAnsi="宋体"/>
                <w:bCs/>
                <w:sz w:val="18"/>
                <w:szCs w:val="18"/>
                <w:lang w:val="en-US" w:eastAsia="zh-CN"/>
              </w:rPr>
              <w:t>35%</w:t>
            </w:r>
            <w:r>
              <w:rPr>
                <w:rFonts w:hint="eastAsia" w:ascii="宋体" w:hAnsi="宋体"/>
                <w:bCs/>
                <w:sz w:val="18"/>
                <w:szCs w:val="18"/>
              </w:rPr>
              <w:t>】</w:t>
            </w:r>
            <w:r>
              <w:rPr>
                <w:rFonts w:hint="eastAsia" w:hAnsi="宋体"/>
                <w:bCs/>
                <w:sz w:val="18"/>
                <w:szCs w:val="18"/>
              </w:rPr>
              <w:t>（</w:t>
            </w:r>
            <w:r>
              <w:rPr>
                <w:rFonts w:hint="eastAsia" w:hAnsi="宋体"/>
                <w:bCs/>
                <w:sz w:val="18"/>
                <w:szCs w:val="18"/>
                <w:lang w:eastAsia="zh-CN"/>
              </w:rPr>
              <w:t>适用【</w:t>
            </w:r>
            <w:r>
              <w:rPr>
                <w:rFonts w:hint="eastAsia" w:hAnsi="宋体"/>
                <w:bCs/>
                <w:sz w:val="18"/>
                <w:szCs w:val="18"/>
                <w:lang w:val="en-US" w:eastAsia="zh-CN"/>
              </w:rPr>
              <w:t>D</w:t>
            </w:r>
            <w:r>
              <w:rPr>
                <w:rFonts w:hint="eastAsia" w:hAnsi="宋体"/>
                <w:bCs/>
                <w:sz w:val="18"/>
                <w:szCs w:val="18"/>
                <w:lang w:eastAsia="zh-CN"/>
              </w:rPr>
              <w:t>】类份额</w:t>
            </w:r>
            <w:r>
              <w:rPr>
                <w:rFonts w:hint="eastAsia" w:hAnsi="宋体"/>
                <w:bCs/>
                <w:sz w:val="18"/>
                <w:szCs w:val="18"/>
              </w:rPr>
              <w:t>）</w:t>
            </w:r>
          </w:p>
          <w:p>
            <w:pPr>
              <w:spacing w:line="360" w:lineRule="auto"/>
              <w:jc w:val="left"/>
              <w:rPr>
                <w:rFonts w:hint="default" w:hAnsi="宋体"/>
                <w:bCs/>
                <w:sz w:val="18"/>
                <w:szCs w:val="18"/>
                <w:lang w:val="en-US" w:eastAsia="zh-CN"/>
              </w:rPr>
            </w:pPr>
            <w:r>
              <w:rPr>
                <w:rFonts w:hint="eastAsia" w:ascii="宋体" w:hAnsi="宋体"/>
                <w:bCs/>
                <w:sz w:val="18"/>
                <w:szCs w:val="18"/>
                <w:lang w:val="en-US" w:eastAsia="zh-CN"/>
              </w:rPr>
              <w:t>年化</w:t>
            </w:r>
            <w:r>
              <w:rPr>
                <w:rFonts w:hint="eastAsia" w:ascii="宋体" w:hAnsi="宋体"/>
                <w:bCs/>
                <w:sz w:val="18"/>
                <w:szCs w:val="18"/>
              </w:rPr>
              <w:t>【2.3</w:t>
            </w:r>
            <w:r>
              <w:rPr>
                <w:rFonts w:hint="eastAsia" w:ascii="宋体" w:hAnsi="宋体"/>
                <w:bCs/>
                <w:sz w:val="18"/>
                <w:szCs w:val="18"/>
                <w:lang w:val="en-US" w:eastAsia="zh-CN"/>
              </w:rPr>
              <w:t>0%</w:t>
            </w:r>
            <w:r>
              <w:rPr>
                <w:rFonts w:hint="eastAsia" w:ascii="宋体" w:hAnsi="宋体"/>
                <w:bCs/>
                <w:sz w:val="18"/>
                <w:szCs w:val="18"/>
              </w:rPr>
              <w:t>】</w:t>
            </w:r>
            <w:r>
              <w:rPr>
                <w:rFonts w:hint="eastAsia" w:hAnsi="宋体"/>
                <w:bCs/>
                <w:sz w:val="18"/>
                <w:szCs w:val="18"/>
              </w:rPr>
              <w:t>（</w:t>
            </w:r>
            <w:r>
              <w:rPr>
                <w:rFonts w:hint="eastAsia" w:hAnsi="宋体"/>
                <w:bCs/>
                <w:sz w:val="18"/>
                <w:szCs w:val="18"/>
                <w:lang w:eastAsia="zh-CN"/>
              </w:rPr>
              <w:t>适用【</w:t>
            </w:r>
            <w:r>
              <w:rPr>
                <w:rFonts w:hint="eastAsia" w:hAnsi="宋体"/>
                <w:bCs/>
                <w:sz w:val="18"/>
                <w:szCs w:val="18"/>
                <w:lang w:val="en-US" w:eastAsia="zh-CN"/>
              </w:rPr>
              <w:t>E</w:t>
            </w:r>
            <w:r>
              <w:rPr>
                <w:rFonts w:hint="eastAsia" w:hAnsi="宋体"/>
                <w:bCs/>
                <w:sz w:val="18"/>
                <w:szCs w:val="18"/>
                <w:lang w:eastAsia="zh-CN"/>
              </w:rPr>
              <w:t>】类份额</w:t>
            </w:r>
            <w:r>
              <w:rPr>
                <w:rFonts w:hint="eastAsia" w:hAnsi="宋体"/>
                <w:bCs/>
                <w:sz w:val="18"/>
                <w:szCs w:val="18"/>
              </w:rPr>
              <w:t>）</w:t>
            </w:r>
          </w:p>
          <w:p>
            <w:pPr>
              <w:spacing w:line="360" w:lineRule="auto"/>
              <w:jc w:val="left"/>
              <w:rPr>
                <w:rFonts w:hint="default" w:hAnsi="宋体"/>
                <w:bCs/>
                <w:sz w:val="18"/>
                <w:szCs w:val="18"/>
                <w:lang w:val="en-US" w:eastAsia="zh-CN"/>
              </w:rPr>
            </w:pPr>
            <w:r>
              <w:rPr>
                <w:rFonts w:hint="eastAsia" w:ascii="宋体" w:hAnsi="宋体"/>
                <w:bCs/>
                <w:sz w:val="18"/>
                <w:szCs w:val="18"/>
                <w:lang w:val="en-US" w:eastAsia="zh-CN"/>
              </w:rPr>
              <w:t>年化</w:t>
            </w:r>
            <w:r>
              <w:rPr>
                <w:rFonts w:hint="eastAsia" w:ascii="宋体" w:hAnsi="宋体"/>
                <w:bCs/>
                <w:sz w:val="18"/>
                <w:szCs w:val="18"/>
              </w:rPr>
              <w:t>【2.2</w:t>
            </w:r>
            <w:r>
              <w:rPr>
                <w:rFonts w:hint="eastAsia" w:ascii="宋体" w:hAnsi="宋体"/>
                <w:bCs/>
                <w:sz w:val="18"/>
                <w:szCs w:val="18"/>
                <w:lang w:val="en-US" w:eastAsia="zh-CN"/>
              </w:rPr>
              <w:t>0%</w:t>
            </w:r>
            <w:r>
              <w:rPr>
                <w:rFonts w:hint="eastAsia" w:ascii="宋体" w:hAnsi="宋体"/>
                <w:bCs/>
                <w:sz w:val="18"/>
                <w:szCs w:val="18"/>
              </w:rPr>
              <w:t>】</w:t>
            </w:r>
            <w:r>
              <w:rPr>
                <w:rFonts w:hint="eastAsia" w:hAnsi="宋体"/>
                <w:bCs/>
                <w:sz w:val="18"/>
                <w:szCs w:val="18"/>
              </w:rPr>
              <w:t>（</w:t>
            </w:r>
            <w:r>
              <w:rPr>
                <w:rFonts w:hint="eastAsia" w:hAnsi="宋体"/>
                <w:bCs/>
                <w:sz w:val="18"/>
                <w:szCs w:val="18"/>
                <w:lang w:eastAsia="zh-CN"/>
              </w:rPr>
              <w:t>适用【</w:t>
            </w:r>
            <w:r>
              <w:rPr>
                <w:rFonts w:hint="eastAsia" w:hAnsi="宋体"/>
                <w:bCs/>
                <w:sz w:val="18"/>
                <w:szCs w:val="18"/>
                <w:lang w:val="en-US" w:eastAsia="zh-CN"/>
              </w:rPr>
              <w:t>F</w:t>
            </w:r>
            <w:r>
              <w:rPr>
                <w:rFonts w:hint="eastAsia" w:hAnsi="宋体"/>
                <w:bCs/>
                <w:sz w:val="18"/>
                <w:szCs w:val="18"/>
                <w:lang w:eastAsia="zh-CN"/>
              </w:rPr>
              <w:t>】类份额</w:t>
            </w:r>
            <w:r>
              <w:rPr>
                <w:rFonts w:hint="eastAsia" w:hAnsi="宋体"/>
                <w:bCs/>
                <w:sz w:val="18"/>
                <w:szCs w:val="18"/>
              </w:rPr>
              <w:t>）</w:t>
            </w:r>
          </w:p>
          <w:p>
            <w:pPr>
              <w:spacing w:line="360" w:lineRule="auto"/>
              <w:jc w:val="left"/>
              <w:rPr>
                <w:rFonts w:ascii="宋体" w:hAnsi="宋体"/>
                <w:bCs/>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sz w:val="18"/>
              </w:rPr>
            </w:pPr>
            <w:r>
              <w:rPr>
                <w:rFonts w:hint="eastAsia" w:ascii="黑体" w:hAnsi="黑体" w:eastAsia="黑体"/>
                <w:sz w:val="18"/>
              </w:rPr>
              <w:t>（</w:t>
            </w:r>
            <w:r>
              <w:rPr>
                <w:rFonts w:ascii="黑体" w:hAnsi="黑体" w:eastAsia="黑体"/>
                <w:sz w:val="18"/>
              </w:rPr>
              <w:t>1）</w:t>
            </w:r>
            <w:r>
              <w:rPr>
                <w:rFonts w:hint="eastAsia" w:ascii="黑体" w:hAnsi="黑体" w:eastAsia="黑体"/>
                <w:sz w:val="18"/>
                <w:szCs w:val="18"/>
              </w:rPr>
              <w:t>★</w:t>
            </w:r>
            <w:r>
              <w:rPr>
                <w:rFonts w:hint="eastAsia" w:ascii="黑体" w:hAnsi="黑体" w:eastAsia="黑体"/>
                <w:sz w:val="18"/>
              </w:rPr>
              <w:t>业绩报酬计提基准仅作为管理人计算超额业绩报酬的参照标准</w:t>
            </w:r>
            <w:r>
              <w:rPr>
                <w:rFonts w:hint="eastAsia" w:ascii="黑体" w:hAnsi="黑体" w:eastAsia="黑体"/>
                <w:bCs/>
                <w:sz w:val="18"/>
                <w:szCs w:val="18"/>
              </w:rPr>
              <w:t>。业绩报酬计提基准不是预期收益率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7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74" w:type="dxa"/>
            <w:shd w:val="solid" w:color="FFFFFF" w:fill="FFFFFF"/>
            <w:vAlign w:val="center"/>
          </w:tcPr>
          <w:p>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1.理财产品的费率标准</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2）销售服</w:t>
            </w:r>
            <w:r>
              <w:rPr>
                <w:rFonts w:hint="eastAsia" w:ascii="黑体" w:hAnsi="黑体" w:eastAsia="黑体"/>
                <w:bCs/>
                <w:color w:val="000000" w:themeColor="text1"/>
                <w:sz w:val="18"/>
                <w:szCs w:val="18"/>
                <w14:textFill>
                  <w14:solidFill>
                    <w14:schemeClr w14:val="tx1"/>
                  </w14:solidFill>
                </w14:textFill>
              </w:rPr>
              <w:t>务费：</w:t>
            </w:r>
          </w:p>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0.05%</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适用【A】类份额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0.05%</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w:t>
            </w:r>
            <w:r>
              <w:rPr>
                <w:rFonts w:hint="eastAsia" w:asciiTheme="majorEastAsia" w:hAnsiTheme="majorEastAsia" w:eastAsiaTheme="majorEastAsia"/>
                <w:bCs/>
                <w:color w:val="000000" w:themeColor="text1"/>
                <w:sz w:val="18"/>
                <w:szCs w:val="18"/>
                <w:lang w:eastAsia="zh-CN"/>
                <w14:textFill>
                  <w14:solidFill>
                    <w14:schemeClr w14:val="tx1"/>
                  </w14:solidFill>
                </w14:textFill>
              </w:rPr>
              <w:t>】类份额</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0.00%</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C</w:t>
            </w:r>
            <w:r>
              <w:rPr>
                <w:rFonts w:hint="eastAsia" w:asciiTheme="majorEastAsia" w:hAnsiTheme="majorEastAsia" w:eastAsiaTheme="majorEastAsia"/>
                <w:bCs/>
                <w:color w:val="000000" w:themeColor="text1"/>
                <w:sz w:val="18"/>
                <w:szCs w:val="18"/>
                <w:lang w:eastAsia="zh-CN"/>
                <w14:textFill>
                  <w14:solidFill>
                    <w14:schemeClr w14:val="tx1"/>
                  </w14:solidFill>
                </w14:textFill>
              </w:rPr>
              <w:t>】类份额</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0.05%</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D</w:t>
            </w:r>
            <w:r>
              <w:rPr>
                <w:rFonts w:hint="eastAsia" w:asciiTheme="majorEastAsia" w:hAnsiTheme="majorEastAsia" w:eastAsiaTheme="majorEastAsia"/>
                <w:bCs/>
                <w:color w:val="000000" w:themeColor="text1"/>
                <w:sz w:val="18"/>
                <w:szCs w:val="18"/>
                <w:lang w:eastAsia="zh-CN"/>
                <w14:textFill>
                  <w14:solidFill>
                    <w14:schemeClr w14:val="tx1"/>
                  </w14:solidFill>
                </w14:textFill>
              </w:rPr>
              <w:t>】类份额</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0.10%</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E</w:t>
            </w:r>
            <w:r>
              <w:rPr>
                <w:rFonts w:hint="eastAsia" w:asciiTheme="majorEastAsia" w:hAnsiTheme="majorEastAsia" w:eastAsiaTheme="majorEastAsia"/>
                <w:bCs/>
                <w:color w:val="000000" w:themeColor="text1"/>
                <w:sz w:val="18"/>
                <w:szCs w:val="18"/>
                <w:lang w:eastAsia="zh-CN"/>
                <w14:textFill>
                  <w14:solidFill>
                    <w14:schemeClr w14:val="tx1"/>
                  </w14:solidFill>
                </w14:textFill>
              </w:rPr>
              <w:t>】类份额</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0.20%</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F</w:t>
            </w:r>
            <w:r>
              <w:rPr>
                <w:rFonts w:hint="eastAsia" w:asciiTheme="majorEastAsia" w:hAnsiTheme="majorEastAsia" w:eastAsiaTheme="majorEastAsia"/>
                <w:bCs/>
                <w:color w:val="000000" w:themeColor="text1"/>
                <w:sz w:val="18"/>
                <w:szCs w:val="18"/>
                <w:lang w:eastAsia="zh-CN"/>
                <w14:textFill>
                  <w14:solidFill>
                    <w14:schemeClr w14:val="tx1"/>
                  </w14:solidFill>
                </w14:textFill>
              </w:rPr>
              <w:t>】类份额</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3）投资管理费：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0.05%</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4）产品托管费：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5）超额业绩报酬：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50%</w:t>
            </w:r>
            <w:r>
              <w:rPr>
                <w:rFonts w:hint="eastAsia" w:ascii="宋体" w:hAnsi="宋体"/>
                <w:sz w:val="18"/>
                <w:szCs w:val="18"/>
              </w:rPr>
              <w:t>】作为超额业绩报酬。</w:t>
            </w:r>
          </w:p>
          <w:p>
            <w:pPr>
              <w:spacing w:line="360" w:lineRule="auto"/>
              <w:rPr>
                <w:rFonts w:ascii="黑体" w:hAnsi="黑体" w:eastAsia="黑体"/>
                <w:bCs/>
                <w:sz w:val="18"/>
                <w:szCs w:val="18"/>
              </w:rPr>
            </w:pPr>
            <w:r>
              <w:rPr>
                <w:rFonts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67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4" w:name="_Toc79154666"/>
      <w:bookmarkStart w:id="5" w:name="_Toc176189755"/>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spacing w:line="360" w:lineRule="auto"/>
        <w:ind w:firstLine="360" w:firstLineChars="200"/>
        <w:rPr>
          <w:rFonts w:asciiTheme="minorEastAsia" w:hAnsiTheme="minorEastAsia"/>
          <w:bCs/>
          <w:kern w:val="0"/>
          <w:sz w:val="18"/>
          <w:szCs w:val="18"/>
        </w:rPr>
      </w:pPr>
      <w:r>
        <w:rPr>
          <w:rFonts w:hint="eastAsia" w:asciiTheme="minorEastAsia" w:hAnsiTheme="minorEastAsia"/>
          <w:bCs/>
          <w:sz w:val="18"/>
          <w:szCs w:val="18"/>
        </w:rPr>
        <w:t>认购期/募集期内投资者可</w:t>
      </w:r>
      <w:r>
        <w:rPr>
          <w:rFonts w:hint="eastAsia" w:asciiTheme="minorEastAsia" w:hAnsiTheme="minorEastAsia"/>
          <w:bCs/>
          <w:kern w:val="0"/>
          <w:sz w:val="18"/>
          <w:szCs w:val="18"/>
        </w:rPr>
        <w:t>提交认购申请</w:t>
      </w:r>
      <w:r>
        <w:rPr>
          <w:rFonts w:hint="eastAsia" w:asciiTheme="minorEastAsia" w:hAnsiTheme="minorEastAsia"/>
          <w:bCs/>
          <w:sz w:val="18"/>
          <w:szCs w:val="18"/>
        </w:rPr>
        <w:t>。</w:t>
      </w:r>
      <w:r>
        <w:rPr>
          <w:rFonts w:hint="eastAsia" w:asciiTheme="minorEastAsia" w:hAnsiTheme="minorEastAsia"/>
          <w:bCs/>
          <w:kern w:val="0"/>
          <w:sz w:val="18"/>
          <w:szCs w:val="18"/>
        </w:rPr>
        <w:t>提交认购申请并不代表认购成功，产品管理人将在认购确认日确认投资者是否认购成功，是否成功以管理人的确认结果为准。</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4771"/>
      <w:bookmarkStart w:id="10" w:name="_Toc176189756"/>
      <w:bookmarkStart w:id="11" w:name="_Toc90742688"/>
      <w:bookmarkStart w:id="12" w:name="_Toc6714"/>
      <w:bookmarkStart w:id="13" w:name="_Toc3266"/>
      <w:bookmarkStart w:id="14" w:name="_Toc29948"/>
      <w:bookmarkStart w:id="15" w:name="_Toc74065741"/>
      <w:bookmarkStart w:id="16" w:name="_Toc16265"/>
      <w:bookmarkStart w:id="17" w:name="_Toc79154668"/>
      <w:bookmarkStart w:id="18" w:name="_Toc29784"/>
      <w:bookmarkStart w:id="19" w:name="_Toc22074"/>
      <w:bookmarkStart w:id="20" w:name="_Toc7151"/>
      <w:bookmarkStart w:id="21" w:name="_Toc90742390"/>
      <w:bookmarkStart w:id="22" w:name="_Toc15203"/>
      <w:bookmarkStart w:id="23" w:name="_Toc27226"/>
      <w:bookmarkStart w:id="24" w:name="_Toc90742321"/>
      <w:bookmarkStart w:id="25" w:name="_Toc27189"/>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本产品为封闭式产品，不设置申购与赎回。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176189757"/>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（3）国债期货、利率互换、债券借贷、信用风险缓释工具等；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4</w:t>
      </w:r>
      <w:r>
        <w:rPr>
          <w:rFonts w:hint="eastAsia" w:asciiTheme="majorEastAsia" w:hAnsiTheme="majorEastAsia" w:eastAsiaTheme="majorEastAsia"/>
          <w:bCs/>
          <w:kern w:val="0"/>
          <w:sz w:val="18"/>
          <w:szCs w:val="18"/>
        </w:rPr>
        <w:t>）符合监管要求的债权类资产；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5</w:t>
      </w:r>
      <w:r>
        <w:rPr>
          <w:rFonts w:hint="eastAsia" w:asciiTheme="majorEastAsia" w:hAnsiTheme="majorEastAsia" w:eastAsiaTheme="majorEastAsia"/>
          <w:bCs/>
          <w:kern w:val="0"/>
          <w:sz w:val="18"/>
          <w:szCs w:val="18"/>
        </w:rPr>
        <w:t>）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6</w:t>
      </w:r>
      <w:r>
        <w:rPr>
          <w:rFonts w:hint="eastAsia" w:asciiTheme="majorEastAsia" w:hAnsiTheme="majorEastAsia" w:eastAsiaTheme="majorEastAsia"/>
          <w:bCs/>
          <w:kern w:val="0"/>
          <w:sz w:val="18"/>
          <w:szCs w:val="18"/>
        </w:rPr>
        <w:t>）其他风险不高于前述资产的资产。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【（1）本产品投资于债权类资产的比例不低于产品总资产的80%。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（2）符合监管要求的非标准化债权类资产低于产品净资产的50%。</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（3）投资于同业存单及存款类资产的比例不低于产品净资产的50%。</w:t>
      </w:r>
    </w:p>
    <w:p>
      <w:pPr>
        <w:autoSpaceDE w:val="0"/>
        <w:autoSpaceDN w:val="0"/>
        <w:adjustRightInd w:val="0"/>
        <w:spacing w:line="360" w:lineRule="auto"/>
        <w:ind w:firstLine="420" w:firstLineChars="0"/>
        <w:jc w:val="left"/>
        <w:rPr>
          <w:rFonts w:asciiTheme="majorEastAsia" w:hAnsiTheme="majorEastAsia" w:eastAsiaTheme="majorEastAsia"/>
          <w:bCs/>
          <w:kern w:val="0"/>
          <w:sz w:val="18"/>
          <w:szCs w:val="18"/>
        </w:rPr>
      </w:pPr>
      <w:r>
        <w:rPr>
          <w:rFonts w:hint="eastAsia" w:asciiTheme="majorEastAsia" w:hAnsiTheme="majorEastAsia" w:eastAsiaTheme="majorEastAsia"/>
          <w:b/>
          <w:bCs/>
          <w:kern w:val="0"/>
          <w:sz w:val="18"/>
          <w:szCs w:val="18"/>
        </w:rPr>
        <w:t>注：本产品可能投资不存在活跃交易市场，并且需要采用估值技术确定公允价值的资产，且投资上述资产的比例达到理财产品净资产50%以上。</w:t>
      </w:r>
      <w:r>
        <w:rPr>
          <w:rFonts w:hint="eastAsia" w:asciiTheme="majorEastAsia" w:hAnsiTheme="majorEastAsia" w:eastAsiaTheme="majorEastAsia"/>
          <w:bCs/>
          <w:kern w:val="0"/>
          <w:sz w:val="18"/>
          <w:szCs w:val="18"/>
        </w:rPr>
        <w:t>】</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（4）全部开放式公募理财产品投资单一上市公司发行的股票不得超过该上市公司可流通股票的15%。 </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（5）本产品因为流动性需要可开展存单质押、债券正回购等融资业务，本产品总资产不超过净资产的200%。</w:t>
      </w:r>
    </w:p>
    <w:p>
      <w:pPr>
        <w:spacing w:line="360" w:lineRule="auto"/>
        <w:ind w:firstLine="360" w:firstLineChars="200"/>
        <w:rPr>
          <w:rFonts w:hint="eastAsia" w:asciiTheme="majorEastAsia" w:hAnsiTheme="majorEastAsia" w:eastAsiaTheme="majorEastAsia"/>
          <w:bCs/>
          <w:sz w:val="18"/>
          <w:szCs w:val="18"/>
          <w:lang w:eastAsia="zh-CN"/>
        </w:rPr>
      </w:pPr>
      <w:r>
        <w:rPr>
          <w:rFonts w:hint="eastAsia" w:asciiTheme="majorEastAsia" w:hAnsiTheme="majorEastAsia" w:eastAsiaTheme="majorEastAsia"/>
          <w:bCs/>
          <w:sz w:val="18"/>
          <w:szCs w:val="18"/>
          <w:lang w:eastAsia="zh-CN"/>
        </w:rPr>
        <w:t>（</w:t>
      </w:r>
      <w:r>
        <w:rPr>
          <w:rFonts w:hint="eastAsia" w:asciiTheme="majorEastAsia" w:hAnsiTheme="majorEastAsia" w:eastAsiaTheme="majorEastAsia"/>
          <w:bCs/>
          <w:sz w:val="18"/>
          <w:szCs w:val="18"/>
          <w:lang w:val="en-US" w:eastAsia="zh-CN"/>
        </w:rPr>
        <w:t>6</w:t>
      </w:r>
      <w:r>
        <w:rPr>
          <w:rFonts w:hint="eastAsia" w:asciiTheme="majorEastAsia" w:hAnsiTheme="majorEastAsia" w:eastAsiaTheme="majorEastAsia"/>
          <w:bCs/>
          <w:sz w:val="18"/>
          <w:szCs w:val="18"/>
          <w:lang w:eastAsia="zh-CN"/>
        </w:rPr>
        <w:t>）本产品投资于信用债券、银行存款、非标准化债权类资产融资人的信用评级均不得低于AA+。</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pPr>
        <w:spacing w:line="360" w:lineRule="auto"/>
        <w:ind w:firstLine="360" w:firstLineChars="200"/>
        <w:rPr>
          <w:rFonts w:asciiTheme="majorEastAsia" w:hAnsiTheme="majorEastAsia" w:eastAsiaTheme="majorEastAsia"/>
          <w:bCs/>
          <w:sz w:val="18"/>
          <w:szCs w:val="18"/>
        </w:rPr>
      </w:pP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sz w:val="18"/>
          <w:szCs w:val="18"/>
        </w:rPr>
      </w:pPr>
      <w:permStart w:id="19" w:edGrp="everyone"/>
      <w:r>
        <w:rPr>
          <w:rFonts w:hint="eastAsia" w:asciiTheme="majorEastAsia" w:hAnsiTheme="majorEastAsia" w:eastAsiaTheme="majorEastAsia"/>
          <w:sz w:val="18"/>
          <w:szCs w:val="18"/>
        </w:rPr>
        <w:t>【产品采取绝对收益策略，追求资产长期稳定增值。】</w:t>
      </w:r>
    </w:p>
    <w:permEnd w:id="19"/>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18329"/>
      <w:bookmarkStart w:id="28" w:name="_Toc4741"/>
      <w:bookmarkStart w:id="29" w:name="_Toc7848"/>
      <w:bookmarkStart w:id="30" w:name="_Toc74065742"/>
      <w:bookmarkStart w:id="31" w:name="_Toc18526"/>
      <w:bookmarkStart w:id="32" w:name="_Toc18797"/>
      <w:bookmarkStart w:id="33" w:name="_Toc176189758"/>
      <w:bookmarkStart w:id="34" w:name="_Toc141703885"/>
      <w:bookmarkStart w:id="35" w:name="_Toc17912"/>
      <w:bookmarkStart w:id="36" w:name="_Toc14893"/>
      <w:bookmarkStart w:id="37" w:name="_Toc26986"/>
      <w:bookmarkStart w:id="38" w:name="_Toc139991735"/>
      <w:bookmarkStart w:id="39" w:name="_Toc1823"/>
      <w:bookmarkStart w:id="40" w:name="_Toc21988"/>
      <w:bookmarkStart w:id="41" w:name="_Toc79154669"/>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79392606"/>
      <w:bookmarkStart w:id="44" w:name="_Toc141703886"/>
      <w:bookmarkStart w:id="45" w:name="_Toc74065743"/>
      <w:bookmarkStart w:id="46" w:name="_Toc123102453"/>
      <w:bookmarkStart w:id="47" w:name="_Toc176189759"/>
      <w:bookmarkStart w:id="48" w:name="_Toc123051452"/>
      <w:bookmarkStart w:id="49" w:name="_Toc139991736"/>
      <w:bookmarkStart w:id="50" w:name="_Toc10463"/>
      <w:bookmarkStart w:id="51" w:name="_Toc4003"/>
      <w:bookmarkStart w:id="52" w:name="_Toc23261"/>
      <w:bookmarkStart w:id="53" w:name="_Toc610"/>
      <w:bookmarkStart w:id="54" w:name="_Toc98560352"/>
      <w:bookmarkStart w:id="55" w:name="_Toc48649707"/>
      <w:bookmarkStart w:id="56" w:name="_Toc79154670"/>
      <w:bookmarkStart w:id="57" w:name="_Toc1270"/>
      <w:bookmarkStart w:id="58" w:name="_Toc17244"/>
      <w:bookmarkStart w:id="59" w:name="_Toc23822"/>
      <w:bookmarkStart w:id="60" w:name="_Toc123112234"/>
      <w:bookmarkStart w:id="61" w:name="_Toc7920"/>
      <w:bookmarkStart w:id="62" w:name="_Toc20733"/>
      <w:bookmarkStart w:id="63" w:name="_Toc1427"/>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permStart w:id="20" w:edGrp="everyone"/>
      <w:r>
        <w:rPr>
          <w:rFonts w:hint="eastAsia" w:hAnsi="宋体"/>
          <w:sz w:val="18"/>
          <w:szCs w:val="18"/>
        </w:rPr>
        <w:t>本产品存续期间，每【</w:t>
      </w:r>
      <w:r>
        <w:rPr>
          <w:rFonts w:hint="eastAsia" w:hAnsi="宋体"/>
          <w:sz w:val="18"/>
          <w:szCs w:val="18"/>
          <w:lang w:val="en-US" w:eastAsia="zh-CN"/>
        </w:rPr>
        <w:t>周</w:t>
      </w:r>
      <w:r>
        <w:rPr>
          <w:rFonts w:hint="eastAsia" w:hAnsi="宋体"/>
          <w:sz w:val="18"/>
          <w:szCs w:val="18"/>
        </w:rPr>
        <w:t>】进行一次估值。如遇产品到期日、季度末、半年度末、年度末等时间节点管理人将增加估值日。</w:t>
      </w:r>
    </w:p>
    <w:permEnd w:id="20"/>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360" w:firstLineChars="200"/>
        <w:rPr>
          <w:rFonts w:hAnsi="宋体"/>
          <w:bCs/>
          <w:sz w:val="18"/>
          <w:szCs w:val="18"/>
        </w:rPr>
      </w:pPr>
      <w:r>
        <w:rPr>
          <w:rFonts w:hAnsi="宋体"/>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（1）投资以收取合同现金流量为目的并持有到期的标准化债权类资产，可使用摊余成本计量。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3</w:t>
      </w:r>
      <w:r>
        <w:rPr>
          <w:rFonts w:hint="eastAsia" w:hAnsi="宋体"/>
          <w:sz w:val="18"/>
          <w:szCs w:val="18"/>
        </w:rPr>
        <w:t>）对已发行但未上市流通，且第三方估值机构未提供估值数据的标准化债权类资产，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4</w:t>
      </w:r>
      <w:r>
        <w:rPr>
          <w:rFonts w:hint="eastAsia" w:hAnsi="宋体"/>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hint="eastAsia" w:hAnsi="宋体"/>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hAnsi="宋体"/>
          <w:sz w:val="18"/>
          <w:szCs w:val="18"/>
        </w:rPr>
      </w:pPr>
      <w:r>
        <w:rPr>
          <w:rFonts w:hAnsi="宋体"/>
          <w:bCs/>
          <w:sz w:val="18"/>
          <w:szCs w:val="18"/>
        </w:rPr>
        <w:t>3.非标准化债权类资产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pPr>
        <w:pStyle w:val="34"/>
        <w:spacing w:line="360" w:lineRule="auto"/>
        <w:ind w:firstLine="360" w:firstLineChars="200"/>
        <w:rPr>
          <w:rFonts w:hAnsi="宋体"/>
          <w:bCs/>
          <w:sz w:val="18"/>
          <w:szCs w:val="18"/>
        </w:rPr>
      </w:pPr>
      <w:r>
        <w:rPr>
          <w:rFonts w:hAnsi="宋体"/>
          <w:bCs/>
          <w:sz w:val="18"/>
          <w:szCs w:val="18"/>
        </w:rPr>
        <w:t>4.上市公司股票估值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hAnsi="宋体"/>
          <w:bCs/>
          <w:sz w:val="18"/>
          <w:szCs w:val="18"/>
        </w:rPr>
      </w:pPr>
      <w:r>
        <w:rPr>
          <w:rFonts w:hAnsi="宋体"/>
          <w:bCs/>
          <w:sz w:val="18"/>
          <w:szCs w:val="18"/>
        </w:rPr>
        <w:t>5.未上市公司股权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hAnsi="宋体"/>
          <w:sz w:val="18"/>
          <w:szCs w:val="18"/>
        </w:rPr>
        <w:t>。</w:t>
      </w:r>
    </w:p>
    <w:p>
      <w:pPr>
        <w:pStyle w:val="34"/>
        <w:spacing w:line="360" w:lineRule="auto"/>
        <w:ind w:firstLine="360" w:firstLineChars="200"/>
        <w:rPr>
          <w:rFonts w:hAnsi="宋体"/>
          <w:bCs/>
          <w:sz w:val="18"/>
          <w:szCs w:val="18"/>
        </w:rPr>
      </w:pPr>
      <w:r>
        <w:rPr>
          <w:rFonts w:hAnsi="宋体"/>
          <w:bCs/>
          <w:sz w:val="18"/>
          <w:szCs w:val="18"/>
        </w:rPr>
        <w:t>6.优先股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hAnsi="宋体"/>
          <w:bCs/>
          <w:sz w:val="18"/>
          <w:szCs w:val="18"/>
        </w:rPr>
      </w:pPr>
      <w:r>
        <w:rPr>
          <w:rFonts w:hAnsi="宋体"/>
          <w:bCs/>
          <w:sz w:val="18"/>
          <w:szCs w:val="18"/>
        </w:rPr>
        <w:t>7.证券投资基金估值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hint="eastAsia" w:hAnsi="宋体"/>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pPr>
        <w:pStyle w:val="34"/>
        <w:spacing w:line="360" w:lineRule="auto"/>
        <w:ind w:firstLine="360" w:firstLineChars="200"/>
        <w:rPr>
          <w:rFonts w:hAnsi="宋体"/>
          <w:bCs/>
          <w:sz w:val="18"/>
          <w:szCs w:val="18"/>
        </w:rPr>
      </w:pPr>
      <w:r>
        <w:rPr>
          <w:rFonts w:hAnsi="宋体"/>
          <w:bCs/>
          <w:sz w:val="18"/>
          <w:szCs w:val="18"/>
        </w:rPr>
        <w:t>8.其他资产管理产品的估值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hAnsi="宋体"/>
          <w:bCs/>
          <w:sz w:val="18"/>
          <w:szCs w:val="18"/>
        </w:rPr>
      </w:pPr>
      <w:r>
        <w:rPr>
          <w:rFonts w:hAnsi="宋体"/>
          <w:bCs/>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hAnsi="宋体"/>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p>
    <w:p>
      <w:pPr>
        <w:pStyle w:val="34"/>
        <w:spacing w:line="360" w:lineRule="auto"/>
        <w:ind w:firstLine="360" w:firstLineChars="200"/>
        <w:rPr>
          <w:rFonts w:hAnsi="宋体"/>
          <w:bCs/>
          <w:sz w:val="18"/>
          <w:szCs w:val="18"/>
        </w:rPr>
      </w:pPr>
      <w:r>
        <w:rPr>
          <w:rFonts w:hAnsi="宋体"/>
          <w:bCs/>
          <w:sz w:val="18"/>
          <w:szCs w:val="18"/>
        </w:rPr>
        <w:t>10.存款、拆借、回购等货币市场工具的估值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ascii="黑体" w:hAnsi="黑体" w:eastAsia="黑体"/>
          <w:sz w:val="18"/>
          <w:szCs w:val="18"/>
        </w:rPr>
        <w:t>12.★估值方法的调整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123051453"/>
      <w:bookmarkStart w:id="66" w:name="_Toc15143"/>
      <w:bookmarkStart w:id="67" w:name="_Toc14835"/>
      <w:bookmarkStart w:id="68" w:name="_Toc98560353"/>
      <w:bookmarkStart w:id="69" w:name="_Toc6405"/>
      <w:bookmarkStart w:id="70" w:name="_Toc123112235"/>
      <w:bookmarkStart w:id="71" w:name="_Toc29251"/>
      <w:bookmarkStart w:id="72" w:name="_Toc31235"/>
      <w:bookmarkStart w:id="73" w:name="_Toc141703887"/>
      <w:bookmarkStart w:id="74" w:name="_Toc3601"/>
      <w:bookmarkStart w:id="75" w:name="_Toc26207"/>
      <w:bookmarkStart w:id="76" w:name="_Toc176189760"/>
      <w:bookmarkStart w:id="77" w:name="_Toc74065744"/>
      <w:bookmarkStart w:id="78" w:name="_Toc31644"/>
      <w:bookmarkStart w:id="79" w:name="_Toc12245"/>
      <w:bookmarkStart w:id="80" w:name="_Toc123102454"/>
      <w:bookmarkStart w:id="81" w:name="_Toc139991737"/>
      <w:bookmarkStart w:id="82" w:name="_Toc31653"/>
      <w:bookmarkStart w:id="83" w:name="_Toc79154671"/>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15118234"/>
      <w:bookmarkStart w:id="86" w:name="_Toc523711668"/>
      <w:bookmarkStart w:id="87" w:name="_Toc79392580"/>
      <w:bookmarkStart w:id="88"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bCs/>
          <w:color w:val="auto"/>
          <w:sz w:val="18"/>
          <w:szCs w:val="18"/>
        </w:rPr>
      </w:pPr>
      <w:permStart w:id="21" w:edGrp="everyone"/>
      <w:r>
        <w:rPr>
          <w:rFonts w:hAnsi="宋体"/>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97298"/>
      <w:bookmarkEnd w:id="89"/>
      <w:bookmarkStart w:id="90" w:name="_Hlt88825574"/>
      <w:bookmarkEnd w:id="90"/>
      <w:bookmarkStart w:id="91" w:name="_Toc3771"/>
      <w:bookmarkStart w:id="92" w:name="_Toc139991738"/>
      <w:bookmarkStart w:id="93" w:name="_Toc6447"/>
      <w:bookmarkStart w:id="94" w:name="_Toc7058"/>
      <w:bookmarkStart w:id="95" w:name="_Toc176189761"/>
      <w:bookmarkStart w:id="96" w:name="_Toc4559"/>
      <w:bookmarkStart w:id="97" w:name="_Toc11030"/>
      <w:bookmarkStart w:id="98" w:name="_Toc3321"/>
      <w:bookmarkStart w:id="99" w:name="_Toc10650"/>
      <w:bookmarkStart w:id="100" w:name="_Toc123051454"/>
      <w:bookmarkStart w:id="101" w:name="_Toc18567"/>
      <w:bookmarkStart w:id="102" w:name="_Toc79392583"/>
      <w:bookmarkStart w:id="103" w:name="_Toc9706"/>
      <w:bookmarkStart w:id="104" w:name="_Toc123112236"/>
      <w:bookmarkStart w:id="105" w:name="_Toc79154672"/>
      <w:bookmarkStart w:id="106" w:name="_Toc141703888"/>
      <w:bookmarkStart w:id="107" w:name="_Toc74065745"/>
      <w:bookmarkStart w:id="108" w:name="_Toc25783"/>
      <w:bookmarkStart w:id="109" w:name="_Toc98560354"/>
      <w:bookmarkStart w:id="110" w:name="_Toc123102455"/>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permStart w:id="23" w:edGrp="everyone"/>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ermEnd w:id="23"/>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permStart w:id="24" w:edGrp="everyone"/>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每份产品份额超额业绩报酬每日计提，产品终止日结算。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当R≤当前业绩报酬计提基准，超额业绩报酬=0；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当R＞当前业绩报酬计提基准，超额业绩报酬=产品终止时投资者持有的产品份额×产品成立日产品份额净值×（R-当前业绩报酬计提基准）×N×D/365。</w:t>
      </w:r>
    </w:p>
    <w:permEnd w:id="24"/>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3963"/>
      <w:bookmarkStart w:id="112" w:name="_Toc1745"/>
      <w:r>
        <w:br w:type="page"/>
      </w:r>
      <w:bookmarkStart w:id="113" w:name="_Toc3080"/>
      <w:bookmarkStart w:id="114" w:name="_Toc3572"/>
      <w:bookmarkStart w:id="115" w:name="_Toc123112237"/>
      <w:bookmarkStart w:id="116" w:name="_Toc31821"/>
      <w:bookmarkStart w:id="117" w:name="_Toc139991739"/>
      <w:bookmarkStart w:id="118" w:name="_Toc10398"/>
      <w:bookmarkStart w:id="119" w:name="_Toc79154673"/>
      <w:bookmarkStart w:id="120" w:name="_Toc123102456"/>
      <w:bookmarkStart w:id="121" w:name="_Toc176189762"/>
      <w:bookmarkStart w:id="122" w:name="_Toc74065746"/>
      <w:bookmarkStart w:id="123" w:name="_Toc141703889"/>
      <w:bookmarkStart w:id="124" w:name="_Toc725"/>
      <w:bookmarkStart w:id="125" w:name="_Toc123051455"/>
      <w:bookmarkStart w:id="126" w:name="_Toc21735"/>
      <w:bookmarkStart w:id="127" w:name="_Toc16164"/>
      <w:bookmarkStart w:id="128" w:name="_Toc18206"/>
      <w:bookmarkStart w:id="129" w:name="_Toc98560355"/>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15118245"/>
      <w:bookmarkStart w:id="131" w:name="_Toc79392593"/>
      <w:bookmarkStart w:id="132"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部分终止的利益分配：产品管理人将依照销售文件公布部分终止日并指定利益分配日（一般为部分终止日之后的【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79392622"/>
      <w:bookmarkStart w:id="134" w:name="_Toc5170"/>
      <w:bookmarkStart w:id="135" w:name="_Toc3329"/>
      <w:bookmarkStart w:id="136" w:name="_Toc123112238"/>
      <w:bookmarkStart w:id="137" w:name="_Toc32584"/>
      <w:bookmarkStart w:id="138" w:name="_Toc79154674"/>
      <w:bookmarkStart w:id="139" w:name="_Toc32092"/>
      <w:bookmarkStart w:id="140" w:name="_Toc74065747"/>
      <w:bookmarkStart w:id="141" w:name="_Toc98560356"/>
      <w:bookmarkStart w:id="142" w:name="_Toc176189763"/>
      <w:bookmarkStart w:id="143" w:name="_Toc123102457"/>
      <w:bookmarkStart w:id="144" w:name="_Toc123051456"/>
      <w:bookmarkStart w:id="145" w:name="_Toc29408"/>
      <w:bookmarkStart w:id="146" w:name="_Toc139991740"/>
      <w:bookmarkStart w:id="147" w:name="_Toc739"/>
      <w:bookmarkStart w:id="148" w:name="_Toc141703890"/>
      <w:bookmarkStart w:id="149" w:name="_Toc17198"/>
      <w:bookmarkStart w:id="150" w:name="_Toc8791"/>
      <w:bookmarkStart w:id="151" w:name="_Toc17920"/>
      <w:bookmarkStart w:id="152" w:name="_Toc21237"/>
      <w:bookmarkStart w:id="153" w:name="_Toc48649708"/>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permStart w:id="25"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周</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25"/>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79154675"/>
      <w:bookmarkStart w:id="155" w:name="_Toc176189764"/>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6"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2）投资非标准化债权类资产的风险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ermEnd w:id="26"/>
    </w:p>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color w:val="000000"/>
          <w:kern w:val="0"/>
          <w:sz w:val="18"/>
          <w:szCs w:val="18"/>
        </w:rPr>
      </w:pPr>
      <w:r>
        <w:rPr>
          <w:rFonts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cs="Arial"/>
                <w:sz w:val="18"/>
                <w:szCs w:val="18"/>
              </w:rPr>
              <w:t>线上确认）：</w:t>
            </w:r>
          </w:p>
          <w:p>
            <w:pPr>
              <w:tabs>
                <w:tab w:val="left" w:pos="5609"/>
              </w:tabs>
              <w:spacing w:line="360" w:lineRule="auto"/>
              <w:ind w:firstLine="360"/>
              <w:jc w:val="left"/>
              <w:rPr>
                <w:rFonts w:cs="Arial"/>
                <w:sz w:val="18"/>
                <w:szCs w:val="18"/>
              </w:rPr>
            </w:pPr>
            <w:r>
              <w:rPr>
                <w:rFonts w:cs="Arial"/>
                <w:sz w:val="18"/>
                <w:szCs w:val="18"/>
              </w:rPr>
              <w:tab/>
            </w:r>
          </w:p>
          <w:p>
            <w:pPr>
              <w:spacing w:line="360" w:lineRule="auto"/>
              <w:ind w:firstLine="360"/>
              <w:jc w:val="left"/>
              <w:rPr>
                <w:rFonts w:cs="Arial"/>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cs="Arial"/>
                <w:sz w:val="18"/>
                <w:szCs w:val="18"/>
              </w:rPr>
              <w:t>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15"/>
      <w:jc w:val="right"/>
      <w:rPr>
        <w:rFonts w:ascii="Times New Roman" w:hAnsi="Times New Roman"/>
        <w:b/>
      </w:rPr>
    </w:pPr>
    <w:r>
      <w:rPr>
        <w:rFonts w:hint="eastAsia" w:ascii="Times New Roman" w:hAnsi="Times New Roman"/>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dit="readOnly" w:enforcement="1" w:cryptProviderType="rsaAES" w:cryptAlgorithmClass="hash" w:cryptAlgorithmType="typeAny" w:cryptAlgorithmSid="14" w:cryptSpinCount="100000" w:hash="mfb1nq3uxpir52HiOg5tuWEWBcq5gP++FQs5Aydt9cE6NMoCz0kkqs0r9EiP+jsYTvueEjhAbHYb9/JVRjlKaA==" w:salt="0Xq7BYtjNMlgYlG1ZbAXIA=="/>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0699"/>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15939AA"/>
    <w:rsid w:val="020A6A96"/>
    <w:rsid w:val="025A65D8"/>
    <w:rsid w:val="0356786B"/>
    <w:rsid w:val="03935544"/>
    <w:rsid w:val="046E31C1"/>
    <w:rsid w:val="056C4F65"/>
    <w:rsid w:val="06F4696E"/>
    <w:rsid w:val="07245E56"/>
    <w:rsid w:val="072779FF"/>
    <w:rsid w:val="08472CE3"/>
    <w:rsid w:val="0A213677"/>
    <w:rsid w:val="0AC979E9"/>
    <w:rsid w:val="0AE77512"/>
    <w:rsid w:val="0C023D8C"/>
    <w:rsid w:val="0DA0651B"/>
    <w:rsid w:val="0DC97F51"/>
    <w:rsid w:val="0E94232E"/>
    <w:rsid w:val="0F1306D5"/>
    <w:rsid w:val="0F55136E"/>
    <w:rsid w:val="102179A4"/>
    <w:rsid w:val="11295396"/>
    <w:rsid w:val="11B51035"/>
    <w:rsid w:val="137B4DE8"/>
    <w:rsid w:val="15A64204"/>
    <w:rsid w:val="163E2FB7"/>
    <w:rsid w:val="16553AED"/>
    <w:rsid w:val="16E41FFB"/>
    <w:rsid w:val="17DB2186"/>
    <w:rsid w:val="186C7F3C"/>
    <w:rsid w:val="1A074180"/>
    <w:rsid w:val="1A48157B"/>
    <w:rsid w:val="1A9A1109"/>
    <w:rsid w:val="1ABE2ED9"/>
    <w:rsid w:val="1B792633"/>
    <w:rsid w:val="1BD70953"/>
    <w:rsid w:val="1BF87698"/>
    <w:rsid w:val="1C78144D"/>
    <w:rsid w:val="1D807F84"/>
    <w:rsid w:val="1E585AB7"/>
    <w:rsid w:val="1E61320D"/>
    <w:rsid w:val="1E9F22CE"/>
    <w:rsid w:val="1EB160C2"/>
    <w:rsid w:val="1F713302"/>
    <w:rsid w:val="1F8C129C"/>
    <w:rsid w:val="1FF145B9"/>
    <w:rsid w:val="205671DA"/>
    <w:rsid w:val="213434F3"/>
    <w:rsid w:val="2193546F"/>
    <w:rsid w:val="22DD2376"/>
    <w:rsid w:val="23083986"/>
    <w:rsid w:val="23190733"/>
    <w:rsid w:val="23AF29A3"/>
    <w:rsid w:val="25543CD9"/>
    <w:rsid w:val="26123FD6"/>
    <w:rsid w:val="26F50BA9"/>
    <w:rsid w:val="27004886"/>
    <w:rsid w:val="276A677D"/>
    <w:rsid w:val="29026D00"/>
    <w:rsid w:val="2A642791"/>
    <w:rsid w:val="2BAD6E1C"/>
    <w:rsid w:val="2E340BB4"/>
    <w:rsid w:val="2EA644DF"/>
    <w:rsid w:val="2EE07B40"/>
    <w:rsid w:val="2F321A82"/>
    <w:rsid w:val="2F6B7F78"/>
    <w:rsid w:val="2FB532A0"/>
    <w:rsid w:val="2FF33A83"/>
    <w:rsid w:val="30C23783"/>
    <w:rsid w:val="319C4BEA"/>
    <w:rsid w:val="31A65A17"/>
    <w:rsid w:val="324776D3"/>
    <w:rsid w:val="327A518C"/>
    <w:rsid w:val="32814C62"/>
    <w:rsid w:val="33DA2E89"/>
    <w:rsid w:val="342265A9"/>
    <w:rsid w:val="34683779"/>
    <w:rsid w:val="34C829B2"/>
    <w:rsid w:val="35381804"/>
    <w:rsid w:val="36E03B8B"/>
    <w:rsid w:val="386A3F56"/>
    <w:rsid w:val="38C716AB"/>
    <w:rsid w:val="3A396834"/>
    <w:rsid w:val="3A5706DB"/>
    <w:rsid w:val="3A810EF7"/>
    <w:rsid w:val="3C131540"/>
    <w:rsid w:val="3C3802E9"/>
    <w:rsid w:val="3D213021"/>
    <w:rsid w:val="3D8F7503"/>
    <w:rsid w:val="3E0C1771"/>
    <w:rsid w:val="3E586AB8"/>
    <w:rsid w:val="3E5C1B1D"/>
    <w:rsid w:val="3EAE14E9"/>
    <w:rsid w:val="3FD261A6"/>
    <w:rsid w:val="406B6A62"/>
    <w:rsid w:val="423C28D4"/>
    <w:rsid w:val="42516E18"/>
    <w:rsid w:val="42B611AF"/>
    <w:rsid w:val="42EB2F9C"/>
    <w:rsid w:val="45226963"/>
    <w:rsid w:val="452D20FF"/>
    <w:rsid w:val="4584194F"/>
    <w:rsid w:val="45A2262A"/>
    <w:rsid w:val="45DF5261"/>
    <w:rsid w:val="46935C39"/>
    <w:rsid w:val="469F5C49"/>
    <w:rsid w:val="47BF32B9"/>
    <w:rsid w:val="48235A28"/>
    <w:rsid w:val="4ABB2587"/>
    <w:rsid w:val="4CD634E1"/>
    <w:rsid w:val="4D39606F"/>
    <w:rsid w:val="4E9D79E5"/>
    <w:rsid w:val="4ECC670E"/>
    <w:rsid w:val="4F8E3D4D"/>
    <w:rsid w:val="4FA308F4"/>
    <w:rsid w:val="50DE1DAB"/>
    <w:rsid w:val="50E8761C"/>
    <w:rsid w:val="50FD0FE7"/>
    <w:rsid w:val="526A4971"/>
    <w:rsid w:val="53015AD3"/>
    <w:rsid w:val="53B3493A"/>
    <w:rsid w:val="53DB7E74"/>
    <w:rsid w:val="551D7584"/>
    <w:rsid w:val="5537323C"/>
    <w:rsid w:val="55855837"/>
    <w:rsid w:val="56503211"/>
    <w:rsid w:val="5654156C"/>
    <w:rsid w:val="57BD5DAE"/>
    <w:rsid w:val="592D7830"/>
    <w:rsid w:val="598B567E"/>
    <w:rsid w:val="5ADD4D16"/>
    <w:rsid w:val="5B10394B"/>
    <w:rsid w:val="5B6655C5"/>
    <w:rsid w:val="5B967A8F"/>
    <w:rsid w:val="5BA577EB"/>
    <w:rsid w:val="5C624734"/>
    <w:rsid w:val="5DFA16AB"/>
    <w:rsid w:val="5EE04A76"/>
    <w:rsid w:val="5F9A4106"/>
    <w:rsid w:val="5FE91ABC"/>
    <w:rsid w:val="600F0535"/>
    <w:rsid w:val="60A968BB"/>
    <w:rsid w:val="60D42826"/>
    <w:rsid w:val="616925C8"/>
    <w:rsid w:val="617249FB"/>
    <w:rsid w:val="628E734C"/>
    <w:rsid w:val="64224A10"/>
    <w:rsid w:val="6580603B"/>
    <w:rsid w:val="6584625B"/>
    <w:rsid w:val="684C03A4"/>
    <w:rsid w:val="689E1B10"/>
    <w:rsid w:val="68B96EA7"/>
    <w:rsid w:val="68C7223A"/>
    <w:rsid w:val="68EF6886"/>
    <w:rsid w:val="694A7300"/>
    <w:rsid w:val="699457CF"/>
    <w:rsid w:val="6A735FA8"/>
    <w:rsid w:val="6BAE5F49"/>
    <w:rsid w:val="6C0965D8"/>
    <w:rsid w:val="6C347539"/>
    <w:rsid w:val="6FDD1093"/>
    <w:rsid w:val="70167F30"/>
    <w:rsid w:val="709C0126"/>
    <w:rsid w:val="70BA5D71"/>
    <w:rsid w:val="71E5159B"/>
    <w:rsid w:val="73487180"/>
    <w:rsid w:val="73DE046A"/>
    <w:rsid w:val="73EB7F47"/>
    <w:rsid w:val="7422791C"/>
    <w:rsid w:val="75A81BFD"/>
    <w:rsid w:val="76022652"/>
    <w:rsid w:val="767A0AFE"/>
    <w:rsid w:val="768501BE"/>
    <w:rsid w:val="76C8601E"/>
    <w:rsid w:val="776359ED"/>
    <w:rsid w:val="7778235D"/>
    <w:rsid w:val="78651BF7"/>
    <w:rsid w:val="78E7669E"/>
    <w:rsid w:val="7D58772D"/>
    <w:rsid w:val="7D80556D"/>
    <w:rsid w:val="7ED86E63"/>
    <w:rsid w:val="7F636403"/>
    <w:rsid w:val="7F9C2B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1EEDD527-97BA-47F6-B37E-95B51416FA3B}">
  <ds:schemaRefs/>
</ds:datastoreItem>
</file>

<file path=customXml/itemProps11.xml><?xml version="1.0" encoding="utf-8"?>
<ds:datastoreItem xmlns:ds="http://schemas.openxmlformats.org/officeDocument/2006/customXml" ds:itemID="{79B37214-9E52-4241-8DD2-9E9CD9442006}">
  <ds:schemaRefs/>
</ds:datastoreItem>
</file>

<file path=customXml/itemProps12.xml><?xml version="1.0" encoding="utf-8"?>
<ds:datastoreItem xmlns:ds="http://schemas.openxmlformats.org/officeDocument/2006/customXml" ds:itemID="{7E5C9D84-6DB6-48FB-8632-D5279FC233C8}">
  <ds:schemaRefs/>
</ds:datastoreItem>
</file>

<file path=customXml/itemProps13.xml><?xml version="1.0" encoding="utf-8"?>
<ds:datastoreItem xmlns:ds="http://schemas.openxmlformats.org/officeDocument/2006/customXml" ds:itemID="{2108FF18-8EC8-4170-A536-1AA8E39CC797}">
  <ds:schemaRefs/>
</ds:datastoreItem>
</file>

<file path=customXml/itemProps14.xml><?xml version="1.0" encoding="utf-8"?>
<ds:datastoreItem xmlns:ds="http://schemas.openxmlformats.org/officeDocument/2006/customXml" ds:itemID="{E6D3D55C-3DD8-4C31-8069-E5508DD844FB}">
  <ds:schemaRefs/>
</ds:datastoreItem>
</file>

<file path=customXml/itemProps15.xml><?xml version="1.0" encoding="utf-8"?>
<ds:datastoreItem xmlns:ds="http://schemas.openxmlformats.org/officeDocument/2006/customXml" ds:itemID="{EC45DDBE-A426-47CA-BC62-D025DE29F1BC}">
  <ds:schemaRefs/>
</ds:datastoreItem>
</file>

<file path=customXml/itemProps16.xml><?xml version="1.0" encoding="utf-8"?>
<ds:datastoreItem xmlns:ds="http://schemas.openxmlformats.org/officeDocument/2006/customXml" ds:itemID="{BEEE0313-55EB-45FA-BBBD-C0232D367255}">
  <ds:schemaRefs/>
</ds:datastoreItem>
</file>

<file path=customXml/itemProps17.xml><?xml version="1.0" encoding="utf-8"?>
<ds:datastoreItem xmlns:ds="http://schemas.openxmlformats.org/officeDocument/2006/customXml" ds:itemID="{1A3BDF38-4832-4575-A8AB-7A1679738229}">
  <ds:schemaRefs/>
</ds:datastoreItem>
</file>

<file path=customXml/itemProps18.xml><?xml version="1.0" encoding="utf-8"?>
<ds:datastoreItem xmlns:ds="http://schemas.openxmlformats.org/officeDocument/2006/customXml" ds:itemID="{CF487381-D648-48A1-B1E4-A4540B0D3650}">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AC86F3EB-DB57-4B60-8A7E-BBB67A22EE0B}">
  <ds:schemaRefs/>
</ds:datastoreItem>
</file>

<file path=customXml/itemProps4.xml><?xml version="1.0" encoding="utf-8"?>
<ds:datastoreItem xmlns:ds="http://schemas.openxmlformats.org/officeDocument/2006/customXml" ds:itemID="{D902962D-C8CC-43BF-804A-CD60AE6D7475}">
  <ds:schemaRefs/>
</ds:datastoreItem>
</file>

<file path=customXml/itemProps5.xml><?xml version="1.0" encoding="utf-8"?>
<ds:datastoreItem xmlns:ds="http://schemas.openxmlformats.org/officeDocument/2006/customXml" ds:itemID="{0A7AA9EF-3B8C-4BAA-9155-A6E3E5337D3C}">
  <ds:schemaRefs/>
</ds:datastoreItem>
</file>

<file path=customXml/itemProps6.xml><?xml version="1.0" encoding="utf-8"?>
<ds:datastoreItem xmlns:ds="http://schemas.openxmlformats.org/officeDocument/2006/customXml" ds:itemID="{3A3C3A8D-C5E4-45AF-8B48-C3BF528808AD}">
  <ds:schemaRefs/>
</ds:datastoreItem>
</file>

<file path=customXml/itemProps7.xml><?xml version="1.0" encoding="utf-8"?>
<ds:datastoreItem xmlns:ds="http://schemas.openxmlformats.org/officeDocument/2006/customXml" ds:itemID="{A06CD169-7F5C-4082-81B2-6ECAA9AF6149}">
  <ds:schemaRefs/>
</ds:datastoreItem>
</file>

<file path=customXml/itemProps8.xml><?xml version="1.0" encoding="utf-8"?>
<ds:datastoreItem xmlns:ds="http://schemas.openxmlformats.org/officeDocument/2006/customXml" ds:itemID="{1990A2D8-324F-45D5-B9CD-07245ED2860B}">
  <ds:schemaRefs/>
</ds:datastoreItem>
</file>

<file path=customXml/itemProps9.xml><?xml version="1.0" encoding="utf-8"?>
<ds:datastoreItem xmlns:ds="http://schemas.openxmlformats.org/officeDocument/2006/customXml" ds:itemID="{9114D43D-ED98-4C7B-A3AE-26D78B80CA8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3557</Words>
  <Characters>20276</Characters>
  <Lines>168</Lines>
  <Paragraphs>47</Paragraphs>
  <TotalTime>5</TotalTime>
  <ScaleCrop>false</ScaleCrop>
  <LinksUpToDate>false</LinksUpToDate>
  <CharactersWithSpaces>23786</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2024-03-04T02:34:00Z</dcterms:created>
  <dc:creator>张淼雯</dc:creator>
  <cp:lastModifiedBy>姚霖钰</cp:lastModifiedBy>
  <cp:lastPrinted>2020-09-21T06:35:00Z</cp:lastPrinted>
  <dcterms:modified xsi:type="dcterms:W3CDTF">2025-04-18T08:30:44Z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0EC4E53844084BB8BF9E6D0327B3F36C</vt:lpwstr>
  </property>
</Properties>
</file>