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【稳利恒盈封闭式固收类】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w:t>
      </w:r>
      <w:r>
        <w:rPr>
          <w:rStyle w:val="27"/>
          <w:rFonts w:hint="eastAsia" w:ascii="宋体" w:hAnsi="宋体" w:cs="Times New Roman"/>
          <w:sz w:val="32"/>
          <w:szCs w:val="32"/>
          <w:lang w:val="en-US" w:eastAsia="zh-CN"/>
        </w:rPr>
        <w:t>2025</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05</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permStart w:id="2" w:edGrp="everyone"/>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4" w:edGrp="everyone"/>
      <w:r>
        <w:rPr>
          <w:rFonts w:hint="eastAsia" w:asciiTheme="majorEastAsia" w:hAnsiTheme="majorEastAsia" w:eastAsiaTheme="majorEastAsia"/>
          <w:bCs/>
          <w:sz w:val="18"/>
          <w:szCs w:val="18"/>
        </w:rPr>
        <w:t>【稳利恒盈封闭式固收类】</w:t>
      </w:r>
      <w:permEnd w:id="4"/>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5" w:edGrp="everyone"/>
      <w:r>
        <w:rPr>
          <w:rFonts w:hint="eastAsia" w:asciiTheme="majorEastAsia" w:hAnsiTheme="majorEastAsia" w:eastAsiaTheme="majorEastAsia"/>
          <w:bCs/>
          <w:sz w:val="18"/>
          <w:szCs w:val="18"/>
        </w:rPr>
        <w:t>【稳利恒盈封闭式固收类】</w:t>
      </w:r>
      <w:permEnd w:id="5"/>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6" w:edGrp="everyone"/>
      <w:r>
        <w:rPr>
          <w:rFonts w:hint="eastAsia" w:asciiTheme="majorEastAsia" w:hAnsiTheme="majorEastAsia" w:eastAsiaTheme="majorEastAsia"/>
          <w:bCs/>
          <w:sz w:val="18"/>
          <w:szCs w:val="18"/>
        </w:rPr>
        <w:t>【稳利恒盈封闭式固收类】</w:t>
      </w:r>
      <w:permEnd w:id="6"/>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7" w:edGrp="everyone"/>
      <w:r>
        <w:rPr>
          <w:rFonts w:hint="eastAsia" w:asciiTheme="majorEastAsia" w:hAnsiTheme="majorEastAsia" w:eastAsiaTheme="majorEastAsia"/>
          <w:bCs/>
          <w:sz w:val="18"/>
          <w:szCs w:val="18"/>
        </w:rPr>
        <w:t>【稳利恒盈封闭式固收类】</w:t>
      </w:r>
      <w:permEnd w:id="7"/>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8" w:edGrp="everyone"/>
      <w:r>
        <w:rPr>
          <w:rFonts w:hint="eastAsia" w:asciiTheme="majorEastAsia" w:hAnsiTheme="majorEastAsia" w:eastAsiaTheme="majorEastAsia"/>
          <w:bCs/>
          <w:sz w:val="18"/>
          <w:szCs w:val="18"/>
        </w:rPr>
        <w:t>【稳利恒盈封闭式固收类】</w:t>
      </w:r>
      <w:permEnd w:id="8"/>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9" w:edGrp="everyone"/>
      <w:r>
        <w:rPr>
          <w:rFonts w:hint="eastAsia" w:asciiTheme="majorEastAsia" w:hAnsiTheme="majorEastAsia" w:eastAsiaTheme="majorEastAsia"/>
          <w:bCs/>
          <w:sz w:val="18"/>
          <w:szCs w:val="18"/>
        </w:rPr>
        <w:t>【稳利恒盈封闭式固收类】</w:t>
      </w:r>
      <w:permEnd w:id="9"/>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10" w:edGrp="everyone"/>
      <w:r>
        <w:rPr>
          <w:rFonts w:hint="eastAsia" w:asciiTheme="majorEastAsia" w:hAnsiTheme="majorEastAsia" w:eastAsiaTheme="majorEastAsia"/>
          <w:bCs/>
          <w:sz w:val="18"/>
          <w:szCs w:val="18"/>
        </w:rPr>
        <w:t>【稳利恒盈封闭式固收类】</w:t>
      </w:r>
      <w:permEnd w:id="10"/>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1" w:edGrp="everyone"/>
      <w:r>
        <w:rPr>
          <w:rFonts w:hint="eastAsia" w:asciiTheme="majorEastAsia" w:hAnsiTheme="majorEastAsia" w:eastAsiaTheme="majorEastAsia"/>
          <w:bCs/>
          <w:sz w:val="18"/>
          <w:szCs w:val="18"/>
        </w:rPr>
        <w:t>【稳利恒盈封闭式固收类】</w:t>
      </w:r>
      <w:permEnd w:id="11"/>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2" w:edGrp="everyone"/>
      <w:r>
        <w:rPr>
          <w:rFonts w:hint="eastAsia" w:asciiTheme="majorEastAsia" w:hAnsiTheme="majorEastAsia" w:eastAsiaTheme="majorEastAsia"/>
          <w:bCs/>
          <w:sz w:val="18"/>
          <w:szCs w:val="18"/>
        </w:rPr>
        <w:t>【稳利恒盈封闭式固收类】</w:t>
      </w:r>
      <w:permEnd w:id="12"/>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176189754"/>
      <w:bookmarkStart w:id="3" w:name="_Toc79154665"/>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vAlign w:val="top"/>
          </w:tcPr>
          <w:p>
            <w:pPr>
              <w:spacing w:line="360" w:lineRule="auto"/>
              <w:jc w:val="left"/>
              <w:rPr>
                <w:rFonts w:ascii="宋体" w:hAnsi="宋体" w:eastAsia="宋体" w:cs="宋体"/>
                <w:bCs/>
                <w:color w:val="auto"/>
                <w:kern w:val="2"/>
                <w:sz w:val="18"/>
                <w:szCs w:val="18"/>
                <w:lang w:val="en-US" w:eastAsia="zh-CN" w:bidi="ar-SA"/>
              </w:rPr>
            </w:pPr>
            <w:r>
              <w:rPr>
                <w:rFonts w:hint="eastAsia" w:asciiTheme="majorEastAsia" w:hAnsiTheme="majorEastAsia" w:eastAsiaTheme="majorEastAsia"/>
                <w:bCs/>
                <w:color w:val="auto"/>
                <w:kern w:val="0"/>
                <w:sz w:val="18"/>
                <w:szCs w:val="18"/>
              </w:rPr>
              <w:t>【兴银理财稳利恒盈封闭式2025年</w:t>
            </w:r>
            <w:r>
              <w:rPr>
                <w:rFonts w:hint="eastAsia" w:asciiTheme="majorEastAsia" w:hAnsiTheme="majorEastAsia" w:eastAsiaTheme="majorEastAsia"/>
                <w:bCs/>
                <w:color w:val="auto"/>
                <w:kern w:val="0"/>
                <w:sz w:val="18"/>
                <w:szCs w:val="18"/>
                <w:lang w:eastAsia="zh-CN"/>
              </w:rPr>
              <w:t>430期</w:t>
            </w:r>
            <w:r>
              <w:rPr>
                <w:rFonts w:hint="eastAsia" w:asciiTheme="majorEastAsia" w:hAnsiTheme="majorEastAsia" w:eastAsiaTheme="majorEastAsia"/>
                <w:bCs/>
                <w:color w:val="auto"/>
                <w:kern w:val="0"/>
                <w:sz w:val="18"/>
                <w:szCs w:val="18"/>
              </w:rPr>
              <w:t>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widowControl/>
              <w:spacing w:line="360" w:lineRule="auto"/>
              <w:jc w:val="left"/>
              <w:rPr>
                <w:rFonts w:hint="eastAsia" w:hAnsi="宋体"/>
                <w:color w:val="auto"/>
                <w:sz w:val="18"/>
                <w:szCs w:val="18"/>
              </w:rPr>
            </w:pPr>
            <w:r>
              <w:rPr>
                <w:rFonts w:hint="eastAsia" w:asciiTheme="majorEastAsia" w:hAnsiTheme="majorEastAsia" w:eastAsiaTheme="majorEastAsia"/>
                <w:bCs/>
                <w:color w:val="auto"/>
                <w:kern w:val="0"/>
                <w:sz w:val="18"/>
                <w:szCs w:val="18"/>
              </w:rPr>
              <w:t>【稳利恒盈2025年</w:t>
            </w:r>
            <w:r>
              <w:rPr>
                <w:rFonts w:hint="eastAsia" w:asciiTheme="majorEastAsia" w:hAnsiTheme="majorEastAsia" w:eastAsiaTheme="majorEastAsia"/>
                <w:bCs/>
                <w:color w:val="auto"/>
                <w:kern w:val="0"/>
                <w:sz w:val="18"/>
                <w:szCs w:val="18"/>
                <w:lang w:eastAsia="zh-CN"/>
              </w:rPr>
              <w:t>430期</w:t>
            </w:r>
            <w:r>
              <w:rPr>
                <w:rFonts w:hint="eastAsia" w:asciiTheme="majorEastAsia" w:hAnsiTheme="majorEastAsia" w:eastAsiaTheme="majorEastAsia"/>
                <w:bCs/>
                <w:color w:val="auto"/>
                <w:kern w:val="0"/>
                <w:sz w:val="18"/>
                <w:szCs w:val="18"/>
              </w:rPr>
              <w:t>(纯盈颐养款)A】</w:t>
            </w:r>
            <w:r>
              <w:rPr>
                <w:rFonts w:hint="eastAsia" w:hAnsi="宋体"/>
                <w:color w:val="auto"/>
                <w:sz w:val="18"/>
                <w:szCs w:val="18"/>
              </w:rPr>
              <w:t>（适用【A】类份额）</w:t>
            </w:r>
          </w:p>
          <w:p>
            <w:pPr>
              <w:widowControl/>
              <w:spacing w:line="360" w:lineRule="auto"/>
              <w:jc w:val="left"/>
              <w:rPr>
                <w:rFonts w:hint="eastAsia" w:hAnsi="宋体"/>
                <w:color w:val="auto"/>
                <w:sz w:val="18"/>
                <w:szCs w:val="18"/>
              </w:rPr>
            </w:pPr>
            <w:r>
              <w:rPr>
                <w:rFonts w:hint="eastAsia" w:asciiTheme="majorEastAsia" w:hAnsiTheme="majorEastAsia" w:eastAsiaTheme="majorEastAsia"/>
                <w:bCs/>
                <w:color w:val="auto"/>
                <w:kern w:val="0"/>
                <w:sz w:val="18"/>
                <w:szCs w:val="18"/>
              </w:rPr>
              <w:t>【稳利恒盈2025年</w:t>
            </w:r>
            <w:r>
              <w:rPr>
                <w:rFonts w:hint="eastAsia" w:asciiTheme="majorEastAsia" w:hAnsiTheme="majorEastAsia" w:eastAsiaTheme="majorEastAsia"/>
                <w:bCs/>
                <w:color w:val="auto"/>
                <w:kern w:val="0"/>
                <w:sz w:val="18"/>
                <w:szCs w:val="18"/>
                <w:lang w:eastAsia="zh-CN"/>
              </w:rPr>
              <w:t>430期</w:t>
            </w:r>
            <w:r>
              <w:rPr>
                <w:rFonts w:hint="eastAsia" w:asciiTheme="majorEastAsia" w:hAnsiTheme="majorEastAsia" w:eastAsiaTheme="majorEastAsia"/>
                <w:bCs/>
                <w:color w:val="auto"/>
                <w:kern w:val="0"/>
                <w:sz w:val="18"/>
                <w:szCs w:val="18"/>
              </w:rPr>
              <w:t>(纯盈颐养款)B】</w:t>
            </w:r>
            <w:r>
              <w:rPr>
                <w:rFonts w:hint="eastAsia" w:hAnsi="宋体"/>
                <w:color w:val="auto"/>
                <w:sz w:val="18"/>
                <w:szCs w:val="18"/>
              </w:rPr>
              <w:t>（适用【</w:t>
            </w:r>
            <w:r>
              <w:rPr>
                <w:rFonts w:hint="eastAsia" w:hAnsi="宋体"/>
                <w:color w:val="auto"/>
                <w:sz w:val="18"/>
                <w:szCs w:val="18"/>
                <w:lang w:val="en-US" w:eastAsia="zh-CN"/>
              </w:rPr>
              <w:t>B</w:t>
            </w:r>
            <w:r>
              <w:rPr>
                <w:rFonts w:hint="eastAsia" w:hAnsi="宋体"/>
                <w:color w:val="auto"/>
                <w:sz w:val="18"/>
                <w:szCs w:val="18"/>
              </w:rPr>
              <w:t>】类份额）</w:t>
            </w:r>
          </w:p>
          <w:p>
            <w:pPr>
              <w:widowControl/>
              <w:spacing w:line="360" w:lineRule="auto"/>
              <w:jc w:val="left"/>
              <w:rPr>
                <w:rFonts w:hint="eastAsia" w:hAnsi="宋体"/>
                <w:color w:val="auto"/>
                <w:sz w:val="18"/>
                <w:szCs w:val="18"/>
              </w:rPr>
            </w:pPr>
            <w:r>
              <w:rPr>
                <w:rFonts w:hint="eastAsia" w:asciiTheme="majorEastAsia" w:hAnsiTheme="majorEastAsia" w:eastAsiaTheme="majorEastAsia"/>
                <w:bCs/>
                <w:color w:val="auto"/>
                <w:kern w:val="0"/>
                <w:sz w:val="18"/>
                <w:szCs w:val="18"/>
              </w:rPr>
              <w:t>【稳利恒盈2025年</w:t>
            </w:r>
            <w:r>
              <w:rPr>
                <w:rFonts w:hint="eastAsia" w:asciiTheme="majorEastAsia" w:hAnsiTheme="majorEastAsia" w:eastAsiaTheme="majorEastAsia"/>
                <w:bCs/>
                <w:color w:val="auto"/>
                <w:kern w:val="0"/>
                <w:sz w:val="18"/>
                <w:szCs w:val="18"/>
                <w:lang w:eastAsia="zh-CN"/>
              </w:rPr>
              <w:t>430期</w:t>
            </w:r>
            <w:r>
              <w:rPr>
                <w:rFonts w:hint="eastAsia" w:asciiTheme="majorEastAsia" w:hAnsiTheme="majorEastAsia" w:eastAsiaTheme="majorEastAsia"/>
                <w:bCs/>
                <w:color w:val="auto"/>
                <w:kern w:val="0"/>
                <w:sz w:val="18"/>
                <w:szCs w:val="18"/>
              </w:rPr>
              <w:t>(纯盈颐养款)C】</w:t>
            </w:r>
            <w:r>
              <w:rPr>
                <w:rFonts w:hint="eastAsia" w:hAnsi="宋体"/>
                <w:color w:val="auto"/>
                <w:sz w:val="18"/>
                <w:szCs w:val="18"/>
              </w:rPr>
              <w:t>（适用【</w:t>
            </w:r>
            <w:r>
              <w:rPr>
                <w:rFonts w:hint="eastAsia" w:hAnsi="宋体"/>
                <w:color w:val="auto"/>
                <w:sz w:val="18"/>
                <w:szCs w:val="18"/>
                <w:lang w:val="en-US" w:eastAsia="zh-CN"/>
              </w:rPr>
              <w:t>C</w:t>
            </w:r>
            <w:r>
              <w:rPr>
                <w:rFonts w:hint="eastAsia" w:hAnsi="宋体"/>
                <w:color w:val="auto"/>
                <w:sz w:val="18"/>
                <w:szCs w:val="18"/>
              </w:rPr>
              <w:t>】类份额）</w:t>
            </w:r>
          </w:p>
          <w:p>
            <w:pPr>
              <w:widowControl/>
              <w:spacing w:line="360" w:lineRule="auto"/>
              <w:jc w:val="left"/>
              <w:rPr>
                <w:rFonts w:ascii="宋体" w:hAnsi="宋体"/>
                <w:kern w:val="0"/>
                <w:sz w:val="22"/>
              </w:rPr>
            </w:pPr>
            <w:r>
              <w:rPr>
                <w:rFonts w:hint="eastAsia" w:asciiTheme="majorEastAsia" w:hAnsiTheme="majorEastAsia" w:eastAsiaTheme="majorEastAsia"/>
                <w:bCs/>
                <w:color w:val="auto"/>
                <w:kern w:val="0"/>
                <w:sz w:val="18"/>
                <w:szCs w:val="18"/>
              </w:rPr>
              <w:t>【稳利恒盈2025年</w:t>
            </w:r>
            <w:r>
              <w:rPr>
                <w:rFonts w:hint="eastAsia" w:asciiTheme="majorEastAsia" w:hAnsiTheme="majorEastAsia" w:eastAsiaTheme="majorEastAsia"/>
                <w:bCs/>
                <w:color w:val="auto"/>
                <w:kern w:val="0"/>
                <w:sz w:val="18"/>
                <w:szCs w:val="18"/>
                <w:lang w:eastAsia="zh-CN"/>
              </w:rPr>
              <w:t>430期</w:t>
            </w:r>
            <w:r>
              <w:rPr>
                <w:rFonts w:hint="eastAsia" w:asciiTheme="majorEastAsia" w:hAnsiTheme="majorEastAsia" w:eastAsiaTheme="majorEastAsia"/>
                <w:bCs/>
                <w:color w:val="auto"/>
                <w:kern w:val="0"/>
                <w:sz w:val="18"/>
                <w:szCs w:val="18"/>
              </w:rPr>
              <w:t>(纯盈颐养款)D】</w:t>
            </w:r>
            <w:r>
              <w:rPr>
                <w:rFonts w:hint="eastAsia" w:hAnsi="宋体"/>
                <w:color w:val="auto"/>
                <w:sz w:val="18"/>
                <w:szCs w:val="18"/>
              </w:rPr>
              <w:t>（适用【</w:t>
            </w:r>
            <w:r>
              <w:rPr>
                <w:rFonts w:hint="eastAsia" w:hAnsi="宋体"/>
                <w:color w:val="auto"/>
                <w:sz w:val="18"/>
                <w:szCs w:val="18"/>
                <w:lang w:val="en-US" w:eastAsia="zh-CN"/>
              </w:rPr>
              <w:t>D</w:t>
            </w:r>
            <w:r>
              <w:rPr>
                <w:rFonts w:hint="eastAsia" w:hAnsi="宋体"/>
                <w:color w:val="auto"/>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w:t>
            </w:r>
            <w:r>
              <w:rPr>
                <w:rFonts w:hint="eastAsia" w:ascii="宋体" w:hAnsi="宋体"/>
                <w:bCs/>
                <w:color w:val="auto"/>
                <w:sz w:val="18"/>
                <w:szCs w:val="18"/>
                <w:lang w:val="en-US" w:eastAsia="zh-CN"/>
              </w:rPr>
              <w:t>Z7002025000814</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color w:val="auto"/>
                <w:sz w:val="18"/>
                <w:szCs w:val="18"/>
                <w:lang w:eastAsia="zh-CN"/>
              </w:rPr>
              <w:t>9N254300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jc w:val="left"/>
              <w:rPr>
                <w:rFonts w:hint="eastAsia" w:hAnsi="宋体"/>
                <w:color w:val="auto"/>
                <w:sz w:val="18"/>
                <w:szCs w:val="18"/>
              </w:rPr>
            </w:pPr>
            <w:r>
              <w:rPr>
                <w:rFonts w:hint="eastAsia" w:hAnsi="宋体"/>
                <w:color w:val="auto"/>
                <w:sz w:val="18"/>
                <w:szCs w:val="18"/>
              </w:rPr>
              <w:t>【</w:t>
            </w:r>
            <w:r>
              <w:rPr>
                <w:rFonts w:hint="eastAsia" w:hAnsi="宋体"/>
                <w:color w:val="auto"/>
                <w:sz w:val="18"/>
                <w:szCs w:val="18"/>
                <w:lang w:eastAsia="zh-CN"/>
              </w:rPr>
              <w:t>9N25430</w:t>
            </w:r>
            <w:r>
              <w:rPr>
                <w:rFonts w:hint="eastAsia" w:hAnsi="宋体"/>
                <w:color w:val="auto"/>
                <w:sz w:val="18"/>
                <w:szCs w:val="18"/>
              </w:rPr>
              <w:t>A】（适用【A】类份额）</w:t>
            </w:r>
          </w:p>
          <w:p>
            <w:pPr>
              <w:spacing w:line="360" w:lineRule="auto"/>
              <w:jc w:val="left"/>
              <w:rPr>
                <w:rFonts w:hint="eastAsia" w:hAnsi="宋体"/>
                <w:color w:val="auto"/>
                <w:sz w:val="18"/>
                <w:szCs w:val="18"/>
              </w:rPr>
            </w:pPr>
            <w:r>
              <w:rPr>
                <w:rFonts w:hint="eastAsia" w:hAnsi="宋体"/>
                <w:color w:val="auto"/>
                <w:sz w:val="18"/>
                <w:szCs w:val="18"/>
              </w:rPr>
              <w:t>【</w:t>
            </w:r>
            <w:r>
              <w:rPr>
                <w:rFonts w:hint="eastAsia" w:hAnsi="宋体"/>
                <w:color w:val="auto"/>
                <w:sz w:val="18"/>
                <w:szCs w:val="18"/>
                <w:lang w:eastAsia="zh-CN"/>
              </w:rPr>
              <w:t>9N25430</w:t>
            </w:r>
            <w:r>
              <w:rPr>
                <w:rFonts w:hint="eastAsia" w:hAnsi="宋体"/>
                <w:color w:val="auto"/>
                <w:sz w:val="18"/>
                <w:szCs w:val="18"/>
              </w:rPr>
              <w:t>B】（适用【</w:t>
            </w:r>
            <w:r>
              <w:rPr>
                <w:rFonts w:hint="eastAsia" w:hAnsi="宋体"/>
                <w:color w:val="auto"/>
                <w:sz w:val="18"/>
                <w:szCs w:val="18"/>
                <w:lang w:val="en-US" w:eastAsia="zh-CN"/>
              </w:rPr>
              <w:t>B</w:t>
            </w:r>
            <w:r>
              <w:rPr>
                <w:rFonts w:hint="eastAsia" w:hAnsi="宋体"/>
                <w:color w:val="auto"/>
                <w:sz w:val="18"/>
                <w:szCs w:val="18"/>
              </w:rPr>
              <w:t>】类份额）</w:t>
            </w:r>
          </w:p>
          <w:p>
            <w:pPr>
              <w:spacing w:line="360" w:lineRule="auto"/>
              <w:jc w:val="left"/>
              <w:rPr>
                <w:rFonts w:hint="eastAsia" w:hAnsi="宋体"/>
                <w:color w:val="auto"/>
                <w:sz w:val="18"/>
                <w:szCs w:val="18"/>
              </w:rPr>
            </w:pPr>
            <w:r>
              <w:rPr>
                <w:rFonts w:hint="eastAsia" w:hAnsi="宋体"/>
                <w:color w:val="auto"/>
                <w:sz w:val="18"/>
                <w:szCs w:val="18"/>
              </w:rPr>
              <w:t>【</w:t>
            </w:r>
            <w:r>
              <w:rPr>
                <w:rFonts w:hint="eastAsia" w:hAnsi="宋体"/>
                <w:color w:val="auto"/>
                <w:sz w:val="18"/>
                <w:szCs w:val="18"/>
                <w:lang w:eastAsia="zh-CN"/>
              </w:rPr>
              <w:t>9N25430</w:t>
            </w:r>
            <w:r>
              <w:rPr>
                <w:rFonts w:hint="eastAsia" w:hAnsi="宋体"/>
                <w:color w:val="auto"/>
                <w:sz w:val="18"/>
                <w:szCs w:val="18"/>
              </w:rPr>
              <w:t>C】（适用【</w:t>
            </w:r>
            <w:r>
              <w:rPr>
                <w:rFonts w:hint="eastAsia" w:hAnsi="宋体"/>
                <w:color w:val="auto"/>
                <w:sz w:val="18"/>
                <w:szCs w:val="18"/>
                <w:lang w:val="en-US" w:eastAsia="zh-CN"/>
              </w:rPr>
              <w:t>C</w:t>
            </w:r>
            <w:r>
              <w:rPr>
                <w:rFonts w:hint="eastAsia" w:hAnsi="宋体"/>
                <w:color w:val="auto"/>
                <w:sz w:val="18"/>
                <w:szCs w:val="18"/>
              </w:rPr>
              <w:t>】类份额）</w:t>
            </w:r>
          </w:p>
          <w:p>
            <w:pPr>
              <w:spacing w:line="360" w:lineRule="auto"/>
              <w:jc w:val="left"/>
              <w:rPr>
                <w:rFonts w:hAnsi="宋体"/>
                <w:sz w:val="18"/>
                <w:szCs w:val="18"/>
              </w:rPr>
            </w:pPr>
            <w:r>
              <w:rPr>
                <w:rFonts w:hint="eastAsia" w:hAnsi="宋体"/>
                <w:color w:val="auto"/>
                <w:sz w:val="18"/>
                <w:szCs w:val="18"/>
              </w:rPr>
              <w:t>【</w:t>
            </w:r>
            <w:r>
              <w:rPr>
                <w:rFonts w:hint="eastAsia" w:hAnsi="宋体"/>
                <w:color w:val="auto"/>
                <w:sz w:val="18"/>
                <w:szCs w:val="18"/>
                <w:lang w:eastAsia="zh-CN"/>
              </w:rPr>
              <w:t>9N25430</w:t>
            </w:r>
            <w:r>
              <w:rPr>
                <w:rFonts w:hint="eastAsia" w:hAnsi="宋体"/>
                <w:color w:val="auto"/>
                <w:sz w:val="18"/>
                <w:szCs w:val="18"/>
              </w:rPr>
              <w:t>D】（适用【</w:t>
            </w:r>
            <w:r>
              <w:rPr>
                <w:rFonts w:hint="eastAsia" w:hAnsi="宋体"/>
                <w:color w:val="auto"/>
                <w:sz w:val="18"/>
                <w:szCs w:val="18"/>
                <w:lang w:val="en-US" w:eastAsia="zh-CN"/>
              </w:rPr>
              <w:t>D</w:t>
            </w:r>
            <w:r>
              <w:rPr>
                <w:rFonts w:hint="eastAsia" w:hAnsi="宋体"/>
                <w:color w:val="auto"/>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val="en-US" w:eastAsia="zh-CN"/>
              </w:rPr>
              <w:t xml:space="preserve"> </w:t>
            </w:r>
            <w:r>
              <w:rPr>
                <w:rFonts w:hint="eastAsia" w:ascii="宋体" w:hAnsi="宋体"/>
                <w:sz w:val="18"/>
                <w:szCs w:val="18"/>
              </w:rPr>
              <w:t>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10</w:t>
            </w:r>
            <w:r>
              <w:rPr>
                <w:rFonts w:hint="eastAsia" w:asciiTheme="majorEastAsia" w:hAnsiTheme="majorEastAsia" w:eastAsiaTheme="majorEastAsia"/>
                <w:bCs/>
                <w:sz w:val="18"/>
                <w:szCs w:val="18"/>
              </w:rPr>
              <w:t>】亿元，最小成立规模为【</w:t>
            </w:r>
            <w:r>
              <w:rPr>
                <w:rFonts w:hint="eastAsia" w:asciiTheme="majorEastAsia" w:hAnsiTheme="majorEastAsia" w:eastAsiaTheme="majorEastAsia"/>
                <w:bCs/>
                <w:sz w:val="18"/>
                <w:szCs w:val="18"/>
                <w:lang w:val="en-US" w:eastAsia="zh-CN"/>
              </w:rPr>
              <w:t>/</w:t>
            </w:r>
            <w:r>
              <w:rPr>
                <w:rFonts w:hint="eastAsia" w:asciiTheme="majorEastAsia" w:hAnsiTheme="majorEastAsia" w:eastAsiaTheme="majorEastAsia"/>
                <w:bCs/>
                <w:sz w:val="18"/>
                <w:szCs w:val="18"/>
              </w:rPr>
              <w:t>】亿元。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hint="eastAsia" w:asciiTheme="majorEastAsia" w:hAnsiTheme="majorEastAsia" w:eastAsiaTheme="majorEastAsia"/>
                <w:bCs/>
                <w:sz w:val="18"/>
                <w:szCs w:val="18"/>
                <w:lang w:val="en-US" w:eastAsia="zh-CN"/>
              </w:rPr>
            </w:pPr>
            <w:r>
              <w:rPr>
                <w:rFonts w:hint="eastAsia" w:asciiTheme="majorEastAsia" w:hAnsiTheme="majorEastAsia" w:eastAsiaTheme="majorEastAsia"/>
                <w:bCs/>
                <w:sz w:val="18"/>
                <w:szCs w:val="18"/>
              </w:rPr>
              <w:t>■有固定期限：【</w:t>
            </w:r>
            <w:r>
              <w:rPr>
                <w:rFonts w:hint="eastAsia" w:cs="Times New Roman" w:asciiTheme="minorEastAsia" w:hAnsiTheme="minorEastAsia"/>
                <w:color w:val="auto"/>
                <w:sz w:val="18"/>
                <w:szCs w:val="18"/>
              </w:rPr>
              <w:t>132</w:t>
            </w:r>
            <w:r>
              <w:rPr>
                <w:rFonts w:hint="eastAsia" w:cs="Times New Roman" w:asciiTheme="minorEastAsia" w:hAnsiTheme="minorEastAsia"/>
                <w:color w:val="auto"/>
                <w:sz w:val="18"/>
                <w:szCs w:val="18"/>
                <w:lang w:val="en-US" w:eastAsia="zh-CN"/>
              </w:rPr>
              <w:t>天</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337"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hint="eastAsia" w:cs="Times New Roman" w:asciiTheme="minorEastAsia" w:hAnsiTheme="minorEastAsia"/>
                <w:color w:val="auto"/>
                <w:sz w:val="18"/>
                <w:szCs w:val="18"/>
                <w:lang w:val="en-US" w:eastAsia="zh-CN"/>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color w:val="auto"/>
                <w:sz w:val="18"/>
                <w:szCs w:val="18"/>
              </w:rPr>
              <w:t>【202</w:t>
            </w:r>
            <w:r>
              <w:rPr>
                <w:rFonts w:hint="eastAsia" w:cs="Times New Roman" w:asciiTheme="minorEastAsia" w:hAnsiTheme="minorEastAsia"/>
                <w:color w:val="auto"/>
                <w:sz w:val="18"/>
                <w:szCs w:val="18"/>
                <w:lang w:val="en-US" w:eastAsia="zh-CN"/>
              </w:rPr>
              <w:t>5</w:t>
            </w:r>
            <w:r>
              <w:rPr>
                <w:rFonts w:cs="Times New Roman" w:asciiTheme="minorEastAsia" w:hAnsiTheme="minorEastAsia"/>
                <w:color w:val="auto"/>
                <w:sz w:val="18"/>
                <w:szCs w:val="18"/>
              </w:rPr>
              <w:t>】</w:t>
            </w:r>
            <w:r>
              <w:rPr>
                <w:rFonts w:hint="eastAsia" w:cs="Times New Roman" w:asciiTheme="minorEastAsia" w:hAnsiTheme="minorEastAsia"/>
                <w:color w:val="auto"/>
                <w:sz w:val="18"/>
                <w:szCs w:val="18"/>
              </w:rPr>
              <w:t>年【05</w:t>
            </w:r>
            <w:r>
              <w:rPr>
                <w:rFonts w:hint="eastAsia" w:cs="Times New Roman" w:asciiTheme="minorEastAsia" w:hAnsiTheme="minorEastAsia"/>
                <w:color w:val="auto"/>
                <w:sz w:val="18"/>
                <w:szCs w:val="18"/>
              </w:rPr>
              <w:t>】</w:t>
            </w:r>
            <w:r>
              <w:rPr>
                <w:rFonts w:hint="eastAsia" w:cs="Times New Roman" w:asciiTheme="minorEastAsia" w:hAnsiTheme="minorEastAsia"/>
                <w:color w:val="auto"/>
                <w:sz w:val="18"/>
                <w:szCs w:val="18"/>
                <w:lang w:val="en-US" w:eastAsia="zh-CN"/>
              </w:rPr>
              <w:t>月【</w:t>
            </w:r>
            <w:r>
              <w:rPr>
                <w:rFonts w:hint="eastAsia" w:cs="Times New Roman" w:asciiTheme="minorEastAsia" w:hAnsiTheme="minorEastAsia"/>
                <w:color w:val="auto"/>
                <w:sz w:val="18"/>
                <w:szCs w:val="18"/>
              </w:rPr>
              <w:t>28</w:t>
            </w:r>
            <w:r>
              <w:rPr>
                <w:rFonts w:hint="eastAsia" w:cs="Times New Roman" w:asciiTheme="minorEastAsia" w:hAnsiTheme="minorEastAsia"/>
                <w:color w:val="auto"/>
                <w:sz w:val="18"/>
                <w:szCs w:val="18"/>
                <w:lang w:val="en-US" w:eastAsia="zh-CN"/>
              </w:rPr>
              <w:t>】日【9:00】至【2025】年【</w:t>
            </w:r>
            <w:r>
              <w:rPr>
                <w:rFonts w:hint="eastAsia" w:cs="Times New Roman" w:asciiTheme="minorEastAsia" w:hAnsiTheme="minorEastAsia"/>
                <w:color w:val="auto"/>
                <w:sz w:val="18"/>
                <w:szCs w:val="18"/>
              </w:rPr>
              <w:t>06</w:t>
            </w:r>
            <w:r>
              <w:rPr>
                <w:rFonts w:hint="eastAsia" w:cs="Times New Roman" w:asciiTheme="minorEastAsia" w:hAnsiTheme="minorEastAsia"/>
                <w:color w:val="auto"/>
                <w:sz w:val="18"/>
                <w:szCs w:val="18"/>
                <w:lang w:val="en-US" w:eastAsia="zh-CN"/>
              </w:rPr>
              <w:t>】月【</w:t>
            </w:r>
            <w:r>
              <w:rPr>
                <w:rFonts w:hint="eastAsia" w:cs="Times New Roman" w:asciiTheme="minorEastAsia" w:hAnsiTheme="minorEastAsia"/>
                <w:color w:val="auto"/>
                <w:sz w:val="18"/>
                <w:szCs w:val="18"/>
              </w:rPr>
              <w:t>04</w:t>
            </w:r>
            <w:r>
              <w:rPr>
                <w:rFonts w:hint="eastAsia" w:cs="Times New Roman" w:asciiTheme="minorEastAsia" w:hAnsiTheme="minorEastAsia"/>
                <w:color w:val="auto"/>
                <w:sz w:val="18"/>
                <w:szCs w:val="18"/>
                <w:lang w:val="en-US" w:eastAsia="zh-CN"/>
              </w:rPr>
              <w:t>】日【17:00】。</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color w:val="auto"/>
                <w:sz w:val="18"/>
                <w:szCs w:val="18"/>
                <w:lang w:val="en-US" w:eastAsia="zh-CN"/>
              </w:rPr>
              <w:t>【2025】年【</w:t>
            </w:r>
            <w:r>
              <w:rPr>
                <w:rFonts w:hint="eastAsia" w:cs="Times New Roman" w:asciiTheme="minorEastAsia" w:hAnsiTheme="minorEastAsia"/>
                <w:color w:val="auto"/>
                <w:sz w:val="18"/>
                <w:szCs w:val="18"/>
              </w:rPr>
              <w:t>06</w:t>
            </w:r>
            <w:r>
              <w:rPr>
                <w:rFonts w:hint="eastAsia" w:cs="Times New Roman" w:asciiTheme="minorEastAsia" w:hAnsiTheme="minorEastAsia"/>
                <w:color w:val="auto"/>
                <w:sz w:val="18"/>
                <w:szCs w:val="18"/>
                <w:lang w:val="en-US" w:eastAsia="zh-CN"/>
              </w:rPr>
              <w:t>】月【</w:t>
            </w:r>
            <w:r>
              <w:rPr>
                <w:rFonts w:hint="eastAsia" w:cs="Times New Roman" w:asciiTheme="minorEastAsia" w:hAnsiTheme="minorEastAsia"/>
                <w:color w:val="auto"/>
                <w:sz w:val="18"/>
                <w:szCs w:val="18"/>
              </w:rPr>
              <w:t>0</w:t>
            </w:r>
            <w:r>
              <w:rPr>
                <w:rFonts w:hint="eastAsia" w:cs="Times New Roman" w:asciiTheme="minorEastAsia" w:hAnsiTheme="minorEastAsia"/>
                <w:color w:val="auto"/>
                <w:sz w:val="18"/>
                <w:szCs w:val="18"/>
                <w:lang w:val="en-US" w:eastAsia="zh-CN"/>
              </w:rPr>
              <w:t>5】</w:t>
            </w:r>
            <w:r>
              <w:rPr>
                <w:rFonts w:hint="eastAsia" w:cs="Times New Roman" w:asciiTheme="minorEastAsia" w:hAnsiTheme="minorEastAsia"/>
                <w:color w:val="auto"/>
                <w:sz w:val="18"/>
                <w:szCs w:val="18"/>
              </w:rPr>
              <w:t>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color w:val="auto"/>
                <w:sz w:val="18"/>
                <w:szCs w:val="18"/>
              </w:rPr>
              <w:t>【2025】年【10</w:t>
            </w:r>
            <w:r>
              <w:rPr>
                <w:rFonts w:hint="eastAsia" w:cs="Times New Roman" w:asciiTheme="minorEastAsia" w:hAnsiTheme="minorEastAsia"/>
                <w:color w:val="auto"/>
                <w:sz w:val="18"/>
                <w:szCs w:val="18"/>
              </w:rPr>
              <w:t>】月【15】日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购买起点金额为【1.00】元；超出起点金额的部分以【0.01】元的整数倍递增。</w:t>
            </w:r>
            <w:r>
              <w:rPr>
                <w:rFonts w:hint="eastAsia" w:asciiTheme="majorEastAsia" w:hAnsiTheme="majorEastAsia" w:eastAsiaTheme="majorEastAsia"/>
                <w:bCs/>
                <w:color w:val="000000" w:themeColor="text1"/>
                <w:sz w:val="18"/>
                <w:szCs w:val="18"/>
                <w14:textFill>
                  <w14:solidFill>
                    <w14:schemeClr w14:val="tx1"/>
                  </w14:solidFill>
                </w14:textFill>
              </w:rPr>
              <w:t>（适用【A</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/B/C/D</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w:t>
            </w:r>
            <w:r>
              <w:rPr>
                <w:rFonts w:hint="eastAsia" w:hAnsi="宋体"/>
                <w:bCs/>
                <w:sz w:val="18"/>
                <w:szCs w:val="18"/>
                <w:lang w:val="en-US" w:eastAsia="zh-CN"/>
              </w:rPr>
              <w:t>/</w:t>
            </w:r>
            <w:r>
              <w:rPr>
                <w:rFonts w:hint="eastAsia" w:hAnsi="宋体"/>
                <w:bCs/>
                <w:sz w:val="18"/>
                <w:szCs w:val="18"/>
              </w:rPr>
              <w:t>】类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inorEastAsia" w:hAnsiTheme="minorEastAsia" w:eastAsiaTheme="min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sz w:val="18"/>
                <w:szCs w:val="18"/>
              </w:rPr>
            </w:pPr>
            <w:r>
              <w:rPr>
                <w:rFonts w:hint="eastAsia" w:hAnsi="宋体"/>
                <w:sz w:val="18"/>
                <w:szCs w:val="18"/>
              </w:rPr>
              <w:t>（适用【</w:t>
            </w:r>
            <w:r>
              <w:rPr>
                <w:rFonts w:hint="eastAsia" w:hAnsi="宋体"/>
                <w:sz w:val="18"/>
                <w:szCs w:val="18"/>
                <w:lang w:val="en-US" w:eastAsia="zh-CN"/>
              </w:rPr>
              <w:t>/</w:t>
            </w:r>
            <w:r>
              <w:rPr>
                <w:rFonts w:hint="eastAsia" w:hAnsi="宋体"/>
                <w:sz w:val="18"/>
                <w:szCs w:val="18"/>
              </w:rPr>
              <w:t>】类份额）</w:t>
            </w:r>
          </w:p>
          <w:p>
            <w:pPr>
              <w:autoSpaceDE w:val="0"/>
              <w:autoSpaceDN w:val="0"/>
              <w:adjustRightInd w:val="0"/>
              <w:spacing w:line="360" w:lineRule="auto"/>
              <w:jc w:val="left"/>
              <w:rPr>
                <w:rFonts w:hAnsi="宋体"/>
                <w:sz w:val="18"/>
                <w:szCs w:val="18"/>
              </w:rPr>
            </w:pPr>
            <w:r>
              <w:rPr>
                <w:rFonts w:hAnsi="宋体"/>
                <w:sz w:val="18"/>
                <w:szCs w:val="18"/>
              </w:rPr>
              <w:t>1.业绩比较基准的设置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产品管理人设置业绩比较基准。</w:t>
            </w:r>
          </w:p>
          <w:p>
            <w:pPr>
              <w:autoSpaceDE w:val="0"/>
              <w:autoSpaceDN w:val="0"/>
              <w:adjustRightInd w:val="0"/>
              <w:spacing w:line="360" w:lineRule="auto"/>
              <w:jc w:val="left"/>
              <w:rPr>
                <w:rFonts w:asciiTheme="majorEastAsia" w:hAnsiTheme="majorEastAsia" w:eastAsiaTheme="majorEastAsia"/>
                <w:bCs/>
                <w:sz w:val="18"/>
                <w:szCs w:val="18"/>
              </w:rPr>
            </w:pPr>
            <w:r>
              <w:rPr>
                <w:rFonts w:hint="eastAsia" w:ascii="宋体" w:hAnsi="宋体"/>
                <w:bCs/>
                <w:sz w:val="18"/>
                <w:szCs w:val="18"/>
              </w:rPr>
              <w:t>（</w:t>
            </w:r>
            <w:r>
              <w:rPr>
                <w:rFonts w:ascii="宋体" w:hAnsi="宋体"/>
                <w:bCs/>
                <w:sz w:val="18"/>
                <w:szCs w:val="18"/>
              </w:rPr>
              <w:t>1）业绩比较基准的说明：</w:t>
            </w:r>
            <w:r>
              <w:rPr>
                <w:rFonts w:hint="eastAsia" w:ascii="宋体" w:hAnsi="宋体"/>
                <w:bCs/>
                <w:sz w:val="18"/>
                <w:szCs w:val="18"/>
              </w:rPr>
              <w:t>【根据本产品各类资产的拟投资比例、资产信用利差、久期敞口以及流动性溢价，结合当前宏观环境和各类资产价格所处的位置，参考历史经验和回测结果，设定业绩基准</w:t>
            </w:r>
            <w:r>
              <w:rPr>
                <w:rFonts w:ascii="宋体" w:hAnsi="宋体"/>
                <w:bCs/>
                <w:sz w:val="18"/>
                <w:szCs w:val="18"/>
              </w:rPr>
              <w:t>】</w:t>
            </w:r>
            <w:r>
              <w:rPr>
                <w:rFonts w:hint="eastAsia" w:asciiTheme="majorEastAsia" w:hAnsiTheme="majorEastAsia" w:eastAsiaTheme="majorEastAsia"/>
                <w:bCs/>
                <w:sz w:val="18"/>
                <w:szCs w:val="18"/>
              </w:rPr>
              <w:t>。</w:t>
            </w:r>
          </w:p>
          <w:p>
            <w:pPr>
              <w:spacing w:line="360" w:lineRule="auto"/>
              <w:jc w:val="left"/>
              <w:rPr>
                <w:rFonts w:hint="eastAsia" w:asciiTheme="majorEastAsia" w:hAnsiTheme="majorEastAsia"/>
                <w:sz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jc w:val="left"/>
              <w:rPr>
                <w:rFonts w:hint="eastAsia" w:ascii="宋体" w:hAnsi="宋体"/>
                <w:bCs/>
                <w:sz w:val="18"/>
                <w:szCs w:val="18"/>
              </w:rPr>
            </w:pPr>
            <w:r>
              <w:rPr>
                <w:rFonts w:hint="eastAsia" w:ascii="宋体" w:hAnsi="宋体"/>
                <w:bCs/>
                <w:sz w:val="18"/>
                <w:szCs w:val="18"/>
              </w:rPr>
              <w:t>A类份额：年化【2.</w:t>
            </w:r>
            <w:r>
              <w:rPr>
                <w:rFonts w:hint="eastAsia" w:ascii="宋体" w:hAnsi="宋体"/>
                <w:bCs/>
                <w:sz w:val="18"/>
                <w:szCs w:val="18"/>
                <w:lang w:val="en-US" w:eastAsia="zh-CN"/>
              </w:rPr>
              <w:t>35</w:t>
            </w:r>
            <w:r>
              <w:rPr>
                <w:rFonts w:hint="eastAsia" w:ascii="宋体" w:hAnsi="宋体"/>
                <w:bCs/>
                <w:sz w:val="18"/>
                <w:szCs w:val="18"/>
              </w:rPr>
              <w:t>%】。</w:t>
            </w:r>
          </w:p>
          <w:p>
            <w:pPr>
              <w:spacing w:line="360" w:lineRule="auto"/>
              <w:jc w:val="left"/>
              <w:rPr>
                <w:rFonts w:hint="eastAsia" w:ascii="宋体" w:hAnsi="宋体"/>
                <w:bCs/>
                <w:sz w:val="18"/>
                <w:szCs w:val="18"/>
              </w:rPr>
            </w:pPr>
            <w:r>
              <w:rPr>
                <w:rFonts w:hint="eastAsia" w:ascii="宋体" w:hAnsi="宋体"/>
                <w:bCs/>
                <w:sz w:val="18"/>
                <w:szCs w:val="18"/>
                <w:lang w:val="en-US" w:eastAsia="zh-CN"/>
              </w:rPr>
              <w:t>B</w:t>
            </w:r>
            <w:r>
              <w:rPr>
                <w:rFonts w:hint="eastAsia" w:ascii="宋体" w:hAnsi="宋体"/>
                <w:bCs/>
                <w:sz w:val="18"/>
                <w:szCs w:val="18"/>
              </w:rPr>
              <w:t>类份额：年化【2.3</w:t>
            </w:r>
            <w:r>
              <w:rPr>
                <w:rFonts w:hint="eastAsia" w:ascii="宋体" w:hAnsi="宋体"/>
                <w:bCs/>
                <w:sz w:val="18"/>
                <w:szCs w:val="18"/>
                <w:lang w:val="en-US" w:eastAsia="zh-CN"/>
              </w:rPr>
              <w:t>0</w:t>
            </w:r>
            <w:r>
              <w:rPr>
                <w:rFonts w:hint="eastAsia" w:ascii="宋体" w:hAnsi="宋体"/>
                <w:bCs/>
                <w:sz w:val="18"/>
                <w:szCs w:val="18"/>
              </w:rPr>
              <w:t>%】。</w:t>
            </w:r>
          </w:p>
          <w:p>
            <w:pPr>
              <w:spacing w:line="360" w:lineRule="auto"/>
              <w:jc w:val="left"/>
              <w:rPr>
                <w:rFonts w:hint="eastAsia" w:ascii="宋体" w:hAnsi="宋体"/>
                <w:bCs/>
                <w:sz w:val="18"/>
                <w:szCs w:val="18"/>
              </w:rPr>
            </w:pPr>
            <w:r>
              <w:rPr>
                <w:rFonts w:hint="eastAsia" w:ascii="宋体" w:hAnsi="宋体"/>
                <w:bCs/>
                <w:sz w:val="18"/>
                <w:szCs w:val="18"/>
                <w:lang w:val="en-US" w:eastAsia="zh-CN"/>
              </w:rPr>
              <w:t>C</w:t>
            </w:r>
            <w:r>
              <w:rPr>
                <w:rFonts w:hint="eastAsia" w:ascii="宋体" w:hAnsi="宋体"/>
                <w:bCs/>
                <w:sz w:val="18"/>
                <w:szCs w:val="18"/>
              </w:rPr>
              <w:t>类份额：年化【2.2</w:t>
            </w:r>
            <w:r>
              <w:rPr>
                <w:rFonts w:hint="eastAsia" w:ascii="宋体" w:hAnsi="宋体"/>
                <w:bCs/>
                <w:sz w:val="18"/>
                <w:szCs w:val="18"/>
                <w:lang w:val="en-US" w:eastAsia="zh-CN"/>
              </w:rPr>
              <w:t>0</w:t>
            </w:r>
            <w:r>
              <w:rPr>
                <w:rFonts w:hint="eastAsia" w:ascii="宋体" w:hAnsi="宋体"/>
                <w:bCs/>
                <w:sz w:val="18"/>
                <w:szCs w:val="18"/>
              </w:rPr>
              <w:t>%】。</w:t>
            </w:r>
            <w:bookmarkStart w:id="156" w:name="_GoBack"/>
            <w:bookmarkEnd w:id="156"/>
          </w:p>
          <w:p>
            <w:pPr>
              <w:spacing w:line="360" w:lineRule="auto"/>
              <w:jc w:val="left"/>
              <w:rPr>
                <w:rFonts w:hint="eastAsia" w:asciiTheme="majorEastAsia" w:hAnsiTheme="majorEastAsia"/>
                <w:sz w:val="18"/>
              </w:rPr>
            </w:pPr>
            <w:r>
              <w:rPr>
                <w:rFonts w:hint="eastAsia" w:ascii="宋体" w:hAnsi="宋体"/>
                <w:bCs/>
                <w:sz w:val="18"/>
                <w:szCs w:val="18"/>
                <w:lang w:val="en-US" w:eastAsia="zh-CN"/>
              </w:rPr>
              <w:t>D</w:t>
            </w:r>
            <w:r>
              <w:rPr>
                <w:rFonts w:hint="eastAsia" w:ascii="宋体" w:hAnsi="宋体"/>
                <w:bCs/>
                <w:sz w:val="18"/>
                <w:szCs w:val="18"/>
              </w:rPr>
              <w:t>类份额：年化【2.1</w:t>
            </w:r>
            <w:r>
              <w:rPr>
                <w:rFonts w:hint="eastAsia" w:ascii="宋体" w:hAnsi="宋体"/>
                <w:bCs/>
                <w:sz w:val="18"/>
                <w:szCs w:val="18"/>
                <w:lang w:val="en-US" w:eastAsia="zh-CN"/>
              </w:rPr>
              <w:t>0</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hint="eastAsia" w:hAnsi="宋体"/>
                <w:bCs/>
                <w:sz w:val="18"/>
                <w:szCs w:val="18"/>
                <w:lang w:val="en-US" w:eastAsia="zh-CN"/>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hAnsi="宋体"/>
                <w:bCs/>
                <w:sz w:val="18"/>
                <w:szCs w:val="18"/>
              </w:rPr>
            </w:pPr>
            <w:r>
              <w:rPr>
                <w:rFonts w:hAnsi="宋体"/>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val="en-US" w:eastAsia="zh-CN"/>
              </w:rPr>
              <w:t xml:space="preserve"> </w:t>
            </w:r>
            <w:r>
              <w:rPr>
                <w:rFonts w:hint="eastAsia" w:asciiTheme="majorEastAsia" w:hAnsiTheme="majorEastAsia" w:eastAsiaTheme="majorEastAsia"/>
                <w:kern w:val="0"/>
                <w:sz w:val="18"/>
                <w:szCs w:val="18"/>
              </w:rPr>
              <w:t>产品管理人设置业绩报酬计提基准。</w:t>
            </w:r>
          </w:p>
          <w:p>
            <w:pPr>
              <w:spacing w:line="360" w:lineRule="auto"/>
              <w:jc w:val="left"/>
              <w:rPr>
                <w:rFonts w:hint="eastAsia" w:ascii="宋体" w:hAnsi="宋体"/>
                <w:bCs/>
                <w:sz w:val="18"/>
                <w:szCs w:val="18"/>
              </w:rPr>
            </w:pPr>
            <w:r>
              <w:rPr>
                <w:rFonts w:ascii="宋体" w:hAnsi="宋体"/>
                <w:bCs/>
                <w:sz w:val="18"/>
                <w:szCs w:val="18"/>
              </w:rPr>
              <w:t>业绩报酬计提基准的设定</w:t>
            </w:r>
            <w:r>
              <w:rPr>
                <w:rFonts w:hint="eastAsia" w:ascii="宋体" w:hAnsi="宋体"/>
                <w:bCs/>
                <w:sz w:val="18"/>
                <w:szCs w:val="18"/>
              </w:rPr>
              <w:t>：管理人</w:t>
            </w:r>
            <w:r>
              <w:rPr>
                <w:rFonts w:ascii="宋体" w:hAnsi="宋体"/>
                <w:bCs/>
                <w:sz w:val="18"/>
                <w:szCs w:val="18"/>
              </w:rPr>
              <w:t>对本产品设定</w:t>
            </w:r>
            <w:r>
              <w:rPr>
                <w:rFonts w:hint="eastAsia" w:ascii="宋体" w:hAnsi="宋体"/>
                <w:bCs/>
                <w:sz w:val="18"/>
                <w:szCs w:val="18"/>
              </w:rPr>
              <w:t>业绩报酬计提基准：</w:t>
            </w:r>
          </w:p>
          <w:p>
            <w:pPr>
              <w:spacing w:line="360" w:lineRule="auto"/>
              <w:jc w:val="left"/>
              <w:rPr>
                <w:rFonts w:hint="eastAsia" w:ascii="宋体" w:hAnsi="宋体"/>
                <w:bCs/>
                <w:sz w:val="18"/>
                <w:szCs w:val="18"/>
              </w:rPr>
            </w:pPr>
            <w:r>
              <w:rPr>
                <w:rFonts w:hint="eastAsia" w:ascii="宋体" w:hAnsi="宋体"/>
                <w:bCs/>
                <w:sz w:val="18"/>
                <w:szCs w:val="18"/>
              </w:rPr>
              <w:t>A类份额：年化【2.</w:t>
            </w:r>
            <w:r>
              <w:rPr>
                <w:rFonts w:hint="eastAsia" w:ascii="宋体" w:hAnsi="宋体"/>
                <w:bCs/>
                <w:sz w:val="18"/>
                <w:szCs w:val="18"/>
                <w:lang w:val="en-US" w:eastAsia="zh-CN"/>
              </w:rPr>
              <w:t>35</w:t>
            </w:r>
            <w:r>
              <w:rPr>
                <w:rFonts w:hint="eastAsia" w:ascii="宋体" w:hAnsi="宋体"/>
                <w:bCs/>
                <w:sz w:val="18"/>
                <w:szCs w:val="18"/>
              </w:rPr>
              <w:t>%】。</w:t>
            </w:r>
          </w:p>
          <w:p>
            <w:pPr>
              <w:spacing w:line="360" w:lineRule="auto"/>
              <w:jc w:val="left"/>
              <w:rPr>
                <w:rFonts w:hint="eastAsia" w:ascii="宋体" w:hAnsi="宋体"/>
                <w:bCs/>
                <w:sz w:val="18"/>
                <w:szCs w:val="18"/>
              </w:rPr>
            </w:pPr>
            <w:r>
              <w:rPr>
                <w:rFonts w:hint="eastAsia" w:ascii="宋体" w:hAnsi="宋体"/>
                <w:bCs/>
                <w:sz w:val="18"/>
                <w:szCs w:val="18"/>
                <w:lang w:val="en-US" w:eastAsia="zh-CN"/>
              </w:rPr>
              <w:t>B</w:t>
            </w:r>
            <w:r>
              <w:rPr>
                <w:rFonts w:hint="eastAsia" w:ascii="宋体" w:hAnsi="宋体"/>
                <w:bCs/>
                <w:sz w:val="18"/>
                <w:szCs w:val="18"/>
              </w:rPr>
              <w:t>类份额：年化【2.3</w:t>
            </w:r>
            <w:r>
              <w:rPr>
                <w:rFonts w:hint="eastAsia" w:ascii="宋体" w:hAnsi="宋体"/>
                <w:bCs/>
                <w:sz w:val="18"/>
                <w:szCs w:val="18"/>
                <w:lang w:val="en-US" w:eastAsia="zh-CN"/>
              </w:rPr>
              <w:t>0</w:t>
            </w:r>
            <w:r>
              <w:rPr>
                <w:rFonts w:hint="eastAsia" w:ascii="宋体" w:hAnsi="宋体"/>
                <w:bCs/>
                <w:sz w:val="18"/>
                <w:szCs w:val="18"/>
              </w:rPr>
              <w:t>%】。</w:t>
            </w:r>
          </w:p>
          <w:p>
            <w:pPr>
              <w:spacing w:line="360" w:lineRule="auto"/>
              <w:jc w:val="left"/>
              <w:rPr>
                <w:rFonts w:hint="eastAsia" w:ascii="宋体" w:hAnsi="宋体"/>
                <w:bCs/>
                <w:sz w:val="18"/>
                <w:szCs w:val="18"/>
              </w:rPr>
            </w:pPr>
            <w:r>
              <w:rPr>
                <w:rFonts w:hint="eastAsia" w:ascii="宋体" w:hAnsi="宋体"/>
                <w:bCs/>
                <w:sz w:val="18"/>
                <w:szCs w:val="18"/>
                <w:lang w:val="en-US" w:eastAsia="zh-CN"/>
              </w:rPr>
              <w:t>C</w:t>
            </w:r>
            <w:r>
              <w:rPr>
                <w:rFonts w:hint="eastAsia" w:ascii="宋体" w:hAnsi="宋体"/>
                <w:bCs/>
                <w:sz w:val="18"/>
                <w:szCs w:val="18"/>
              </w:rPr>
              <w:t>类份额：年化【2.2</w:t>
            </w:r>
            <w:r>
              <w:rPr>
                <w:rFonts w:hint="eastAsia" w:ascii="宋体" w:hAnsi="宋体"/>
                <w:bCs/>
                <w:sz w:val="18"/>
                <w:szCs w:val="18"/>
                <w:lang w:val="en-US" w:eastAsia="zh-CN"/>
              </w:rPr>
              <w:t>0</w:t>
            </w:r>
            <w:r>
              <w:rPr>
                <w:rFonts w:hint="eastAsia" w:ascii="宋体" w:hAnsi="宋体"/>
                <w:bCs/>
                <w:sz w:val="18"/>
                <w:szCs w:val="18"/>
              </w:rPr>
              <w:t>%】。</w:t>
            </w:r>
          </w:p>
          <w:p>
            <w:pPr>
              <w:spacing w:line="360" w:lineRule="auto"/>
              <w:jc w:val="left"/>
              <w:rPr>
                <w:rFonts w:ascii="宋体" w:hAnsi="宋体"/>
                <w:bCs/>
                <w:sz w:val="18"/>
                <w:szCs w:val="18"/>
              </w:rPr>
            </w:pPr>
            <w:r>
              <w:rPr>
                <w:rFonts w:hint="eastAsia" w:ascii="宋体" w:hAnsi="宋体"/>
                <w:bCs/>
                <w:sz w:val="18"/>
                <w:szCs w:val="18"/>
                <w:lang w:val="en-US" w:eastAsia="zh-CN"/>
              </w:rPr>
              <w:t>D</w:t>
            </w:r>
            <w:r>
              <w:rPr>
                <w:rFonts w:hint="eastAsia" w:ascii="宋体" w:hAnsi="宋体"/>
                <w:bCs/>
                <w:sz w:val="18"/>
                <w:szCs w:val="18"/>
              </w:rPr>
              <w:t>类份额：年化【2.1</w:t>
            </w:r>
            <w:r>
              <w:rPr>
                <w:rFonts w:hint="eastAsia" w:ascii="宋体" w:hAnsi="宋体"/>
                <w:bCs/>
                <w:sz w:val="18"/>
                <w:szCs w:val="18"/>
                <w:lang w:val="en-US" w:eastAsia="zh-CN"/>
              </w:rPr>
              <w:t>0</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ascii="黑体" w:hAnsi="黑体" w:eastAsia="黑体"/>
                <w:bCs/>
                <w:color w:val="000000" w:themeColor="text1"/>
                <w:sz w:val="18"/>
                <w:szCs w:val="18"/>
                <w14:textFill>
                  <w14:solidFill>
                    <w14:schemeClr w14:val="tx1"/>
                  </w14:solidFill>
                </w14:textFill>
              </w:rPr>
            </w:pPr>
            <w:r>
              <w:rPr>
                <w:rFonts w:ascii="黑体" w:hAnsi="黑体" w:eastAsia="黑体"/>
                <w:bCs/>
                <w:color w:val="000000" w:themeColor="text1"/>
                <w:sz w:val="18"/>
                <w:szCs w:val="18"/>
                <w14:textFill>
                  <w14:solidFill>
                    <w14:schemeClr w14:val="tx1"/>
                  </w14:solidFill>
                </w14:textFill>
              </w:rPr>
              <w:t>1.理财产品的费率标准</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1）认购费：</w:t>
            </w:r>
            <w:r>
              <w:rPr>
                <w:rFonts w:hint="eastAsia"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hint="eastAsia"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2）销售服</w:t>
            </w:r>
            <w:r>
              <w:rPr>
                <w:rFonts w:hint="eastAsia" w:ascii="黑体" w:hAnsi="黑体" w:eastAsia="黑体"/>
                <w:bCs/>
                <w:color w:val="000000" w:themeColor="text1"/>
                <w:sz w:val="18"/>
                <w:szCs w:val="18"/>
                <w14:textFill>
                  <w14:solidFill>
                    <w14:schemeClr w14:val="tx1"/>
                  </w14:solidFill>
                </w14:textFill>
              </w:rPr>
              <w:t>务费：</w:t>
            </w:r>
          </w:p>
          <w:p>
            <w:pPr>
              <w:spacing w:line="360" w:lineRule="auto"/>
              <w:rPr>
                <w:rFonts w:hint="eastAsia" w:ascii="黑体" w:hAnsi="黑体" w:eastAsia="黑体"/>
                <w:bCs/>
                <w:sz w:val="18"/>
                <w:szCs w:val="18"/>
              </w:rPr>
            </w:pPr>
            <w:r>
              <w:rPr>
                <w:rFonts w:hint="eastAsia" w:ascii="黑体" w:hAnsi="黑体" w:eastAsia="黑体"/>
                <w:bCs/>
                <w:sz w:val="18"/>
                <w:szCs w:val="18"/>
              </w:rPr>
              <w:t>A类份额：年化费率【0.0</w:t>
            </w:r>
            <w:r>
              <w:rPr>
                <w:rFonts w:hint="eastAsia" w:ascii="黑体" w:hAnsi="黑体" w:eastAsia="黑体"/>
                <w:bCs/>
                <w:sz w:val="18"/>
                <w:szCs w:val="18"/>
                <w:lang w:val="en-US" w:eastAsia="zh-CN"/>
              </w:rPr>
              <w:t>5</w:t>
            </w:r>
            <w:r>
              <w:rPr>
                <w:rFonts w:hint="eastAsia" w:ascii="黑体" w:hAnsi="黑体" w:eastAsia="黑体"/>
                <w:bCs/>
                <w:sz w:val="18"/>
                <w:szCs w:val="18"/>
              </w:rPr>
              <w:t>%】。</w:t>
            </w:r>
          </w:p>
          <w:p>
            <w:pPr>
              <w:spacing w:line="360" w:lineRule="auto"/>
              <w:rPr>
                <w:rFonts w:hint="eastAsia" w:ascii="黑体" w:hAnsi="黑体" w:eastAsia="黑体"/>
                <w:bCs/>
                <w:sz w:val="18"/>
                <w:szCs w:val="18"/>
              </w:rPr>
            </w:pPr>
            <w:r>
              <w:rPr>
                <w:rFonts w:hint="eastAsia" w:ascii="黑体" w:hAnsi="黑体" w:eastAsia="黑体"/>
                <w:bCs/>
                <w:sz w:val="18"/>
                <w:szCs w:val="18"/>
                <w:lang w:val="en-US" w:eastAsia="zh-CN"/>
              </w:rPr>
              <w:t>B</w:t>
            </w:r>
            <w:r>
              <w:rPr>
                <w:rFonts w:hint="eastAsia" w:ascii="黑体" w:hAnsi="黑体" w:eastAsia="黑体"/>
                <w:bCs/>
                <w:sz w:val="18"/>
                <w:szCs w:val="18"/>
              </w:rPr>
              <w:t>类份额：年化费率【0.1</w:t>
            </w:r>
            <w:r>
              <w:rPr>
                <w:rFonts w:hint="eastAsia" w:ascii="黑体" w:hAnsi="黑体" w:eastAsia="黑体"/>
                <w:bCs/>
                <w:sz w:val="18"/>
                <w:szCs w:val="18"/>
                <w:lang w:val="en-US" w:eastAsia="zh-CN"/>
              </w:rPr>
              <w:t>0</w:t>
            </w:r>
            <w:r>
              <w:rPr>
                <w:rFonts w:hint="eastAsia" w:ascii="黑体" w:hAnsi="黑体" w:eastAsia="黑体"/>
                <w:bCs/>
                <w:sz w:val="18"/>
                <w:szCs w:val="18"/>
              </w:rPr>
              <w:t>%】。</w:t>
            </w:r>
          </w:p>
          <w:p>
            <w:pPr>
              <w:spacing w:line="360" w:lineRule="auto"/>
              <w:rPr>
                <w:rFonts w:hint="eastAsia" w:ascii="黑体" w:hAnsi="黑体" w:eastAsia="黑体"/>
                <w:bCs/>
                <w:sz w:val="18"/>
                <w:szCs w:val="18"/>
              </w:rPr>
            </w:pPr>
            <w:r>
              <w:rPr>
                <w:rFonts w:hint="eastAsia" w:ascii="黑体" w:hAnsi="黑体" w:eastAsia="黑体"/>
                <w:bCs/>
                <w:sz w:val="18"/>
                <w:szCs w:val="18"/>
                <w:lang w:val="en-US" w:eastAsia="zh-CN"/>
              </w:rPr>
              <w:t>C</w:t>
            </w:r>
            <w:r>
              <w:rPr>
                <w:rFonts w:hint="eastAsia" w:ascii="黑体" w:hAnsi="黑体" w:eastAsia="黑体"/>
                <w:bCs/>
                <w:sz w:val="18"/>
                <w:szCs w:val="18"/>
              </w:rPr>
              <w:t>类份额：年化费率【0.2</w:t>
            </w:r>
            <w:r>
              <w:rPr>
                <w:rFonts w:hint="eastAsia" w:ascii="黑体" w:hAnsi="黑体" w:eastAsia="黑体"/>
                <w:bCs/>
                <w:sz w:val="18"/>
                <w:szCs w:val="18"/>
                <w:lang w:val="en-US" w:eastAsia="zh-CN"/>
              </w:rPr>
              <w:t>0</w:t>
            </w:r>
            <w:r>
              <w:rPr>
                <w:rFonts w:hint="eastAsia" w:ascii="黑体" w:hAnsi="黑体" w:eastAsia="黑体"/>
                <w:bCs/>
                <w:sz w:val="18"/>
                <w:szCs w:val="18"/>
              </w:rPr>
              <w:t>%】。</w:t>
            </w:r>
          </w:p>
          <w:p>
            <w:pPr>
              <w:spacing w:line="360" w:lineRule="auto"/>
              <w:rPr>
                <w:rFonts w:hint="eastAsia" w:ascii="黑体" w:hAnsi="黑体" w:eastAsia="黑体"/>
                <w:bCs/>
                <w:color w:val="000000" w:themeColor="text1"/>
                <w:sz w:val="18"/>
                <w:szCs w:val="18"/>
                <w14:textFill>
                  <w14:solidFill>
                    <w14:schemeClr w14:val="tx1"/>
                  </w14:solidFill>
                </w14:textFill>
              </w:rPr>
            </w:pPr>
            <w:r>
              <w:rPr>
                <w:rFonts w:hint="eastAsia" w:ascii="黑体" w:hAnsi="黑体" w:eastAsia="黑体"/>
                <w:bCs/>
                <w:sz w:val="18"/>
                <w:szCs w:val="18"/>
                <w:lang w:val="en-US" w:eastAsia="zh-CN"/>
              </w:rPr>
              <w:t>D</w:t>
            </w:r>
            <w:r>
              <w:rPr>
                <w:rFonts w:hint="eastAsia" w:ascii="黑体" w:hAnsi="黑体" w:eastAsia="黑体"/>
                <w:bCs/>
                <w:sz w:val="18"/>
                <w:szCs w:val="18"/>
              </w:rPr>
              <w:t>类份额：年化费率【0.</w:t>
            </w:r>
            <w:r>
              <w:rPr>
                <w:rFonts w:hint="eastAsia" w:ascii="黑体" w:hAnsi="黑体" w:eastAsia="黑体"/>
                <w:bCs/>
                <w:sz w:val="18"/>
                <w:szCs w:val="18"/>
                <w:lang w:val="en-US" w:eastAsia="zh-CN"/>
              </w:rPr>
              <w:t>30</w:t>
            </w:r>
            <w:r>
              <w:rPr>
                <w:rFonts w:hint="eastAsia" w:ascii="黑体" w:hAnsi="黑体" w:eastAsia="黑体"/>
                <w:bCs/>
                <w:sz w:val="18"/>
                <w:szCs w:val="18"/>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3）投资管理费：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bCs/>
                <w:sz w:val="18"/>
                <w:szCs w:val="18"/>
              </w:rPr>
              <w:t>0.01%</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4）产品托管费：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bCs/>
                <w:sz w:val="18"/>
                <w:szCs w:val="18"/>
              </w:rPr>
              <w:t>0.01%</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5）超额业绩报酬：</w:t>
            </w:r>
          </w:p>
          <w:p>
            <w:pPr>
              <w:widowControl/>
              <w:spacing w:line="360" w:lineRule="auto"/>
              <w:jc w:val="left"/>
              <w:rPr>
                <w:rFonts w:ascii="宋体" w:hAnsi="宋体"/>
                <w:sz w:val="18"/>
                <w:szCs w:val="18"/>
              </w:rPr>
            </w:pPr>
            <w:r>
              <w:rPr>
                <w:rFonts w:hint="eastAsia" w:ascii="宋体" w:hAnsi="宋体"/>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5</w:t>
            </w:r>
            <w:r>
              <w:rPr>
                <w:rFonts w:ascii="宋体" w:hAnsi="宋体"/>
                <w:sz w:val="18"/>
                <w:szCs w:val="18"/>
              </w:rPr>
              <w:t>0</w:t>
            </w:r>
            <w:r>
              <w:rPr>
                <w:rFonts w:hint="eastAsia" w:ascii="宋体" w:hAnsi="宋体"/>
                <w:sz w:val="18"/>
                <w:szCs w:val="18"/>
              </w:rPr>
              <w:t>%】作为超额业绩报酬。</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176189755"/>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4771"/>
      <w:bookmarkStart w:id="10" w:name="_Toc176189756"/>
      <w:bookmarkStart w:id="11" w:name="_Toc22074"/>
      <w:bookmarkStart w:id="12" w:name="_Toc6714"/>
      <w:bookmarkStart w:id="13" w:name="_Toc29948"/>
      <w:bookmarkStart w:id="14" w:name="_Toc29784"/>
      <w:bookmarkStart w:id="15" w:name="_Toc79154668"/>
      <w:bookmarkStart w:id="16" w:name="_Toc27189"/>
      <w:bookmarkStart w:id="17" w:name="_Toc27226"/>
      <w:bookmarkStart w:id="18" w:name="_Toc90742390"/>
      <w:bookmarkStart w:id="19" w:name="_Toc3266"/>
      <w:bookmarkStart w:id="20" w:name="_Toc7151"/>
      <w:bookmarkStart w:id="21" w:name="_Toc74065741"/>
      <w:bookmarkStart w:id="22" w:name="_Toc16265"/>
      <w:bookmarkStart w:id="23" w:name="_Toc90742321"/>
      <w:bookmarkStart w:id="24" w:name="_Toc15203"/>
      <w:bookmarkStart w:id="25" w:name="_Toc90742688"/>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permStart w:id="15" w:edGrp="everyone"/>
      <w:r>
        <w:rPr>
          <w:rFonts w:hint="eastAsia" w:asciiTheme="majorEastAsia" w:hAnsiTheme="majorEastAsia" w:eastAsiaTheme="majorEastAsia"/>
          <w:bCs/>
          <w:kern w:val="0"/>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（3）符合监管要求的债权类资产。</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（4）以套期保值为目的的国债期货、利率互换、信用风险缓释工具、债券借贷。</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（5）优先股。</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（6）结构化资产管理产品的优先级份额。</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7）投资于（1）-（5）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（8）其他风险不高于前述资产的资产。</w:t>
      </w: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kern w:val="0"/>
          <w:sz w:val="18"/>
          <w:szCs w:val="18"/>
        </w:rPr>
        <w:t>【</w:t>
      </w:r>
      <w:r>
        <w:rPr>
          <w:rFonts w:hint="eastAsia" w:asciiTheme="majorEastAsia" w:hAnsiTheme="majorEastAsia" w:eastAsiaTheme="majorEastAsia"/>
          <w:bCs/>
          <w:sz w:val="18"/>
          <w:szCs w:val="18"/>
        </w:rPr>
        <w:t>（1）本产品投资于债权类资产的比例不低于产品总资产的80%。</w:t>
      </w:r>
    </w:p>
    <w:p>
      <w:pPr>
        <w:autoSpaceDE w:val="0"/>
        <w:autoSpaceDN w:val="0"/>
        <w:adjustRightInd w:val="0"/>
        <w:spacing w:line="360" w:lineRule="auto"/>
        <w:ind w:firstLine="360" w:firstLineChars="200"/>
        <w:jc w:val="left"/>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（2）国债期货、利率互换、信用风险缓释工具等衍生品占产品总资产比例低于20%。</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（3）投资于权益类资产的比例不高于产品总资产的10%，权益类资产仅限于投资于优先股和结构化资产管理产品的优先级份额。</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（4）符合监管要求的非标准化债权类资产低于产品净资产的50%。</w:t>
      </w:r>
    </w:p>
    <w:p>
      <w:pPr>
        <w:autoSpaceDE w:val="0"/>
        <w:autoSpaceDN w:val="0"/>
        <w:adjustRightInd w:val="0"/>
        <w:spacing w:line="360" w:lineRule="auto"/>
        <w:ind w:firstLine="361"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
          <w:sz w:val="18"/>
          <w:szCs w:val="18"/>
        </w:rPr>
        <w:t>注：本产品可能投资不存在活跃交易市场，并且需要采用估值技术确定公允价值的资产，且投资上述资产的比例达到理财产品净资产50%以上。</w:t>
      </w:r>
      <w:r>
        <w:rPr>
          <w:rFonts w:hint="eastAsia" w:asciiTheme="majorEastAsia" w:hAnsiTheme="majorEastAsia" w:eastAsiaTheme="majorEastAsia"/>
          <w:bCs/>
          <w:kern w:val="0"/>
          <w:sz w:val="18"/>
          <w:szCs w:val="18"/>
        </w:rPr>
        <w:t>】</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sz w:val="18"/>
          <w:szCs w:val="18"/>
        </w:rPr>
      </w:pPr>
      <w:permStart w:id="18" w:edGrp="everyone"/>
      <w:r>
        <w:rPr>
          <w:rFonts w:hint="eastAsia" w:asciiTheme="majorEastAsia" w:hAnsiTheme="majorEastAsia" w:eastAsiaTheme="majorEastAsia"/>
          <w:bCs/>
          <w:sz w:val="18"/>
          <w:szCs w:val="18"/>
        </w:rPr>
        <w:t>（1）每只公募理财产品投资单只证券或者单只公募证券投资基金的市值不得超过该理财产品净资产的10%。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（3）全部理财产品持有单一上市公司发行的股票，不得超过该上市公司可流通股票的30%。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（4）全部开放式公募理财产品投资单一上市公司发行的股票不得超过该上市公司可流通股票的15%。 </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ermEnd w:id="18"/>
    </w:p>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【通过对经济基本面、企业盈利、无风险利率水平、资金面等因素进行定性和定量分析，根据产品的业绩目标和回撤目标制定各个阶段产品资产投资比例。】</w:t>
      </w:r>
    </w:p>
    <w:permEnd w:id="19"/>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139991735"/>
      <w:bookmarkStart w:id="28" w:name="_Toc79154669"/>
      <w:bookmarkStart w:id="29" w:name="_Toc18329"/>
      <w:bookmarkStart w:id="30" w:name="_Toc18797"/>
      <w:bookmarkStart w:id="31" w:name="_Toc26986"/>
      <w:bookmarkStart w:id="32" w:name="_Toc7848"/>
      <w:bookmarkStart w:id="33" w:name="_Toc14893"/>
      <w:bookmarkStart w:id="34" w:name="_Toc176189758"/>
      <w:bookmarkStart w:id="35" w:name="_Toc1823"/>
      <w:bookmarkStart w:id="36" w:name="_Toc21988"/>
      <w:bookmarkStart w:id="37" w:name="_Toc4741"/>
      <w:bookmarkStart w:id="38" w:name="_Toc17912"/>
      <w:bookmarkStart w:id="39" w:name="_Toc141703885"/>
      <w:bookmarkStart w:id="40" w:name="_Toc18526"/>
      <w:bookmarkStart w:id="41" w:name="_Toc74065742"/>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139991736"/>
      <w:bookmarkStart w:id="44" w:name="_Toc610"/>
      <w:bookmarkStart w:id="45" w:name="_Toc1427"/>
      <w:bookmarkStart w:id="46" w:name="_Toc79392606"/>
      <w:bookmarkStart w:id="47" w:name="_Toc123102453"/>
      <w:bookmarkStart w:id="48" w:name="_Toc176189759"/>
      <w:bookmarkStart w:id="49" w:name="_Toc98560352"/>
      <w:bookmarkStart w:id="50" w:name="_Toc23822"/>
      <w:bookmarkStart w:id="51" w:name="_Toc4003"/>
      <w:bookmarkStart w:id="52" w:name="_Toc141703886"/>
      <w:bookmarkStart w:id="53" w:name="_Toc123051452"/>
      <w:bookmarkStart w:id="54" w:name="_Toc10463"/>
      <w:bookmarkStart w:id="55" w:name="_Toc1270"/>
      <w:bookmarkStart w:id="56" w:name="_Toc20733"/>
      <w:bookmarkStart w:id="57" w:name="_Toc7920"/>
      <w:bookmarkStart w:id="58" w:name="_Toc79154670"/>
      <w:bookmarkStart w:id="59" w:name="_Toc74065743"/>
      <w:bookmarkStart w:id="60" w:name="_Toc23261"/>
      <w:bookmarkStart w:id="61" w:name="_Toc17244"/>
      <w:bookmarkStart w:id="62" w:name="_Toc48649707"/>
      <w:bookmarkStart w:id="63" w:name="_Toc123112234"/>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20" w:edGrp="everyone"/>
      <w:r>
        <w:rPr>
          <w:rFonts w:hint="eastAsia" w:hAnsi="宋体"/>
          <w:sz w:val="18"/>
          <w:szCs w:val="18"/>
        </w:rPr>
        <w:t>本产品存续期间，每【</w:t>
      </w:r>
      <w:r>
        <w:rPr>
          <w:rFonts w:hint="eastAsia" w:hAnsi="宋体"/>
          <w:sz w:val="18"/>
          <w:szCs w:val="18"/>
          <w:lang w:val="en-US" w:eastAsia="zh-CN"/>
        </w:rPr>
        <w:t>周</w:t>
      </w:r>
      <w:r>
        <w:rPr>
          <w:rFonts w:hint="eastAsia" w:hAnsi="宋体"/>
          <w:sz w:val="18"/>
          <w:szCs w:val="18"/>
        </w:rPr>
        <w:t>】进行一次估值。如遇产品到期日、季度末、半年度末、年度末等时间节点管理人将增加估值日。</w:t>
      </w:r>
    </w:p>
    <w:permEnd w:id="20"/>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0" w:firstLineChars="200"/>
        <w:rPr>
          <w:rFonts w:hAnsi="宋体"/>
          <w:bCs/>
          <w:sz w:val="18"/>
          <w:szCs w:val="18"/>
        </w:rPr>
      </w:pPr>
      <w:r>
        <w:rPr>
          <w:rFonts w:hAnsi="宋体"/>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hAnsi="宋体"/>
          <w:sz w:val="18"/>
          <w:szCs w:val="18"/>
        </w:rPr>
      </w:pPr>
      <w:r>
        <w:rPr>
          <w:rFonts w:hAnsi="宋体"/>
          <w:bCs/>
          <w:sz w:val="18"/>
          <w:szCs w:val="18"/>
        </w:rPr>
        <w:t>3.非标准化债权类资产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pPr>
        <w:pStyle w:val="34"/>
        <w:spacing w:line="360" w:lineRule="auto"/>
        <w:ind w:firstLine="360" w:firstLineChars="200"/>
        <w:rPr>
          <w:rFonts w:hAnsi="宋体"/>
          <w:bCs/>
          <w:sz w:val="18"/>
          <w:szCs w:val="18"/>
        </w:rPr>
      </w:pPr>
      <w:r>
        <w:rPr>
          <w:rFonts w:hAnsi="宋体"/>
          <w:bCs/>
          <w:sz w:val="18"/>
          <w:szCs w:val="18"/>
        </w:rPr>
        <w:t>4.上市公司股票估值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hAnsi="宋体"/>
          <w:bCs/>
          <w:sz w:val="18"/>
          <w:szCs w:val="18"/>
        </w:rPr>
      </w:pPr>
      <w:r>
        <w:rPr>
          <w:rFonts w:hAnsi="宋体"/>
          <w:bCs/>
          <w:sz w:val="18"/>
          <w:szCs w:val="18"/>
        </w:rPr>
        <w:t>5.未上市公司股权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pPr>
        <w:pStyle w:val="34"/>
        <w:spacing w:line="360" w:lineRule="auto"/>
        <w:ind w:firstLine="360" w:firstLineChars="200"/>
        <w:rPr>
          <w:rFonts w:hAnsi="宋体"/>
          <w:bCs/>
          <w:sz w:val="18"/>
          <w:szCs w:val="18"/>
        </w:rPr>
      </w:pPr>
      <w:r>
        <w:rPr>
          <w:rFonts w:hAnsi="宋体"/>
          <w:bCs/>
          <w:sz w:val="18"/>
          <w:szCs w:val="18"/>
        </w:rPr>
        <w:t>6.优先股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hAnsi="宋体"/>
          <w:bCs/>
          <w:sz w:val="18"/>
          <w:szCs w:val="18"/>
        </w:rPr>
      </w:pPr>
      <w:r>
        <w:rPr>
          <w:rFonts w:hAnsi="宋体"/>
          <w:bCs/>
          <w:sz w:val="18"/>
          <w:szCs w:val="18"/>
        </w:rPr>
        <w:t>7.证券投资基金估值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34"/>
        <w:spacing w:line="360" w:lineRule="auto"/>
        <w:ind w:firstLine="360" w:firstLineChars="200"/>
        <w:rPr>
          <w:rFonts w:hAnsi="宋体"/>
          <w:bCs/>
          <w:sz w:val="18"/>
          <w:szCs w:val="18"/>
        </w:rPr>
      </w:pPr>
      <w:r>
        <w:rPr>
          <w:rFonts w:hAnsi="宋体"/>
          <w:bCs/>
          <w:sz w:val="18"/>
          <w:szCs w:val="18"/>
        </w:rPr>
        <w:t>8.其他资产管理产品的估值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4"/>
        <w:spacing w:line="360" w:lineRule="auto"/>
        <w:ind w:firstLine="360" w:firstLineChars="200"/>
        <w:rPr>
          <w:rFonts w:hAnsi="宋体"/>
          <w:bCs/>
          <w:sz w:val="18"/>
          <w:szCs w:val="18"/>
        </w:rPr>
      </w:pPr>
      <w:r>
        <w:rPr>
          <w:rFonts w:hAnsi="宋体"/>
          <w:bCs/>
          <w:sz w:val="18"/>
          <w:szCs w:val="18"/>
        </w:rPr>
        <w:t>9.衍生金融工具估值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31653"/>
      <w:bookmarkStart w:id="66" w:name="_Toc3601"/>
      <w:bookmarkStart w:id="67" w:name="_Toc98560353"/>
      <w:bookmarkStart w:id="68" w:name="_Toc123051453"/>
      <w:bookmarkStart w:id="69" w:name="_Toc31644"/>
      <w:bookmarkStart w:id="70" w:name="_Toc79154671"/>
      <w:bookmarkStart w:id="71" w:name="_Toc139991737"/>
      <w:bookmarkStart w:id="72" w:name="_Toc123112235"/>
      <w:bookmarkStart w:id="73" w:name="_Toc14835"/>
      <w:bookmarkStart w:id="74" w:name="_Toc12245"/>
      <w:bookmarkStart w:id="75" w:name="_Toc176189760"/>
      <w:bookmarkStart w:id="76" w:name="_Toc141703887"/>
      <w:bookmarkStart w:id="77" w:name="_Toc123102454"/>
      <w:bookmarkStart w:id="78" w:name="_Toc26207"/>
      <w:bookmarkStart w:id="79" w:name="_Toc74065744"/>
      <w:bookmarkStart w:id="80" w:name="_Toc29251"/>
      <w:bookmarkStart w:id="81" w:name="_Toc6405"/>
      <w:bookmarkStart w:id="82" w:name="_Toc31235"/>
      <w:bookmarkStart w:id="83" w:name="_Toc15143"/>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79392580"/>
      <w:bookmarkStart w:id="86" w:name="_Toc523711668"/>
      <w:bookmarkStart w:id="87" w:name="_Toc15118234"/>
      <w:bookmarkStart w:id="88" w:name="_Toc57530239"/>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97298"/>
      <w:bookmarkEnd w:id="89"/>
      <w:bookmarkStart w:id="90" w:name="_Hlt88825574"/>
      <w:bookmarkEnd w:id="90"/>
      <w:bookmarkStart w:id="91" w:name="_Toc79154672"/>
      <w:bookmarkStart w:id="92" w:name="_Toc11030"/>
      <w:bookmarkStart w:id="93" w:name="_Toc141703888"/>
      <w:bookmarkStart w:id="94" w:name="_Toc74065745"/>
      <w:bookmarkStart w:id="95" w:name="_Toc79392583"/>
      <w:bookmarkStart w:id="96" w:name="_Toc9706"/>
      <w:bookmarkStart w:id="97" w:name="_Toc139991738"/>
      <w:bookmarkStart w:id="98" w:name="_Toc7058"/>
      <w:bookmarkStart w:id="99" w:name="_Toc176189761"/>
      <w:bookmarkStart w:id="100" w:name="_Toc18567"/>
      <w:bookmarkStart w:id="101" w:name="_Toc4559"/>
      <w:bookmarkStart w:id="102" w:name="_Toc6447"/>
      <w:bookmarkStart w:id="103" w:name="_Toc123051454"/>
      <w:bookmarkStart w:id="104" w:name="_Toc123102455"/>
      <w:bookmarkStart w:id="105" w:name="_Toc123112236"/>
      <w:bookmarkStart w:id="106" w:name="_Toc3321"/>
      <w:bookmarkStart w:id="107" w:name="_Toc3771"/>
      <w:bookmarkStart w:id="108" w:name="_Toc25783"/>
      <w:bookmarkStart w:id="109" w:name="_Toc10650"/>
      <w:bookmarkStart w:id="110" w:name="_Toc98560354"/>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permStart w:id="23" w:edGrp="everyone"/>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ermEnd w:id="23"/>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4"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产品份额超额业绩报酬计提起始日为：募集期内认购的产品份额，以产品成立日为该</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4"/>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3963"/>
      <w:bookmarkStart w:id="112" w:name="_Toc1745"/>
      <w:r>
        <w:br w:type="page"/>
      </w:r>
      <w:bookmarkStart w:id="113" w:name="_Toc21735"/>
      <w:bookmarkStart w:id="114" w:name="_Toc74065746"/>
      <w:bookmarkStart w:id="115" w:name="_Toc98560355"/>
      <w:bookmarkStart w:id="116" w:name="_Toc10398"/>
      <w:bookmarkStart w:id="117" w:name="_Toc123102456"/>
      <w:bookmarkStart w:id="118" w:name="_Toc123051455"/>
      <w:bookmarkStart w:id="119" w:name="_Toc176189762"/>
      <w:bookmarkStart w:id="120" w:name="_Toc16164"/>
      <w:bookmarkStart w:id="121" w:name="_Toc79154673"/>
      <w:bookmarkStart w:id="122" w:name="_Toc18206"/>
      <w:bookmarkStart w:id="123" w:name="_Toc139991739"/>
      <w:bookmarkStart w:id="124" w:name="_Toc123112237"/>
      <w:bookmarkStart w:id="125" w:name="_Toc31821"/>
      <w:bookmarkStart w:id="126" w:name="_Toc3080"/>
      <w:bookmarkStart w:id="127" w:name="_Toc141703889"/>
      <w:bookmarkStart w:id="128" w:name="_Toc3572"/>
      <w:bookmarkStart w:id="129" w:name="_Toc725"/>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15118245"/>
      <w:bookmarkStart w:id="131" w:name="_Toc79392593"/>
      <w:bookmarkStart w:id="132" w:name="_Toc57530252"/>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48649708"/>
      <w:bookmarkStart w:id="134" w:name="_Toc139991740"/>
      <w:bookmarkStart w:id="135" w:name="_Toc5170"/>
      <w:bookmarkStart w:id="136" w:name="_Toc176189763"/>
      <w:bookmarkStart w:id="137" w:name="_Toc29408"/>
      <w:bookmarkStart w:id="138" w:name="_Toc79392622"/>
      <w:bookmarkStart w:id="139" w:name="_Toc739"/>
      <w:bookmarkStart w:id="140" w:name="_Toc3329"/>
      <w:bookmarkStart w:id="141" w:name="_Toc32092"/>
      <w:bookmarkStart w:id="142" w:name="_Toc98560356"/>
      <w:bookmarkStart w:id="143" w:name="_Toc17198"/>
      <w:bookmarkStart w:id="144" w:name="_Toc17920"/>
      <w:bookmarkStart w:id="145" w:name="_Toc32584"/>
      <w:bookmarkStart w:id="146" w:name="_Toc141703890"/>
      <w:bookmarkStart w:id="147" w:name="_Toc123051456"/>
      <w:bookmarkStart w:id="148" w:name="_Toc21237"/>
      <w:bookmarkStart w:id="149" w:name="_Toc74065747"/>
      <w:bookmarkStart w:id="150" w:name="_Toc123112238"/>
      <w:bookmarkStart w:id="151" w:name="_Toc79154674"/>
      <w:bookmarkStart w:id="152" w:name="_Toc8791"/>
      <w:bookmarkStart w:id="153" w:name="_Toc123102457"/>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25"/>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79154675"/>
      <w:bookmarkStart w:id="155" w:name="_Toc176189764"/>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bCs/>
          <w:sz w:val="18"/>
          <w:szCs w:val="18"/>
        </w:rPr>
      </w:pPr>
      <w:permStart w:id="26" w:edGrp="everyone"/>
      <w:r>
        <w:rPr>
          <w:rFonts w:hint="eastAsia" w:ascii="宋体" w:hAnsi="宋体"/>
          <w:sz w:val="18"/>
          <w:szCs w:val="18"/>
        </w:rPr>
        <w:t>【</w:t>
      </w:r>
      <w:r>
        <w:rPr>
          <w:rFonts w:hint="eastAsia" w:ascii="宋体" w:hAnsi="宋体"/>
          <w:bCs/>
          <w:sz w:val="18"/>
          <w:szCs w:val="18"/>
        </w:rPr>
        <w:t>1.拟投资市场和资产的风险：</w:t>
      </w:r>
    </w:p>
    <w:p>
      <w:pPr>
        <w:spacing w:line="360" w:lineRule="auto"/>
        <w:ind w:firstLine="360" w:firstLineChars="200"/>
        <w:rPr>
          <w:rFonts w:ascii="宋体" w:hAnsi="宋体"/>
          <w:bCs/>
          <w:sz w:val="18"/>
          <w:szCs w:val="18"/>
        </w:rPr>
      </w:pPr>
      <w:r>
        <w:rPr>
          <w:rFonts w:hint="eastAsia" w:ascii="宋体" w:hAnsi="宋体"/>
          <w:bCs/>
          <w:sz w:val="18"/>
          <w:szCs w:val="18"/>
        </w:rPr>
        <w:t>（1）投资债权类资产的风险</w:t>
      </w:r>
    </w:p>
    <w:p>
      <w:pPr>
        <w:spacing w:line="360" w:lineRule="auto"/>
        <w:ind w:firstLine="360" w:firstLineChars="200"/>
        <w:rPr>
          <w:rFonts w:ascii="宋体" w:hAnsi="宋体"/>
          <w:bCs/>
          <w:sz w:val="18"/>
          <w:szCs w:val="18"/>
        </w:rPr>
      </w:pPr>
      <w:r>
        <w:rPr>
          <w:rFonts w:hint="eastAsia" w:ascii="宋体" w:hAnsi="宋体"/>
          <w:bCs/>
          <w:sz w:val="18"/>
          <w:szCs w:val="18"/>
        </w:rPr>
        <w:t>1）投资标准化债权类资产的风险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2）投资非标准化债权类资产的风险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（2）投资权益类资产的风险 </w:t>
      </w:r>
    </w:p>
    <w:p>
      <w:pPr>
        <w:spacing w:line="360" w:lineRule="auto"/>
        <w:ind w:firstLine="360" w:firstLineChars="200"/>
        <w:rPr>
          <w:rFonts w:ascii="宋体" w:hAnsi="宋体"/>
          <w:bCs/>
          <w:sz w:val="18"/>
          <w:szCs w:val="18"/>
        </w:rPr>
      </w:pPr>
      <w:r>
        <w:rPr>
          <w:rFonts w:hint="eastAsia" w:ascii="宋体" w:hAnsi="宋体"/>
          <w:bCs/>
          <w:sz w:val="18"/>
          <w:szCs w:val="18"/>
        </w:rPr>
        <w:t>1）投资股票类资产的风险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2）投资股权类资产的风险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（3）投资商品和金融衍生品类资产的风险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6"/>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pPr>
              <w:tabs>
                <w:tab w:val="left" w:pos="5609"/>
              </w:tabs>
              <w:spacing w:line="360" w:lineRule="auto"/>
              <w:ind w:firstLine="360"/>
              <w:jc w:val="left"/>
              <w:rPr>
                <w:rFonts w:cs="Arial"/>
                <w:sz w:val="18"/>
                <w:szCs w:val="18"/>
              </w:rPr>
            </w:pPr>
            <w:r>
              <w:rPr>
                <w:rFonts w:cs="Arial"/>
                <w:sz w:val="18"/>
                <w:szCs w:val="18"/>
              </w:rPr>
              <w:tab/>
            </w:r>
          </w:p>
          <w:p>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1" w:cryptProviderType="rsaAES" w:cryptAlgorithmClass="hash" w:cryptAlgorithmType="typeAny" w:cryptAlgorithmSid="14" w:cryptSpinCount="100000" w:hash="mfb1nq3uxpir52HiOg5tuWEWBcq5gP++FQs5Aydt9cE6NMoCz0kkqs0r9EiP+jsYTvueEjhAbHYb9/JVRjlKaA==" w:salt="0Xq7BYtjNMlgYlG1ZbAXIA=="/>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356786B"/>
    <w:rsid w:val="046E31C1"/>
    <w:rsid w:val="056C4F65"/>
    <w:rsid w:val="06F4696E"/>
    <w:rsid w:val="07245E56"/>
    <w:rsid w:val="072779FF"/>
    <w:rsid w:val="0C023D8C"/>
    <w:rsid w:val="0D7A5E66"/>
    <w:rsid w:val="0E94232E"/>
    <w:rsid w:val="0F1306D5"/>
    <w:rsid w:val="11295396"/>
    <w:rsid w:val="159578AA"/>
    <w:rsid w:val="163E2FB7"/>
    <w:rsid w:val="1A48157B"/>
    <w:rsid w:val="1ABE2ED9"/>
    <w:rsid w:val="1BD70953"/>
    <w:rsid w:val="1BF87698"/>
    <w:rsid w:val="1C78144D"/>
    <w:rsid w:val="1E585AB7"/>
    <w:rsid w:val="1EB160C2"/>
    <w:rsid w:val="1FF145B9"/>
    <w:rsid w:val="2193546F"/>
    <w:rsid w:val="23083986"/>
    <w:rsid w:val="23AF29A3"/>
    <w:rsid w:val="26123FD6"/>
    <w:rsid w:val="26F50BA9"/>
    <w:rsid w:val="29026D00"/>
    <w:rsid w:val="2A642791"/>
    <w:rsid w:val="2EA644DF"/>
    <w:rsid w:val="2FB532A0"/>
    <w:rsid w:val="319C4BEA"/>
    <w:rsid w:val="33DA2E89"/>
    <w:rsid w:val="34C829B2"/>
    <w:rsid w:val="35381804"/>
    <w:rsid w:val="3574351A"/>
    <w:rsid w:val="373F6109"/>
    <w:rsid w:val="386A3F56"/>
    <w:rsid w:val="3A810EF7"/>
    <w:rsid w:val="3C3802E9"/>
    <w:rsid w:val="3E0C1771"/>
    <w:rsid w:val="3E586AB8"/>
    <w:rsid w:val="3E5C1B1D"/>
    <w:rsid w:val="3EAE14E9"/>
    <w:rsid w:val="3EDB68D7"/>
    <w:rsid w:val="3FD261A6"/>
    <w:rsid w:val="40C011C7"/>
    <w:rsid w:val="4140692B"/>
    <w:rsid w:val="42EB2F9C"/>
    <w:rsid w:val="45226963"/>
    <w:rsid w:val="469F5C49"/>
    <w:rsid w:val="487C218A"/>
    <w:rsid w:val="4A102A7D"/>
    <w:rsid w:val="4D39606F"/>
    <w:rsid w:val="4F8E3D4D"/>
    <w:rsid w:val="4FA308F4"/>
    <w:rsid w:val="53B3493A"/>
    <w:rsid w:val="5537323C"/>
    <w:rsid w:val="55855837"/>
    <w:rsid w:val="56503211"/>
    <w:rsid w:val="57BD5DAE"/>
    <w:rsid w:val="58C7013F"/>
    <w:rsid w:val="598B567E"/>
    <w:rsid w:val="5BA577EB"/>
    <w:rsid w:val="5C624734"/>
    <w:rsid w:val="5FE91ABC"/>
    <w:rsid w:val="60D42826"/>
    <w:rsid w:val="628E734C"/>
    <w:rsid w:val="6580603B"/>
    <w:rsid w:val="68B96EA7"/>
    <w:rsid w:val="68C7223A"/>
    <w:rsid w:val="68EF6886"/>
    <w:rsid w:val="694A7300"/>
    <w:rsid w:val="699457CF"/>
    <w:rsid w:val="6EAC7F28"/>
    <w:rsid w:val="6FDD1093"/>
    <w:rsid w:val="709C0126"/>
    <w:rsid w:val="719B4A06"/>
    <w:rsid w:val="73EB7F47"/>
    <w:rsid w:val="76022652"/>
    <w:rsid w:val="768501BE"/>
    <w:rsid w:val="76C8601E"/>
    <w:rsid w:val="7D4731DB"/>
    <w:rsid w:val="7D80556D"/>
    <w:rsid w:val="7ED86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1EEDD527-97BA-47F6-B37E-95B51416FA3B}">
  <ds:schemaRefs/>
</ds:datastoreItem>
</file>

<file path=customXml/itemProps11.xml><?xml version="1.0" encoding="utf-8"?>
<ds:datastoreItem xmlns:ds="http://schemas.openxmlformats.org/officeDocument/2006/customXml" ds:itemID="{79B37214-9E52-4241-8DD2-9E9CD9442006}">
  <ds:schemaRefs/>
</ds:datastoreItem>
</file>

<file path=customXml/itemProps12.xml><?xml version="1.0" encoding="utf-8"?>
<ds:datastoreItem xmlns:ds="http://schemas.openxmlformats.org/officeDocument/2006/customXml" ds:itemID="{7E5C9D84-6DB6-48FB-8632-D5279FC233C8}">
  <ds:schemaRefs/>
</ds:datastoreItem>
</file>

<file path=customXml/itemProps13.xml><?xml version="1.0" encoding="utf-8"?>
<ds:datastoreItem xmlns:ds="http://schemas.openxmlformats.org/officeDocument/2006/customXml" ds:itemID="{2108FF18-8EC8-4170-A536-1AA8E39CC797}">
  <ds:schemaRefs/>
</ds:datastoreItem>
</file>

<file path=customXml/itemProps14.xml><?xml version="1.0" encoding="utf-8"?>
<ds:datastoreItem xmlns:ds="http://schemas.openxmlformats.org/officeDocument/2006/customXml" ds:itemID="{E6D3D55C-3DD8-4C31-8069-E5508DD844FB}">
  <ds:schemaRefs/>
</ds:datastoreItem>
</file>

<file path=customXml/itemProps15.xml><?xml version="1.0" encoding="utf-8"?>
<ds:datastoreItem xmlns:ds="http://schemas.openxmlformats.org/officeDocument/2006/customXml" ds:itemID="{EC45DDBE-A426-47CA-BC62-D025DE29F1BC}">
  <ds:schemaRefs/>
</ds:datastoreItem>
</file>

<file path=customXml/itemProps16.xml><?xml version="1.0" encoding="utf-8"?>
<ds:datastoreItem xmlns:ds="http://schemas.openxmlformats.org/officeDocument/2006/customXml" ds:itemID="{BEEE0313-55EB-45FA-BBBD-C0232D367255}">
  <ds:schemaRefs/>
</ds:datastoreItem>
</file>

<file path=customXml/itemProps17.xml><?xml version="1.0" encoding="utf-8"?>
<ds:datastoreItem xmlns:ds="http://schemas.openxmlformats.org/officeDocument/2006/customXml" ds:itemID="{1A3BDF38-4832-4575-A8AB-7A1679738229}">
  <ds:schemaRefs/>
</ds:datastoreItem>
</file>

<file path=customXml/itemProps18.xml><?xml version="1.0" encoding="utf-8"?>
<ds:datastoreItem xmlns:ds="http://schemas.openxmlformats.org/officeDocument/2006/customXml" ds:itemID="{CF487381-D648-48A1-B1E4-A4540B0D3650}">
  <ds:schemaRefs/>
</ds:datastoreItem>
</file>

<file path=customXml/itemProps2.xml><?xml version="1.0" encoding="utf-8"?>
<ds:datastoreItem xmlns:ds="http://schemas.openxmlformats.org/officeDocument/2006/customXml" ds:itemID="{509BA638-9D3A-4AA3-A169-FF78BC0E4BE9}">
  <ds:schemaRefs/>
</ds:datastoreItem>
</file>

<file path=customXml/itemProps3.xml><?xml version="1.0" encoding="utf-8"?>
<ds:datastoreItem xmlns:ds="http://schemas.openxmlformats.org/officeDocument/2006/customXml" ds:itemID="{AC86F3EB-DB57-4B60-8A7E-BBB67A22EE0B}">
  <ds:schemaRefs/>
</ds:datastoreItem>
</file>

<file path=customXml/itemProps4.xml><?xml version="1.0" encoding="utf-8"?>
<ds:datastoreItem xmlns:ds="http://schemas.openxmlformats.org/officeDocument/2006/customXml" ds:itemID="{D902962D-C8CC-43BF-804A-CD60AE6D7475}">
  <ds:schemaRefs/>
</ds:datastoreItem>
</file>

<file path=customXml/itemProps5.xml><?xml version="1.0" encoding="utf-8"?>
<ds:datastoreItem xmlns:ds="http://schemas.openxmlformats.org/officeDocument/2006/customXml" ds:itemID="{0A7AA9EF-3B8C-4BAA-9155-A6E3E5337D3C}">
  <ds:schemaRefs/>
</ds:datastoreItem>
</file>

<file path=customXml/itemProps6.xml><?xml version="1.0" encoding="utf-8"?>
<ds:datastoreItem xmlns:ds="http://schemas.openxmlformats.org/officeDocument/2006/customXml" ds:itemID="{3A3C3A8D-C5E4-45AF-8B48-C3BF528808AD}">
  <ds:schemaRefs/>
</ds:datastoreItem>
</file>

<file path=customXml/itemProps7.xml><?xml version="1.0" encoding="utf-8"?>
<ds:datastoreItem xmlns:ds="http://schemas.openxmlformats.org/officeDocument/2006/customXml" ds:itemID="{A06CD169-7F5C-4082-81B2-6ECAA9AF6149}">
  <ds:schemaRefs/>
</ds:datastoreItem>
</file>

<file path=customXml/itemProps8.xml><?xml version="1.0" encoding="utf-8"?>
<ds:datastoreItem xmlns:ds="http://schemas.openxmlformats.org/officeDocument/2006/customXml" ds:itemID="{1990A2D8-324F-45D5-B9CD-07245ED2860B}">
  <ds:schemaRefs/>
</ds:datastoreItem>
</file>

<file path=customXml/itemProps9.xml><?xml version="1.0" encoding="utf-8"?>
<ds:datastoreItem xmlns:ds="http://schemas.openxmlformats.org/officeDocument/2006/customXml" ds:itemID="{9114D43D-ED98-4C7B-A3AE-26D78B80CA8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3557</Words>
  <Characters>20276</Characters>
  <Lines>168</Lines>
  <Paragraphs>47</Paragraphs>
  <TotalTime>2</TotalTime>
  <ScaleCrop>false</ScaleCrop>
  <LinksUpToDate>false</LinksUpToDate>
  <CharactersWithSpaces>23786</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2024-03-04T02:34:00Z</dcterms:created>
  <dc:creator>张淼雯</dc:creator>
  <cp:lastModifiedBy>cib</cp:lastModifiedBy>
  <cp:lastPrinted>2020-09-21T06:35:00Z</cp:lastPrinted>
  <dcterms:modified xsi:type="dcterms:W3CDTF">2025-05-20T06:47:54Z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0EC4E53844084BB8BF9E6D0327B3F36C</vt:lpwstr>
  </property>
</Properties>
</file>