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w:t>
      </w:r>
      <w:permStart w:id="0" w:edGrp="everyone"/>
      <w:r>
        <w:rPr>
          <w:rFonts w:hint="eastAsia" w:ascii="黑体" w:hAnsi="黑体" w:eastAsia="黑体"/>
          <w:b/>
          <w:sz w:val="44"/>
          <w:szCs w:val="44"/>
        </w:rPr>
        <w:t>【稳利恒盈封闭式固收类】</w:t>
      </w:r>
      <w:permEnd w:id="0"/>
      <w:r>
        <w:rPr>
          <w:rFonts w:hint="eastAsia" w:ascii="黑体" w:hAnsi="黑体" w:eastAsia="黑体"/>
          <w:b/>
          <w:sz w:val="44"/>
          <w:szCs w:val="44"/>
        </w:rPr>
        <w:t>理财产品</w:t>
      </w:r>
    </w:p>
    <w:p>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c>
          <w:tcPr>
            <w:tcW w:w="993"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1" w:edGrp="everyone"/>
            <w:r>
              <w:rPr>
                <w:rFonts w:hint="eastAsia" w:ascii="宋体" w:hAnsi="宋体"/>
                <w:kern w:val="0"/>
                <w:sz w:val="20"/>
                <w:szCs w:val="21"/>
              </w:rPr>
              <w:t>【稳利恒盈封闭式固收类】</w:t>
            </w:r>
            <w:permEnd w:id="1"/>
            <w:r>
              <w:rPr>
                <w:rFonts w:hint="eastAsia" w:ascii="宋体" w:hAnsi="宋体"/>
                <w:kern w:val="0"/>
                <w:sz w:val="20"/>
                <w:szCs w:val="21"/>
              </w:rPr>
              <w:t>理财产品投资协议书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2" w:edGrp="everyone"/>
            <w:r>
              <w:rPr>
                <w:rFonts w:hint="eastAsia" w:ascii="宋体" w:hAnsi="宋体"/>
                <w:kern w:val="0"/>
                <w:sz w:val="20"/>
                <w:szCs w:val="21"/>
              </w:rPr>
              <w:t>【稳利恒盈封闭式固收类】</w:t>
            </w:r>
            <w:permEnd w:id="2"/>
            <w:r>
              <w:rPr>
                <w:rFonts w:hint="eastAsia" w:ascii="宋体" w:hAnsi="宋体"/>
                <w:kern w:val="0"/>
                <w:sz w:val="20"/>
                <w:szCs w:val="21"/>
              </w:rPr>
              <w:t>理财产品产品说明书</w:t>
            </w:r>
          </w:p>
        </w:tc>
        <w:tc>
          <w:tcPr>
            <w:tcW w:w="2107"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 w:val="20"/>
                <w:szCs w:val="21"/>
              </w:rPr>
            </w:pPr>
            <w:r>
              <w:rPr>
                <w:rFonts w:ascii="宋体" w:hAnsi="宋体"/>
                <w:kern w:val="0"/>
                <w:sz w:val="20"/>
                <w:szCs w:val="21"/>
              </w:rPr>
              <w:t>3</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3" w:edGrp="everyone"/>
            <w:r>
              <w:rPr>
                <w:rFonts w:hint="eastAsia" w:ascii="宋体" w:hAnsi="宋体"/>
                <w:kern w:val="0"/>
                <w:sz w:val="20"/>
                <w:szCs w:val="21"/>
              </w:rPr>
              <w:t>【稳利恒盈封闭式固收类】</w:t>
            </w:r>
            <w:permEnd w:id="3"/>
            <w:r>
              <w:rPr>
                <w:rFonts w:hint="eastAsia" w:ascii="宋体" w:hAnsi="宋体"/>
                <w:kern w:val="0"/>
                <w:sz w:val="20"/>
                <w:szCs w:val="21"/>
              </w:rPr>
              <w:t>理财产品（代理）销售协议书</w:t>
            </w:r>
          </w:p>
        </w:tc>
        <w:tc>
          <w:tcPr>
            <w:tcW w:w="2107"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4" w:edGrp="everyone"/>
            <w:r>
              <w:rPr>
                <w:rFonts w:hint="eastAsia" w:ascii="宋体" w:hAnsi="宋体"/>
                <w:kern w:val="0"/>
                <w:sz w:val="20"/>
                <w:szCs w:val="21"/>
              </w:rPr>
              <w:t>【稳利恒盈封闭式固收类】</w:t>
            </w:r>
            <w:permEnd w:id="4"/>
            <w:r>
              <w:rPr>
                <w:rFonts w:hint="eastAsia" w:ascii="宋体" w:hAnsi="宋体"/>
                <w:kern w:val="0"/>
                <w:sz w:val="20"/>
                <w:szCs w:val="21"/>
              </w:rPr>
              <w:t>理财产品风险揭示书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5" w:edGrp="everyone"/>
            <w:r>
              <w:rPr>
                <w:rFonts w:hint="eastAsia" w:ascii="宋体" w:hAnsi="宋体"/>
                <w:kern w:val="0"/>
                <w:sz w:val="20"/>
                <w:szCs w:val="21"/>
              </w:rPr>
              <w:t>【稳利恒盈封闭式固收类】</w:t>
            </w:r>
            <w:permEnd w:id="5"/>
            <w:r>
              <w:rPr>
                <w:rFonts w:hint="eastAsia" w:ascii="宋体" w:hAnsi="宋体"/>
                <w:kern w:val="0"/>
                <w:sz w:val="20"/>
                <w:szCs w:val="21"/>
              </w:rPr>
              <w:t>理财产品投资者权益须知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银保监会令2021年第4号）第29条规定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ind w:firstLine="420" w:firstLineChars="200"/>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w:t>
      </w:r>
      <w:permStart w:id="6" w:edGrp="everyone"/>
      <w:r>
        <w:rPr>
          <w:rStyle w:val="27"/>
          <w:rFonts w:hint="eastAsia" w:ascii="黑体" w:hAnsi="黑体" w:eastAsia="黑体" w:cs="宋体"/>
          <w:sz w:val="44"/>
          <w:szCs w:val="44"/>
        </w:rPr>
        <w:t>【</w:t>
      </w:r>
      <w:r>
        <w:rPr>
          <w:rFonts w:hint="eastAsia" w:ascii="黑体" w:hAnsi="黑体" w:eastAsia="黑体"/>
          <w:b/>
          <w:sz w:val="44"/>
          <w:szCs w:val="44"/>
        </w:rPr>
        <w:t>稳利恒盈封闭式固收类</w:t>
      </w:r>
      <w:r>
        <w:rPr>
          <w:rStyle w:val="27"/>
          <w:rFonts w:hint="eastAsia" w:ascii="黑体" w:hAnsi="黑体" w:eastAsia="黑体" w:cs="宋体"/>
          <w:sz w:val="44"/>
          <w:szCs w:val="44"/>
        </w:rPr>
        <w:t>】</w:t>
      </w:r>
      <w:permEnd w:id="6"/>
      <w:r>
        <w:rPr>
          <w:rStyle w:val="27"/>
          <w:rFonts w:hint="eastAsia" w:ascii="黑体" w:hAnsi="黑体" w:eastAsia="黑体" w:cs="宋体"/>
          <w:sz w:val="44"/>
          <w:szCs w:val="44"/>
        </w:rPr>
        <w:t>理财产品</w:t>
      </w: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23701383"/>
      <w:bookmarkStart w:id="1" w:name="_Toc123112224"/>
      <w:bookmarkStart w:id="2" w:name="_Toc123112263"/>
      <w:bookmarkStart w:id="3" w:name="_Toc139991726"/>
      <w:bookmarkStart w:id="4" w:name="_Toc139992301"/>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23112264"/>
      <w:bookmarkStart w:id="6" w:name="_Toc123701384"/>
      <w:bookmarkStart w:id="7" w:name="_Toc139991727"/>
      <w:bookmarkStart w:id="8" w:name="_Toc139992302"/>
      <w:bookmarkStart w:id="9" w:name="_Toc123112225"/>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w:t>
      </w:r>
      <w:r>
        <w:rPr>
          <w:rStyle w:val="27"/>
          <w:rFonts w:hint="eastAsia" w:ascii="宋体" w:hAnsi="宋体"/>
          <w:sz w:val="28"/>
          <w:szCs w:val="28"/>
          <w:lang w:val="en-US" w:eastAsia="zh-CN"/>
        </w:rPr>
        <w:t>2025</w:t>
      </w:r>
      <w:r>
        <w:rPr>
          <w:rStyle w:val="27"/>
          <w:rFonts w:hint="eastAsia" w:ascii="宋体" w:hAnsi="宋体"/>
          <w:sz w:val="28"/>
          <w:szCs w:val="28"/>
        </w:rPr>
        <w:t>】年【</w:t>
      </w:r>
      <w:r>
        <w:rPr>
          <w:rStyle w:val="27"/>
          <w:rFonts w:hint="eastAsia" w:ascii="宋体" w:hAnsi="宋体"/>
          <w:sz w:val="28"/>
          <w:szCs w:val="28"/>
          <w:lang w:val="en-US" w:eastAsia="zh-CN"/>
        </w:rPr>
        <w:t>05</w:t>
      </w:r>
      <w:r>
        <w:rPr>
          <w:rStyle w:val="27"/>
          <w:rFonts w:hint="eastAsia" w:ascii="宋体" w:hAnsi="宋体"/>
          <w:sz w:val="28"/>
          <w:szCs w:val="28"/>
        </w:rPr>
        <w:t>】月</w:t>
      </w:r>
      <w:permEnd w:id="8"/>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w:t>
            </w:r>
            <w:r>
              <w:rPr>
                <w:rFonts w:ascii="黑体" w:hAnsi="黑体" w:eastAsia="黑体"/>
                <w:bCs/>
                <w:sz w:val="18"/>
                <w:szCs w:val="18"/>
              </w:rPr>
              <w:t>收益</w:t>
            </w:r>
            <w:r>
              <w:rPr>
                <w:rFonts w:hint="eastAsia" w:ascii="黑体" w:hAnsi="黑体" w:eastAsia="黑体"/>
                <w:bCs/>
                <w:sz w:val="18"/>
                <w:szCs w:val="18"/>
              </w:rPr>
              <w:t>，投资须谨慎。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银保监会令2021年第4号）第29条规定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1）情形1：所有销售文件都由产品管理人统一编制。其中，《投资协议书</w:t>
            </w:r>
            <w:r>
              <w:rPr>
                <w:rFonts w:hint="eastAsia" w:ascii="黑体" w:hAnsi="黑体" w:eastAsia="黑体"/>
                <w:bCs/>
                <w:sz w:val="18"/>
                <w:szCs w:val="18"/>
              </w:rPr>
              <w:t>》《产品说明书》《（代理）销售协议书》《风险揭示书》《投资者权益须知》等销售文件均由产品管理人统一编制。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2）情形2：部分销售文件由代理销售机构进行编制。其中，《投资协议书》和《产品说明书》由产品管理人统一编制；《（代理）销售协议书</w:t>
            </w:r>
            <w:r>
              <w:rPr>
                <w:rFonts w:hint="eastAsia" w:ascii="黑体" w:hAnsi="黑体" w:eastAsia="黑体"/>
                <w:bCs/>
                <w:sz w:val="18"/>
                <w:szCs w:val="18"/>
              </w:rPr>
              <w:t>》《风险揭示书》《投资者权益须知》等销售文件，此等销售文件中的之一或之二或全部，由于代理销售机构的需求而由理财公司委托代理销售机构进行编制。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w:t>
            </w:r>
            <w:r>
              <w:rPr>
                <w:rFonts w:ascii="黑体" w:hAnsi="黑体" w:eastAsia="黑体"/>
                <w:sz w:val="18"/>
                <w:szCs w:val="18"/>
              </w:rPr>
              <w:t>IPO或并购重组涉及的股东穿透核查或根据其他有权机关或监管要求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pStyle w:val="21"/>
              <w:snapToGrid w:val="0"/>
              <w:spacing w:before="0" w:beforeAutospacing="0" w:after="0" w:afterAutospacing="0" w:line="360" w:lineRule="auto"/>
              <w:jc w:val="both"/>
              <w:rPr>
                <w:rFonts w:ascii="黑体" w:hAnsi="黑体" w:eastAsia="黑体"/>
                <w:bCs/>
                <w:sz w:val="18"/>
                <w:szCs w:val="18"/>
              </w:rPr>
            </w:pPr>
          </w:p>
          <w:p>
            <w:pPr>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21"/>
              <w:snapToGrid w:val="0"/>
              <w:spacing w:before="0" w:beforeAutospacing="0" w:after="0" w:afterAutospacing="0"/>
              <w:jc w:val="both"/>
              <w:rPr>
                <w:rFonts w:ascii="黑体" w:hAnsi="黑体" w:eastAsia="黑体"/>
                <w:bCs/>
                <w:sz w:val="18"/>
                <w:szCs w:val="18"/>
              </w:rPr>
            </w:pPr>
          </w:p>
          <w:p>
            <w:pPr>
              <w:pStyle w:val="21"/>
              <w:numPr>
                <w:ilvl w:val="255"/>
                <w:numId w:val="0"/>
              </w:numPr>
              <w:snapToGrid w:val="0"/>
              <w:spacing w:before="0" w:beforeAutospacing="0" w:after="0" w:afterAutospacing="0"/>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tabs>
                <w:tab w:val="left" w:pos="8070"/>
                <w:tab w:val="right" w:pos="8306"/>
              </w:tabs>
              <w:autoSpaceDE w:val="0"/>
              <w:autoSpaceDN w:val="0"/>
              <w:adjustRightInd w:val="0"/>
              <w:snapToGrid w:val="0"/>
              <w:spacing w:before="156" w:beforeLines="50"/>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112227"/>
      <w:bookmarkStart w:id="11" w:name="_Toc139991729"/>
      <w:bookmarkStart w:id="12" w:name="_Toc123112266"/>
      <w:bookmarkStart w:id="13" w:name="_Toc123701386"/>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permStart w:id="9" w:edGrp="everyone" w:colFirst="3" w:colLast="3"/>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个人投资者适用</w:t>
            </w: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姓名</w:t>
            </w:r>
          </w:p>
        </w:tc>
        <w:tc>
          <w:tcPr>
            <w:tcW w:w="6389" w:type="dxa"/>
            <w:gridSpan w:val="3"/>
            <w:shd w:val="solid" w:color="FFFFFF" w:fill="FFFFFF"/>
            <w:vAlign w:val="center"/>
          </w:tcPr>
          <w:p>
            <w:pPr>
              <w:spacing w:line="360" w:lineRule="auto"/>
              <w:jc w:val="left"/>
              <w:rPr>
                <w:rFonts w:ascii="宋体" w:hAnsi="宋体"/>
                <w:bCs/>
                <w:sz w:val="18"/>
                <w:szCs w:val="18"/>
              </w:rPr>
            </w:pPr>
          </w:p>
        </w:tc>
      </w:tr>
      <w:permEnd w:id="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0" w:edGrp="everyone" w:colFirst="3" w:colLast="3"/>
            <w:permStart w:id="11" w:edGrp="everyone" w:colFirst="5" w:colLast="5"/>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证件类型</w:t>
            </w:r>
          </w:p>
        </w:tc>
        <w:tc>
          <w:tcPr>
            <w:tcW w:w="1854" w:type="dxa"/>
            <w:shd w:val="solid" w:color="FFFFFF" w:fill="FFFFFF"/>
            <w:vAlign w:val="center"/>
          </w:tcPr>
          <w:p>
            <w:pPr>
              <w:spacing w:line="360" w:lineRule="auto"/>
              <w:jc w:val="left"/>
              <w:rPr>
                <w:rFonts w:ascii="宋体" w:hAnsi="宋体"/>
                <w:bCs/>
                <w:sz w:val="18"/>
                <w:szCs w:val="18"/>
              </w:rPr>
            </w:pPr>
          </w:p>
        </w:tc>
        <w:tc>
          <w:tcPr>
            <w:tcW w:w="1417"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证件号码</w:t>
            </w:r>
          </w:p>
        </w:tc>
        <w:tc>
          <w:tcPr>
            <w:tcW w:w="3118" w:type="dxa"/>
            <w:shd w:val="solid" w:color="FFFFFF" w:fill="FFFFFF"/>
            <w:vAlign w:val="center"/>
          </w:tcPr>
          <w:p>
            <w:pPr>
              <w:spacing w:line="360" w:lineRule="auto"/>
              <w:jc w:val="left"/>
              <w:rPr>
                <w:rFonts w:ascii="宋体" w:hAnsi="宋体"/>
                <w:bCs/>
                <w:sz w:val="18"/>
                <w:szCs w:val="18"/>
              </w:rPr>
            </w:pPr>
          </w:p>
        </w:tc>
      </w:tr>
      <w:permEnd w:id="10"/>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2" w:edGrp="everyone" w:colFirst="3" w:colLast="3"/>
            <w:permStart w:id="13" w:edGrp="everyone" w:colFirst="5" w:colLast="5"/>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联系电话</w:t>
            </w:r>
          </w:p>
        </w:tc>
        <w:tc>
          <w:tcPr>
            <w:tcW w:w="1854" w:type="dxa"/>
            <w:shd w:val="solid" w:color="FFFFFF" w:fill="FFFFFF"/>
            <w:vAlign w:val="center"/>
          </w:tcPr>
          <w:p>
            <w:pPr>
              <w:spacing w:line="360" w:lineRule="auto"/>
              <w:jc w:val="left"/>
              <w:rPr>
                <w:rFonts w:ascii="宋体" w:hAnsi="宋体"/>
                <w:bCs/>
                <w:sz w:val="18"/>
                <w:szCs w:val="18"/>
              </w:rPr>
            </w:pPr>
          </w:p>
        </w:tc>
        <w:tc>
          <w:tcPr>
            <w:tcW w:w="1417"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电子邮箱</w:t>
            </w:r>
          </w:p>
        </w:tc>
        <w:tc>
          <w:tcPr>
            <w:tcW w:w="3118" w:type="dxa"/>
            <w:shd w:val="solid" w:color="FFFFFF" w:fill="FFFFFF"/>
            <w:vAlign w:val="center"/>
          </w:tcPr>
          <w:p>
            <w:pPr>
              <w:spacing w:line="360" w:lineRule="auto"/>
              <w:jc w:val="left"/>
              <w:rPr>
                <w:rFonts w:ascii="宋体" w:hAnsi="宋体"/>
                <w:bCs/>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4" w:edGrp="everyone" w:colFirst="3" w:colLast="3"/>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联系地址</w:t>
            </w:r>
          </w:p>
        </w:tc>
        <w:tc>
          <w:tcPr>
            <w:tcW w:w="6389" w:type="dxa"/>
            <w:gridSpan w:val="3"/>
            <w:shd w:val="solid" w:color="FFFFFF" w:fill="FFFFFF"/>
            <w:vAlign w:val="center"/>
          </w:tcPr>
          <w:p>
            <w:pPr>
              <w:spacing w:line="360" w:lineRule="auto"/>
              <w:jc w:val="left"/>
              <w:rPr>
                <w:rFonts w:ascii="宋体" w:hAnsi="宋体"/>
                <w:bCs/>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9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5" w:edGrp="everyone" w:colFirst="3" w:colLast="3"/>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Cs/>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6" w:edGrp="everyone" w:colFirst="3" w:colLast="3"/>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w:t>
            </w:r>
            <w:r>
              <w:rPr>
                <w:rFonts w:ascii="宋体" w:hAnsi="宋体"/>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1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17"/>
      <w:permEnd w:id="1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1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20"/>
      <w:permEnd w:id="2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2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2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permStart w:id="24" w:edGrp="everyone"/>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Cs/>
                <w:sz w:val="18"/>
                <w:szCs w:val="18"/>
              </w:rPr>
            </w:pPr>
            <w:r>
              <w:rPr>
                <w:rFonts w:hint="eastAsia" w:hAnsi="宋体"/>
                <w:sz w:val="18"/>
                <w:szCs w:val="18"/>
              </w:rPr>
              <w:t>★</w:t>
            </w:r>
            <w:r>
              <w:rPr>
                <w:rFonts w:hint="eastAsia" w:ascii="宋体" w:hAnsi="宋体"/>
                <w:bCs/>
                <w:sz w:val="18"/>
                <w:szCs w:val="18"/>
              </w:rPr>
              <w:t>理财产品名称</w:t>
            </w:r>
          </w:p>
        </w:tc>
        <w:tc>
          <w:tcPr>
            <w:tcW w:w="6389" w:type="dxa"/>
            <w:gridSpan w:val="3"/>
            <w:shd w:val="solid" w:color="FFFFFF" w:fill="FFFFFF"/>
            <w:vAlign w:val="top"/>
          </w:tcPr>
          <w:p>
            <w:pPr>
              <w:spacing w:line="360" w:lineRule="auto"/>
              <w:jc w:val="left"/>
              <w:rPr>
                <w:rFonts w:ascii="宋体" w:hAnsi="宋体"/>
                <w:bCs/>
                <w:sz w:val="18"/>
                <w:szCs w:val="18"/>
              </w:rPr>
            </w:pPr>
            <w:r>
              <w:rPr>
                <w:rFonts w:hint="eastAsia" w:ascii="宋体" w:hAnsi="宋体"/>
                <w:bCs/>
                <w:sz w:val="18"/>
                <w:szCs w:val="18"/>
              </w:rPr>
              <w:t>【</w:t>
            </w:r>
            <w:r>
              <w:rPr>
                <w:rFonts w:hint="eastAsia" w:ascii="宋体" w:hAnsi="宋体"/>
                <w:bCs/>
                <w:color w:val="auto"/>
                <w:sz w:val="18"/>
                <w:szCs w:val="18"/>
              </w:rPr>
              <w:t>兴银理财稳利恒盈封闭式2025年</w:t>
            </w:r>
            <w:r>
              <w:rPr>
                <w:rFonts w:hint="eastAsia" w:ascii="宋体" w:hAnsi="宋体"/>
                <w:bCs/>
                <w:color w:val="auto"/>
                <w:sz w:val="18"/>
                <w:szCs w:val="18"/>
                <w:lang w:eastAsia="zh-CN"/>
              </w:rPr>
              <w:t>520期</w:t>
            </w:r>
            <w:r>
              <w:rPr>
                <w:rFonts w:hint="eastAsia" w:ascii="宋体" w:hAnsi="宋体"/>
                <w:bCs/>
                <w:color w:val="auto"/>
                <w:sz w:val="18"/>
                <w:szCs w:val="18"/>
              </w:rPr>
              <w:t>固收类理财产品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hAnsi="宋体"/>
                <w:sz w:val="18"/>
                <w:szCs w:val="18"/>
              </w:rPr>
              <w:t>★</w:t>
            </w:r>
            <w:r>
              <w:rPr>
                <w:rFonts w:hint="eastAsia" w:ascii="宋体" w:hAnsi="宋体"/>
                <w:bCs/>
                <w:sz w:val="18"/>
                <w:szCs w:val="18"/>
              </w:rPr>
              <w:t>产品销售名称</w:t>
            </w:r>
          </w:p>
        </w:tc>
        <w:tc>
          <w:tcPr>
            <w:tcW w:w="6389" w:type="dxa"/>
            <w:gridSpan w:val="3"/>
            <w:shd w:val="solid" w:color="FFFFFF" w:fill="FFFFFF"/>
            <w:vAlign w:val="center"/>
          </w:tcPr>
          <w:p>
            <w:pPr>
              <w:spacing w:line="360" w:lineRule="auto"/>
              <w:jc w:val="left"/>
              <w:rPr>
                <w:rFonts w:hint="eastAsia" w:ascii="宋体" w:hAnsi="宋体"/>
                <w:bCs/>
                <w:color w:val="auto"/>
                <w:sz w:val="18"/>
                <w:szCs w:val="18"/>
              </w:rPr>
            </w:pPr>
            <w:r>
              <w:rPr>
                <w:rFonts w:hint="eastAsia" w:ascii="宋体" w:hAnsi="宋体"/>
                <w:bCs/>
                <w:color w:val="auto"/>
                <w:sz w:val="18"/>
                <w:szCs w:val="18"/>
              </w:rPr>
              <w:t>【</w:t>
            </w:r>
            <w:r>
              <w:rPr>
                <w:rFonts w:hint="eastAsia" w:asciiTheme="majorEastAsia" w:hAnsiTheme="majorEastAsia" w:eastAsiaTheme="majorEastAsia"/>
                <w:bCs/>
                <w:color w:val="auto"/>
                <w:kern w:val="0"/>
                <w:sz w:val="18"/>
                <w:szCs w:val="18"/>
              </w:rPr>
              <w:t>稳利恒盈封闭2025年</w:t>
            </w:r>
            <w:r>
              <w:rPr>
                <w:rFonts w:hint="eastAsia" w:asciiTheme="majorEastAsia" w:hAnsiTheme="majorEastAsia" w:eastAsiaTheme="majorEastAsia"/>
                <w:bCs/>
                <w:color w:val="auto"/>
                <w:kern w:val="0"/>
                <w:sz w:val="18"/>
                <w:szCs w:val="18"/>
                <w:lang w:eastAsia="zh-CN"/>
              </w:rPr>
              <w:t>520期</w:t>
            </w:r>
            <w:r>
              <w:rPr>
                <w:rFonts w:hint="eastAsia" w:asciiTheme="majorEastAsia" w:hAnsiTheme="majorEastAsia" w:eastAsiaTheme="majorEastAsia"/>
                <w:bCs/>
                <w:color w:val="auto"/>
                <w:kern w:val="0"/>
                <w:sz w:val="18"/>
                <w:szCs w:val="18"/>
              </w:rPr>
              <w:t>14M(纯盈颐养款)A</w:t>
            </w:r>
            <w:r>
              <w:rPr>
                <w:rFonts w:hint="eastAsia" w:ascii="宋体" w:hAnsi="宋体"/>
                <w:bCs/>
                <w:color w:val="auto"/>
                <w:sz w:val="18"/>
                <w:szCs w:val="18"/>
              </w:rPr>
              <w:t>】（适用【A】类份额）</w:t>
            </w:r>
          </w:p>
          <w:p>
            <w:pPr>
              <w:spacing w:line="360" w:lineRule="auto"/>
              <w:jc w:val="left"/>
              <w:rPr>
                <w:rFonts w:hint="eastAsia" w:ascii="宋体" w:hAnsi="宋体"/>
                <w:bCs/>
                <w:color w:val="auto"/>
                <w:sz w:val="18"/>
                <w:szCs w:val="18"/>
              </w:rPr>
            </w:pPr>
            <w:r>
              <w:rPr>
                <w:rFonts w:hint="eastAsia" w:ascii="宋体" w:hAnsi="宋体"/>
                <w:bCs/>
                <w:color w:val="auto"/>
                <w:sz w:val="18"/>
                <w:szCs w:val="18"/>
              </w:rPr>
              <w:t>【</w:t>
            </w:r>
            <w:r>
              <w:rPr>
                <w:rFonts w:hint="eastAsia" w:asciiTheme="majorEastAsia" w:hAnsiTheme="majorEastAsia" w:eastAsiaTheme="majorEastAsia"/>
                <w:bCs/>
                <w:color w:val="auto"/>
                <w:kern w:val="0"/>
                <w:sz w:val="18"/>
                <w:szCs w:val="18"/>
              </w:rPr>
              <w:t>稳利恒盈封闭2025年</w:t>
            </w:r>
            <w:r>
              <w:rPr>
                <w:rFonts w:hint="eastAsia" w:asciiTheme="majorEastAsia" w:hAnsiTheme="majorEastAsia" w:eastAsiaTheme="majorEastAsia"/>
                <w:bCs/>
                <w:color w:val="auto"/>
                <w:kern w:val="0"/>
                <w:sz w:val="18"/>
                <w:szCs w:val="18"/>
                <w:lang w:eastAsia="zh-CN"/>
              </w:rPr>
              <w:t>520期</w:t>
            </w:r>
            <w:r>
              <w:rPr>
                <w:rFonts w:hint="eastAsia" w:asciiTheme="majorEastAsia" w:hAnsiTheme="majorEastAsia" w:eastAsiaTheme="majorEastAsia"/>
                <w:bCs/>
                <w:color w:val="auto"/>
                <w:kern w:val="0"/>
                <w:sz w:val="18"/>
                <w:szCs w:val="18"/>
              </w:rPr>
              <w:t>14M(纯盈颐养款)B</w:t>
            </w:r>
            <w:r>
              <w:rPr>
                <w:rFonts w:hint="eastAsia" w:ascii="宋体" w:hAnsi="宋体"/>
                <w:bCs/>
                <w:color w:val="auto"/>
                <w:sz w:val="18"/>
                <w:szCs w:val="18"/>
              </w:rPr>
              <w:t>】（适用【</w:t>
            </w:r>
            <w:r>
              <w:rPr>
                <w:rFonts w:hint="eastAsia" w:ascii="宋体" w:hAnsi="宋体"/>
                <w:bCs/>
                <w:color w:val="auto"/>
                <w:sz w:val="18"/>
                <w:szCs w:val="18"/>
                <w:lang w:val="en-US" w:eastAsia="zh-CN"/>
              </w:rPr>
              <w:t>B</w:t>
            </w:r>
            <w:r>
              <w:rPr>
                <w:rFonts w:hint="eastAsia" w:ascii="宋体" w:hAnsi="宋体"/>
                <w:bCs/>
                <w:color w:val="auto"/>
                <w:sz w:val="18"/>
                <w:szCs w:val="18"/>
              </w:rPr>
              <w:t>】类份额）</w:t>
            </w:r>
          </w:p>
          <w:p>
            <w:pPr>
              <w:spacing w:line="360" w:lineRule="auto"/>
              <w:jc w:val="left"/>
              <w:rPr>
                <w:rFonts w:hint="eastAsia" w:ascii="宋体" w:hAnsi="宋体"/>
                <w:bCs/>
                <w:color w:val="auto"/>
                <w:sz w:val="18"/>
                <w:szCs w:val="18"/>
              </w:rPr>
            </w:pPr>
            <w:r>
              <w:rPr>
                <w:rFonts w:hint="eastAsia" w:ascii="宋体" w:hAnsi="宋体"/>
                <w:bCs/>
                <w:color w:val="auto"/>
                <w:sz w:val="18"/>
                <w:szCs w:val="18"/>
              </w:rPr>
              <w:t>【</w:t>
            </w:r>
            <w:r>
              <w:rPr>
                <w:rFonts w:hint="eastAsia" w:asciiTheme="majorEastAsia" w:hAnsiTheme="majorEastAsia" w:eastAsiaTheme="majorEastAsia"/>
                <w:bCs/>
                <w:color w:val="auto"/>
                <w:kern w:val="0"/>
                <w:sz w:val="18"/>
                <w:szCs w:val="18"/>
              </w:rPr>
              <w:t>稳利恒盈封闭2025年</w:t>
            </w:r>
            <w:r>
              <w:rPr>
                <w:rFonts w:hint="eastAsia" w:asciiTheme="majorEastAsia" w:hAnsiTheme="majorEastAsia" w:eastAsiaTheme="majorEastAsia"/>
                <w:bCs/>
                <w:color w:val="auto"/>
                <w:kern w:val="0"/>
                <w:sz w:val="18"/>
                <w:szCs w:val="18"/>
                <w:lang w:eastAsia="zh-CN"/>
              </w:rPr>
              <w:t>520期</w:t>
            </w:r>
            <w:r>
              <w:rPr>
                <w:rFonts w:hint="eastAsia" w:asciiTheme="majorEastAsia" w:hAnsiTheme="majorEastAsia" w:eastAsiaTheme="majorEastAsia"/>
                <w:bCs/>
                <w:color w:val="auto"/>
                <w:kern w:val="0"/>
                <w:sz w:val="18"/>
                <w:szCs w:val="18"/>
              </w:rPr>
              <w:t>14M(纯盈颐养款)C</w:t>
            </w:r>
            <w:r>
              <w:rPr>
                <w:rFonts w:hint="eastAsia" w:ascii="宋体" w:hAnsi="宋体"/>
                <w:bCs/>
                <w:color w:val="auto"/>
                <w:sz w:val="18"/>
                <w:szCs w:val="18"/>
              </w:rPr>
              <w:t>】（适用【</w:t>
            </w:r>
            <w:r>
              <w:rPr>
                <w:rFonts w:hint="eastAsia" w:ascii="宋体" w:hAnsi="宋体"/>
                <w:bCs/>
                <w:color w:val="auto"/>
                <w:sz w:val="18"/>
                <w:szCs w:val="18"/>
                <w:lang w:val="en-US" w:eastAsia="zh-CN"/>
              </w:rPr>
              <w:t>C</w:t>
            </w:r>
            <w:r>
              <w:rPr>
                <w:rFonts w:hint="eastAsia" w:ascii="宋体" w:hAnsi="宋体"/>
                <w:bCs/>
                <w:color w:val="auto"/>
                <w:sz w:val="18"/>
                <w:szCs w:val="18"/>
              </w:rPr>
              <w:t>】类份额）</w:t>
            </w:r>
          </w:p>
          <w:p>
            <w:pPr>
              <w:spacing w:line="360" w:lineRule="auto"/>
              <w:jc w:val="left"/>
              <w:rPr>
                <w:rFonts w:ascii="宋体" w:hAnsi="宋体"/>
                <w:bCs/>
                <w:sz w:val="18"/>
                <w:szCs w:val="18"/>
              </w:rPr>
            </w:pPr>
            <w:r>
              <w:rPr>
                <w:rFonts w:hint="eastAsia" w:ascii="宋体" w:hAnsi="宋体"/>
                <w:bCs/>
                <w:color w:val="auto"/>
                <w:sz w:val="18"/>
                <w:szCs w:val="18"/>
              </w:rPr>
              <w:t>【</w:t>
            </w:r>
            <w:r>
              <w:rPr>
                <w:rFonts w:hint="eastAsia" w:asciiTheme="majorEastAsia" w:hAnsiTheme="majorEastAsia" w:eastAsiaTheme="majorEastAsia"/>
                <w:bCs/>
                <w:color w:val="auto"/>
                <w:kern w:val="0"/>
                <w:sz w:val="18"/>
                <w:szCs w:val="18"/>
              </w:rPr>
              <w:t>稳利恒盈封闭2025年</w:t>
            </w:r>
            <w:r>
              <w:rPr>
                <w:rFonts w:hint="eastAsia" w:asciiTheme="majorEastAsia" w:hAnsiTheme="majorEastAsia" w:eastAsiaTheme="majorEastAsia"/>
                <w:bCs/>
                <w:color w:val="auto"/>
                <w:kern w:val="0"/>
                <w:sz w:val="18"/>
                <w:szCs w:val="18"/>
                <w:lang w:eastAsia="zh-CN"/>
              </w:rPr>
              <w:t>520期</w:t>
            </w:r>
            <w:r>
              <w:rPr>
                <w:rFonts w:hint="eastAsia" w:asciiTheme="majorEastAsia" w:hAnsiTheme="majorEastAsia" w:eastAsiaTheme="majorEastAsia"/>
                <w:bCs/>
                <w:color w:val="auto"/>
                <w:kern w:val="0"/>
                <w:sz w:val="18"/>
                <w:szCs w:val="18"/>
              </w:rPr>
              <w:t>14M(纯盈颐养款)D</w:t>
            </w:r>
            <w:r>
              <w:rPr>
                <w:rFonts w:hint="eastAsia" w:ascii="宋体" w:hAnsi="宋体"/>
                <w:bCs/>
                <w:color w:val="auto"/>
                <w:sz w:val="18"/>
                <w:szCs w:val="18"/>
              </w:rPr>
              <w:t>】（适用【</w:t>
            </w:r>
            <w:r>
              <w:rPr>
                <w:rFonts w:hint="eastAsia" w:ascii="宋体" w:hAnsi="宋体"/>
                <w:bCs/>
                <w:color w:val="auto"/>
                <w:sz w:val="18"/>
                <w:szCs w:val="18"/>
                <w:lang w:val="en-US" w:eastAsia="zh-CN"/>
              </w:rPr>
              <w:t>D</w:t>
            </w:r>
            <w:r>
              <w:rPr>
                <w:rFonts w:hint="eastAsia" w:ascii="宋体" w:hAnsi="宋体"/>
                <w:bCs/>
                <w:color w:val="auto"/>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bCs/>
                <w:sz w:val="18"/>
                <w:szCs w:val="18"/>
              </w:rPr>
            </w:pPr>
            <w:r>
              <w:rPr>
                <w:rFonts w:hint="eastAsia" w:hAnsi="宋体"/>
                <w:sz w:val="18"/>
                <w:szCs w:val="18"/>
              </w:rPr>
              <w:t>★</w:t>
            </w:r>
            <w:r>
              <w:rPr>
                <w:rFonts w:hint="eastAsia" w:ascii="宋体" w:hAnsi="宋体"/>
                <w:bCs/>
                <w:sz w:val="18"/>
                <w:szCs w:val="18"/>
              </w:rPr>
              <w:t>产品登记编码</w:t>
            </w:r>
          </w:p>
        </w:tc>
        <w:tc>
          <w:tcPr>
            <w:tcW w:w="6389" w:type="dxa"/>
            <w:gridSpan w:val="3"/>
            <w:shd w:val="solid" w:color="FFFFFF" w:fill="FFFFFF"/>
            <w:vAlign w:val="top"/>
          </w:tcPr>
          <w:p>
            <w:pPr>
              <w:spacing w:line="360" w:lineRule="auto"/>
              <w:jc w:val="left"/>
              <w:rPr>
                <w:rFonts w:ascii="宋体" w:hAnsi="宋体"/>
                <w:bCs/>
                <w:sz w:val="18"/>
                <w:szCs w:val="18"/>
              </w:rPr>
            </w:pPr>
            <w:r>
              <w:rPr>
                <w:rFonts w:hint="eastAsia" w:ascii="宋体" w:hAnsi="宋体"/>
                <w:bCs/>
                <w:sz w:val="18"/>
                <w:szCs w:val="18"/>
              </w:rPr>
              <w:t>【</w:t>
            </w:r>
            <w:r>
              <w:rPr>
                <w:rFonts w:hint="eastAsia" w:ascii="宋体" w:hAnsi="宋体"/>
                <w:bCs/>
                <w:color w:val="auto"/>
                <w:sz w:val="18"/>
                <w:szCs w:val="18"/>
                <w:lang w:val="en-US" w:eastAsia="zh-CN"/>
              </w:rPr>
              <w:t>Z7002025000796</w:t>
            </w:r>
            <w:r>
              <w:rPr>
                <w:rFonts w:hint="eastAsia" w:ascii="宋体" w:hAnsi="宋体"/>
                <w:bCs/>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hAnsi="宋体"/>
                <w:sz w:val="18"/>
                <w:szCs w:val="18"/>
              </w:rPr>
              <w:t>★</w:t>
            </w:r>
            <w:r>
              <w:rPr>
                <w:rFonts w:hint="eastAsia" w:ascii="宋体" w:hAnsi="宋体"/>
                <w:bCs/>
                <w:sz w:val="18"/>
                <w:szCs w:val="18"/>
              </w:rPr>
              <w:t>产品</w:t>
            </w:r>
            <w:r>
              <w:rPr>
                <w:rFonts w:ascii="宋体" w:hAnsi="宋体"/>
                <w:bCs/>
                <w:sz w:val="18"/>
                <w:szCs w:val="18"/>
              </w:rPr>
              <w:t>代码</w:t>
            </w:r>
          </w:p>
        </w:tc>
        <w:tc>
          <w:tcPr>
            <w:tcW w:w="6389" w:type="dxa"/>
            <w:gridSpan w:val="3"/>
            <w:shd w:val="solid" w:color="FFFFFF" w:fill="FFFFFF"/>
            <w:vAlign w:val="center"/>
          </w:tcPr>
          <w:p>
            <w:pPr>
              <w:spacing w:line="360" w:lineRule="auto"/>
              <w:jc w:val="left"/>
              <w:rPr>
                <w:rFonts w:ascii="宋体" w:hAnsi="宋体"/>
                <w:bCs/>
                <w:sz w:val="18"/>
                <w:szCs w:val="18"/>
              </w:rPr>
            </w:pPr>
            <w:r>
              <w:rPr>
                <w:rFonts w:ascii="宋体" w:hAnsi="宋体"/>
                <w:bCs/>
                <w:color w:val="auto"/>
                <w:sz w:val="18"/>
                <w:szCs w:val="18"/>
              </w:rPr>
              <w:t>【</w:t>
            </w:r>
            <w:bookmarkStart w:id="66" w:name="_GoBack"/>
            <w:bookmarkEnd w:id="66"/>
            <w:r>
              <w:rPr>
                <w:rFonts w:hint="eastAsia" w:ascii="宋体" w:hAnsi="宋体"/>
                <w:bCs/>
                <w:color w:val="auto"/>
                <w:sz w:val="18"/>
                <w:szCs w:val="18"/>
                <w:lang w:eastAsia="zh-CN"/>
              </w:rPr>
              <w:t>9N255200</w:t>
            </w:r>
            <w:r>
              <w:rPr>
                <w:rFonts w:ascii="宋体" w:hAnsi="宋体"/>
                <w:bCs/>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bCs/>
                <w:sz w:val="18"/>
                <w:szCs w:val="18"/>
              </w:rPr>
              <w:t>销售</w:t>
            </w:r>
            <w:r>
              <w:rPr>
                <w:rFonts w:ascii="宋体" w:hAnsi="宋体"/>
                <w:bCs/>
                <w:sz w:val="18"/>
                <w:szCs w:val="18"/>
              </w:rPr>
              <w:t>代码</w:t>
            </w:r>
          </w:p>
        </w:tc>
        <w:tc>
          <w:tcPr>
            <w:tcW w:w="6389" w:type="dxa"/>
            <w:gridSpan w:val="3"/>
            <w:shd w:val="solid" w:color="FFFFFF" w:fill="FFFFFF"/>
            <w:vAlign w:val="center"/>
          </w:tcPr>
          <w:p>
            <w:pPr>
              <w:spacing w:line="320" w:lineRule="exact"/>
              <w:jc w:val="left"/>
              <w:rPr>
                <w:rFonts w:hint="eastAsia" w:ascii="宋体" w:hAnsi="宋体"/>
                <w:bCs/>
                <w:color w:val="auto"/>
                <w:sz w:val="18"/>
                <w:szCs w:val="18"/>
              </w:rPr>
            </w:pPr>
            <w:r>
              <w:rPr>
                <w:rFonts w:hint="eastAsia" w:ascii="宋体" w:hAnsi="宋体"/>
                <w:bCs/>
                <w:color w:val="auto"/>
                <w:sz w:val="18"/>
                <w:szCs w:val="18"/>
              </w:rPr>
              <w:t>【</w:t>
            </w:r>
            <w:r>
              <w:rPr>
                <w:rFonts w:hint="eastAsia" w:ascii="宋体" w:hAnsi="宋体"/>
                <w:bCs/>
                <w:color w:val="auto"/>
                <w:sz w:val="18"/>
                <w:szCs w:val="18"/>
                <w:lang w:eastAsia="zh-CN"/>
              </w:rPr>
              <w:t>9N25520A</w:t>
            </w:r>
            <w:r>
              <w:rPr>
                <w:rFonts w:hint="eastAsia" w:ascii="宋体" w:hAnsi="宋体"/>
                <w:bCs/>
                <w:color w:val="auto"/>
                <w:sz w:val="18"/>
                <w:szCs w:val="18"/>
              </w:rPr>
              <w:t>】（适用【A】类份额）</w:t>
            </w:r>
          </w:p>
          <w:p>
            <w:pPr>
              <w:spacing w:line="320" w:lineRule="exact"/>
              <w:jc w:val="left"/>
              <w:rPr>
                <w:rFonts w:hint="eastAsia" w:ascii="宋体" w:hAnsi="宋体"/>
                <w:bCs/>
                <w:color w:val="auto"/>
                <w:sz w:val="18"/>
                <w:szCs w:val="18"/>
              </w:rPr>
            </w:pPr>
            <w:r>
              <w:rPr>
                <w:rFonts w:hint="eastAsia" w:ascii="宋体" w:hAnsi="宋体"/>
                <w:bCs/>
                <w:color w:val="auto"/>
                <w:sz w:val="18"/>
                <w:szCs w:val="18"/>
              </w:rPr>
              <w:t>【</w:t>
            </w:r>
            <w:r>
              <w:rPr>
                <w:rFonts w:hint="eastAsia" w:ascii="宋体" w:hAnsi="宋体"/>
                <w:bCs/>
                <w:color w:val="auto"/>
                <w:sz w:val="18"/>
                <w:szCs w:val="18"/>
                <w:lang w:eastAsia="zh-CN"/>
              </w:rPr>
              <w:t>9N25520</w:t>
            </w:r>
            <w:r>
              <w:rPr>
                <w:rFonts w:hint="eastAsia" w:ascii="宋体" w:hAnsi="宋体"/>
                <w:bCs/>
                <w:color w:val="auto"/>
                <w:sz w:val="18"/>
                <w:szCs w:val="18"/>
                <w:lang w:val="en-US" w:eastAsia="zh-CN"/>
              </w:rPr>
              <w:t>B</w:t>
            </w:r>
            <w:r>
              <w:rPr>
                <w:rFonts w:hint="eastAsia" w:ascii="宋体" w:hAnsi="宋体"/>
                <w:bCs/>
                <w:color w:val="auto"/>
                <w:sz w:val="18"/>
                <w:szCs w:val="18"/>
              </w:rPr>
              <w:t>】（适用【</w:t>
            </w:r>
            <w:r>
              <w:rPr>
                <w:rFonts w:hint="eastAsia" w:ascii="宋体" w:hAnsi="宋体"/>
                <w:bCs/>
                <w:color w:val="auto"/>
                <w:sz w:val="18"/>
                <w:szCs w:val="18"/>
                <w:lang w:val="en-US" w:eastAsia="zh-CN"/>
              </w:rPr>
              <w:t>B</w:t>
            </w:r>
            <w:r>
              <w:rPr>
                <w:rFonts w:hint="eastAsia" w:ascii="宋体" w:hAnsi="宋体"/>
                <w:bCs/>
                <w:color w:val="auto"/>
                <w:sz w:val="18"/>
                <w:szCs w:val="18"/>
              </w:rPr>
              <w:t>】类份额）</w:t>
            </w:r>
          </w:p>
          <w:p>
            <w:pPr>
              <w:spacing w:line="320" w:lineRule="exact"/>
              <w:jc w:val="left"/>
              <w:rPr>
                <w:rFonts w:hint="eastAsia" w:ascii="宋体" w:hAnsi="宋体"/>
                <w:bCs/>
                <w:color w:val="auto"/>
                <w:sz w:val="18"/>
                <w:szCs w:val="18"/>
              </w:rPr>
            </w:pPr>
            <w:r>
              <w:rPr>
                <w:rFonts w:hint="eastAsia" w:ascii="宋体" w:hAnsi="宋体"/>
                <w:bCs/>
                <w:color w:val="auto"/>
                <w:sz w:val="18"/>
                <w:szCs w:val="18"/>
              </w:rPr>
              <w:t>【</w:t>
            </w:r>
            <w:r>
              <w:rPr>
                <w:rFonts w:hint="eastAsia" w:ascii="宋体" w:hAnsi="宋体"/>
                <w:bCs/>
                <w:color w:val="auto"/>
                <w:sz w:val="18"/>
                <w:szCs w:val="18"/>
                <w:lang w:eastAsia="zh-CN"/>
              </w:rPr>
              <w:t>9N25520</w:t>
            </w:r>
            <w:r>
              <w:rPr>
                <w:rFonts w:hint="eastAsia" w:ascii="宋体" w:hAnsi="宋体"/>
                <w:bCs/>
                <w:color w:val="auto"/>
                <w:sz w:val="18"/>
                <w:szCs w:val="18"/>
                <w:lang w:val="en-US" w:eastAsia="zh-CN"/>
              </w:rPr>
              <w:t>C</w:t>
            </w:r>
            <w:r>
              <w:rPr>
                <w:rFonts w:hint="eastAsia" w:ascii="宋体" w:hAnsi="宋体"/>
                <w:bCs/>
                <w:color w:val="auto"/>
                <w:sz w:val="18"/>
                <w:szCs w:val="18"/>
              </w:rPr>
              <w:t>】（适用【</w:t>
            </w:r>
            <w:r>
              <w:rPr>
                <w:rFonts w:hint="eastAsia" w:ascii="宋体" w:hAnsi="宋体"/>
                <w:bCs/>
                <w:color w:val="auto"/>
                <w:sz w:val="18"/>
                <w:szCs w:val="18"/>
                <w:lang w:val="en-US" w:eastAsia="zh-CN"/>
              </w:rPr>
              <w:t>C</w:t>
            </w:r>
            <w:r>
              <w:rPr>
                <w:rFonts w:hint="eastAsia" w:ascii="宋体" w:hAnsi="宋体"/>
                <w:bCs/>
                <w:color w:val="auto"/>
                <w:sz w:val="18"/>
                <w:szCs w:val="18"/>
              </w:rPr>
              <w:t>】类份额）</w:t>
            </w:r>
          </w:p>
          <w:p>
            <w:pPr>
              <w:spacing w:line="320" w:lineRule="exact"/>
              <w:jc w:val="left"/>
              <w:rPr>
                <w:rFonts w:ascii="宋体" w:hAnsi="宋体"/>
                <w:bCs/>
                <w:color w:val="000000" w:themeColor="text1"/>
                <w:sz w:val="18"/>
                <w:szCs w:val="18"/>
                <w14:textFill>
                  <w14:solidFill>
                    <w14:schemeClr w14:val="tx1"/>
                  </w14:solidFill>
                </w14:textFill>
              </w:rPr>
            </w:pPr>
            <w:r>
              <w:rPr>
                <w:rFonts w:hint="eastAsia" w:ascii="宋体" w:hAnsi="宋体"/>
                <w:bCs/>
                <w:color w:val="auto"/>
                <w:sz w:val="18"/>
                <w:szCs w:val="18"/>
              </w:rPr>
              <w:t>【</w:t>
            </w:r>
            <w:r>
              <w:rPr>
                <w:rFonts w:hint="eastAsia" w:ascii="宋体" w:hAnsi="宋体"/>
                <w:bCs/>
                <w:color w:val="auto"/>
                <w:sz w:val="18"/>
                <w:szCs w:val="18"/>
                <w:lang w:eastAsia="zh-CN"/>
              </w:rPr>
              <w:t>9N25520</w:t>
            </w:r>
            <w:r>
              <w:rPr>
                <w:rFonts w:hint="eastAsia" w:ascii="宋体" w:hAnsi="宋体"/>
                <w:bCs/>
                <w:color w:val="auto"/>
                <w:sz w:val="18"/>
                <w:szCs w:val="18"/>
                <w:lang w:val="en-US" w:eastAsia="zh-CN"/>
              </w:rPr>
              <w:t>D</w:t>
            </w:r>
            <w:r>
              <w:rPr>
                <w:rFonts w:hint="eastAsia" w:ascii="宋体" w:hAnsi="宋体"/>
                <w:bCs/>
                <w:color w:val="auto"/>
                <w:sz w:val="18"/>
                <w:szCs w:val="18"/>
              </w:rPr>
              <w:t>】（适用【</w:t>
            </w:r>
            <w:r>
              <w:rPr>
                <w:rFonts w:hint="eastAsia" w:ascii="宋体" w:hAnsi="宋体"/>
                <w:bCs/>
                <w:color w:val="auto"/>
                <w:sz w:val="18"/>
                <w:szCs w:val="18"/>
                <w:lang w:val="en-US" w:eastAsia="zh-CN"/>
              </w:rPr>
              <w:t>D</w:t>
            </w:r>
            <w:r>
              <w:rPr>
                <w:rFonts w:hint="eastAsia" w:ascii="宋体" w:hAnsi="宋体"/>
                <w:bCs/>
                <w:color w:val="auto"/>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permEnd w:id="2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25" w:edGrp="everyone"/>
            <w:r>
              <w:rPr>
                <w:rFonts w:ascii="宋体" w:hAnsi="宋体"/>
                <w:szCs w:val="18"/>
                <w:u w:val="single"/>
              </w:rPr>
              <w:t xml:space="preserve">　                     </w:t>
            </w:r>
            <w:permEnd w:id="25"/>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rFonts w:hint="eastAsia"/>
              <w:lang w:val="zh-CN"/>
            </w:rPr>
            <w:t>目录</w:t>
          </w:r>
        </w:p>
        <w:p>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"_Toc12429" </w:instrText>
          </w:r>
          <w:r>
            <w:fldChar w:fldCharType="separate"/>
          </w:r>
          <w:r>
            <w:rPr>
              <w:rFonts w:hint="eastAsia"/>
            </w:rPr>
            <w:t>第二条</w:t>
          </w:r>
          <w:r>
            <w:t xml:space="preserve">  </w:t>
          </w:r>
          <w:r>
            <w:rPr>
              <w:rFonts w:hint="eastAsia"/>
            </w:rPr>
            <w:t>双方权利义务</w:t>
          </w:r>
          <w:r>
            <w:tab/>
          </w:r>
          <w:r>
            <w:fldChar w:fldCharType="begin"/>
          </w:r>
          <w:r>
            <w:instrText xml:space="preserve"> PAGEREF _Toc12429 \h </w:instrText>
          </w:r>
          <w:r>
            <w:fldChar w:fldCharType="separate"/>
          </w:r>
          <w:r>
            <w:t>7</w:t>
          </w:r>
          <w:r>
            <w:fldChar w:fldCharType="end"/>
          </w:r>
          <w:r>
            <w:fldChar w:fldCharType="end"/>
          </w:r>
        </w:p>
        <w:p>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w:t>
          </w:r>
          <w:r>
            <w:rPr>
              <w:rFonts w:hint="eastAsia"/>
            </w:rPr>
            <w:t>不可抗力</w:t>
          </w:r>
          <w:r>
            <w:tab/>
          </w:r>
          <w:r>
            <w:fldChar w:fldCharType="begin"/>
          </w:r>
          <w:r>
            <w:instrText xml:space="preserve"> PAGEREF _Toc706 \h </w:instrText>
          </w:r>
          <w:r>
            <w:fldChar w:fldCharType="separate"/>
          </w:r>
          <w:r>
            <w:t>10</w:t>
          </w:r>
          <w:r>
            <w:fldChar w:fldCharType="end"/>
          </w:r>
          <w:r>
            <w:fldChar w:fldCharType="end"/>
          </w:r>
        </w:p>
        <w:p>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w:t>
          </w:r>
          <w:r>
            <w:rPr>
              <w:rFonts w:hint="eastAsia"/>
            </w:rPr>
            <w:t>法律适用和争议解决</w:t>
          </w:r>
          <w:r>
            <w:tab/>
          </w:r>
          <w:r>
            <w:fldChar w:fldCharType="begin"/>
          </w:r>
          <w:r>
            <w:instrText xml:space="preserve"> PAGEREF _Toc29618 \h </w:instrText>
          </w:r>
          <w:r>
            <w:fldChar w:fldCharType="separate"/>
          </w:r>
          <w:r>
            <w:t>12</w:t>
          </w:r>
          <w:r>
            <w:fldChar w:fldCharType="end"/>
          </w:r>
          <w:r>
            <w:fldChar w:fldCharType="end"/>
          </w:r>
        </w:p>
        <w:p>
          <w:pPr>
            <w:pStyle w:val="16"/>
            <w:tabs>
              <w:tab w:val="right" w:leader="dot" w:pos="8306"/>
              <w:tab w:val="clear" w:pos="8296"/>
            </w:tabs>
          </w:pPr>
          <w:r>
            <w:fldChar w:fldCharType="begin"/>
          </w:r>
          <w:r>
            <w:instrText xml:space="preserve"> HYPERLINK \l "_Toc11943" </w:instrText>
          </w:r>
          <w:r>
            <w:fldChar w:fldCharType="separate"/>
          </w:r>
          <w:r>
            <w:rPr>
              <w:rFonts w:hint="eastAsia"/>
            </w:rPr>
            <w:t>第六条</w:t>
          </w:r>
          <w:r>
            <w:t xml:space="preserve">  </w:t>
          </w:r>
          <w:r>
            <w:rPr>
              <w:rFonts w:hint="eastAsia"/>
            </w:rPr>
            <w:t>协议的签署和效力</w:t>
          </w:r>
          <w:r>
            <w:tab/>
          </w:r>
          <w:r>
            <w:fldChar w:fldCharType="begin"/>
          </w:r>
          <w:r>
            <w:instrText xml:space="preserve"> PAGEREF _Toc11943 \h </w:instrText>
          </w:r>
          <w:r>
            <w:fldChar w:fldCharType="separate"/>
          </w:r>
          <w:r>
            <w:t>13</w:t>
          </w:r>
          <w:r>
            <w:fldChar w:fldCharType="end"/>
          </w:r>
          <w:r>
            <w:fldChar w:fldCharType="end"/>
          </w:r>
        </w:p>
        <w:p>
          <w:pPr>
            <w:pStyle w:val="16"/>
            <w:tabs>
              <w:tab w:val="right" w:leader="dot" w:pos="8306"/>
              <w:tab w:val="clear" w:pos="8296"/>
            </w:tabs>
          </w:pPr>
          <w:r>
            <w:fldChar w:fldCharType="begin"/>
          </w:r>
          <w:r>
            <w:instrText xml:space="preserve"> HYPERLINK \l "_Toc29352" </w:instrText>
          </w:r>
          <w:r>
            <w:fldChar w:fldCharType="separate"/>
          </w:r>
          <w:r>
            <w:rPr>
              <w:rFonts w:hint="eastAsia"/>
            </w:rPr>
            <w:t>第七条</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29629"/>
      <w:bookmarkStart w:id="15" w:name="_Toc30935"/>
      <w:bookmarkStart w:id="16" w:name="_Toc32639"/>
      <w:bookmarkStart w:id="17" w:name="_Toc4867"/>
      <w:bookmarkStart w:id="18" w:name="_Toc6306"/>
      <w:bookmarkStart w:id="19" w:name="_Toc23386"/>
      <w:bookmarkStart w:id="20" w:name="_Toc139991730"/>
      <w:bookmarkStart w:id="21" w:name="_Toc8727"/>
      <w:bookmarkStart w:id="22" w:name="_Toc123701389"/>
      <w:bookmarkStart w:id="23" w:name="_Toc26897"/>
      <w:bookmarkStart w:id="24" w:name="_Toc123112229"/>
      <w:bookmarkStart w:id="25" w:name="_Toc141703880"/>
      <w:bookmarkStart w:id="26" w:name="_Toc15517"/>
      <w:bookmarkStart w:id="27" w:name="_Toc123112268"/>
      <w:bookmarkStart w:id="28" w:name="_Toc4966"/>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3224"/>
      <w:bookmarkStart w:id="33" w:name="_Toc6617"/>
      <w:bookmarkStart w:id="34" w:name="_Toc19592"/>
      <w:bookmarkStart w:id="35" w:name="_Toc22864"/>
      <w:bookmarkStart w:id="36" w:name="_Toc21301"/>
      <w:bookmarkStart w:id="37" w:name="_Toc24860"/>
      <w:bookmarkStart w:id="38" w:name="_Toc15067"/>
      <w:bookmarkStart w:id="39" w:name="_Toc258829399"/>
      <w:bookmarkStart w:id="40" w:name="_Toc819"/>
      <w:bookmarkStart w:id="41" w:name="_Toc2465"/>
      <w:bookmarkStart w:id="42" w:name="_Toc13020"/>
      <w:r>
        <w:rPr>
          <w:rFonts w:hint="eastAsia" w:ascii="Times New Roman"/>
          <w:color w:val="auto"/>
          <w:sz w:val="30"/>
        </w:rPr>
        <w:t>前言</w:t>
      </w:r>
      <w:bookmarkEnd w:id="29"/>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w:t>
      </w:r>
      <w:r>
        <w:rPr>
          <w:rFonts w:ascii="宋体" w:hAnsi="宋体"/>
          <w:sz w:val="18"/>
          <w:szCs w:val="18"/>
        </w:rPr>
        <w:t>2018年第6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w:t>
      </w:r>
      <w:r>
        <w:rPr>
          <w:rFonts w:ascii="宋体" w:hAnsi="宋体"/>
          <w:sz w:val="18"/>
          <w:szCs w:val="18"/>
        </w:rPr>
        <w:t>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hint="eastAsia" w:ascii="Times New Roman"/>
          <w:color w:val="auto"/>
          <w:sz w:val="30"/>
        </w:rPr>
        <w:t>第二条</w:t>
      </w:r>
      <w:r>
        <w:rPr>
          <w:rFonts w:ascii="Times New Roman"/>
          <w:color w:val="auto"/>
          <w:sz w:val="30"/>
        </w:rPr>
        <w:t xml:space="preserve">  </w:t>
      </w:r>
      <w:r>
        <w:rPr>
          <w:rFonts w:hint="eastAsia" w:ascii="Times New Roman"/>
          <w:color w:val="auto"/>
          <w:sz w:val="30"/>
        </w:rPr>
        <w:t>双方权利义务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w:t>
      </w:r>
      <w:r>
        <w:rPr>
          <w:rFonts w:ascii="黑体" w:hAnsi="黑体" w:eastAsia="黑体"/>
          <w:sz w:val="18"/>
          <w:szCs w:val="18"/>
        </w:rPr>
        <w:t>IPO或并购重组涉及的股东穿透核查或根据其他有权机关或监管要求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黑体" w:hAnsi="黑体" w:eastAsia="黑体"/>
          <w:sz w:val="18"/>
          <w:szCs w:val="18"/>
        </w:rPr>
        <w:t>投资者承诺由此产生的相关风险由投资者承担</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ascii="宋体" w:hAnsi="宋体"/>
          <w:sz w:val="18"/>
          <w:szCs w:val="18"/>
        </w:rPr>
        <w:t>3.产品管理人应按照约定披露产品相关信息。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w:t>
      </w:r>
      <w:r>
        <w:rPr>
          <w:rFonts w:hint="eastAsia" w:ascii="黑体" w:hAnsi="黑体" w:eastAsia="黑体"/>
          <w:sz w:val="18"/>
          <w:szCs w:val="18"/>
        </w:rPr>
        <w:t>如因投资者未及时办理变更手续而造成产品管理人及</w:t>
      </w:r>
      <w:r>
        <w:rPr>
          <w:rFonts w:ascii="黑体" w:hAnsi="黑体" w:eastAsia="黑体"/>
          <w:sz w:val="18"/>
          <w:szCs w:val="18"/>
        </w:rPr>
        <w:t>/或</w:t>
      </w:r>
      <w:r>
        <w:rPr>
          <w:rFonts w:hint="eastAsia" w:ascii="黑体" w:hAnsi="黑体" w:eastAsia="黑体"/>
          <w:sz w:val="18"/>
          <w:szCs w:val="18"/>
        </w:rPr>
        <w:t>销售机构无法向投资者进行正常利益分配和资金清算分配</w:t>
      </w:r>
      <w:r>
        <w:rPr>
          <w:rFonts w:ascii="黑体" w:hAnsi="黑体" w:eastAsia="黑体"/>
          <w:sz w:val="18"/>
          <w:szCs w:val="18"/>
        </w:rPr>
        <w:t xml:space="preserve">, </w:t>
      </w:r>
      <w:r>
        <w:rPr>
          <w:rFonts w:hint="eastAsia" w:ascii="黑体" w:hAnsi="黑体" w:eastAsia="黑体"/>
          <w:sz w:val="18"/>
          <w:szCs w:val="18"/>
        </w:rPr>
        <w:t>由此导致投资者损失的由投资者自行承担</w:t>
      </w:r>
      <w:r>
        <w:rPr>
          <w:rFonts w:ascii="黑体" w:hAnsi="黑体" w:eastAsia="黑体"/>
          <w:sz w:val="18"/>
          <w:szCs w:val="18"/>
        </w:rPr>
        <w:t xml:space="preserve">, </w:t>
      </w:r>
      <w:r>
        <w:rPr>
          <w:rFonts w:hint="eastAsia" w:ascii="黑体" w:hAnsi="黑体" w:eastAsia="黑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w:t>
      </w:r>
      <w:r>
        <w:rPr>
          <w:rFonts w:ascii="黑体" w:hAnsi="黑体" w:eastAsia="黑体"/>
          <w:sz w:val="18"/>
          <w:szCs w:val="18"/>
        </w:rPr>
        <w:t>CA认证服务、可信时间</w:t>
      </w:r>
      <w:r>
        <w:rPr>
          <w:rFonts w:hint="eastAsia" w:ascii="黑体" w:hAnsi="黑体" w:eastAsia="黑体"/>
          <w:sz w:val="18"/>
          <w:szCs w:val="18"/>
        </w:rPr>
        <w:t>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在理财产品投资过程中发生任何争议，产品管理人有权以管理人的名义代表理财产品进行维权，行使包括但不限于提起诉讼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ascii="宋体" w:hAnsi="宋体"/>
          <w:sz w:val="18"/>
          <w:szCs w:val="18"/>
        </w:rPr>
        <w:t>,</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13.其他在本产品所对应理财产品销售文件中约定的产品管理人的权利与义务。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24571"/>
      <w:bookmarkStart w:id="48" w:name="_Toc545"/>
      <w:bookmarkStart w:id="49" w:name="_Toc13288"/>
      <w:bookmarkStart w:id="50" w:name="_Toc74065740"/>
      <w:bookmarkStart w:id="51" w:name="_Toc733"/>
      <w:bookmarkStart w:id="52" w:name="_Toc6149"/>
      <w:bookmarkStart w:id="53" w:name="_Toc6683"/>
      <w:bookmarkStart w:id="54" w:name="_Toc20627"/>
      <w:bookmarkStart w:id="55" w:name="_Toc18631"/>
      <w:bookmarkStart w:id="56" w:name="_Toc22708"/>
      <w:bookmarkStart w:id="57" w:name="_Toc20318"/>
      <w:bookmarkStart w:id="58" w:name="_Toc233456272"/>
      <w:bookmarkStart w:id="59" w:name="_Toc258829400"/>
      <w:r>
        <w:rPr>
          <w:rFonts w:hint="eastAsia" w:ascii="Times New Roman"/>
          <w:color w:val="auto"/>
          <w:sz w:val="30"/>
        </w:rPr>
        <w:t>第三条</w:t>
      </w:r>
      <w:r>
        <w:rPr>
          <w:rFonts w:ascii="Times New Roman"/>
          <w:color w:val="auto"/>
          <w:sz w:val="30"/>
        </w:rPr>
        <w:t xml:space="preserve">  </w:t>
      </w:r>
      <w:r>
        <w:rPr>
          <w:rFonts w:hint="eastAsia" w:ascii="Times New Roman"/>
          <w:color w:val="auto"/>
          <w:sz w:val="30"/>
        </w:rPr>
        <w:t>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2.本协议书中涉及的相关到期日或</w:t>
      </w:r>
      <w:r>
        <w:rPr>
          <w:rFonts w:hint="eastAsia" w:ascii="宋体" w:hAnsi="宋体" w:cs="仿宋_GB2312"/>
          <w:kern w:val="0"/>
          <w:sz w:val="18"/>
          <w:szCs w:val="18"/>
        </w:rPr>
        <w:t>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w:t>
      </w:r>
      <w:r>
        <w:rPr>
          <w:rFonts w:hint="eastAsia" w:ascii="Times New Roman"/>
          <w:color w:val="auto"/>
          <w:sz w:val="30"/>
        </w:rPr>
        <w:t>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第六条</w:t>
      </w:r>
      <w:r>
        <w:rPr>
          <w:rFonts w:ascii="Times New Roman"/>
          <w:color w:val="auto"/>
          <w:sz w:val="30"/>
        </w:rPr>
        <w:t xml:space="preserve">  </w:t>
      </w:r>
      <w:r>
        <w:rPr>
          <w:rFonts w:hint="eastAsia" w:ascii="Times New Roman"/>
          <w:color w:val="auto"/>
          <w:sz w:val="30"/>
        </w:rPr>
        <w:t>协议的签署和效力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w:t>
      </w:r>
      <w:r>
        <w:rPr>
          <w:rFonts w:ascii="黑体" w:hAnsi="黑体" w:eastAsia="黑体"/>
          <w:sz w:val="18"/>
          <w:szCs w:val="18"/>
        </w:rPr>
        <w:t>签名/盖章后则为签署。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29352"/>
      <w:bookmarkStart w:id="64" w:name="_Toc77953869"/>
      <w:r>
        <w:rPr>
          <w:rFonts w:hint="eastAsia" w:ascii="Times New Roman"/>
          <w:color w:val="auto"/>
          <w:sz w:val="30"/>
        </w:rPr>
        <w:t>第七条</w:t>
      </w:r>
      <w:r>
        <w:rPr>
          <w:rFonts w:ascii="Times New Roman"/>
          <w:color w:val="auto"/>
          <w:sz w:val="30"/>
        </w:rPr>
        <w:t xml:space="preserve">  </w:t>
      </w:r>
      <w:r>
        <w:rPr>
          <w:rFonts w:hint="eastAsia" w:ascii="Times New Roman"/>
          <w:color w:val="auto"/>
          <w:sz w:val="30"/>
        </w:rPr>
        <w:t>消费者权益保护</w:t>
      </w:r>
      <w:bookmarkEnd w:id="63"/>
      <w:bookmarkEnd w:id="64"/>
      <w:r>
        <w:rPr>
          <w:rFonts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销售机构的联络方式，具体以《（代理）销售协议书》《投资者权益须知》等销售文件的内容为准。</w:t>
      </w:r>
      <w:r>
        <w:rPr>
          <w:rFonts w:ascii="黑体" w:hAnsi="黑体" w:eastAsia="黑体"/>
          <w:sz w:val="18"/>
          <w:szCs w:val="18"/>
        </w:rPr>
        <w:t xml:space="preserve">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sz w:val="18"/>
                <w:szCs w:val="18"/>
              </w:rPr>
            </w:pPr>
            <w:permStart w:id="26" w:edGrp="everyone"/>
            <w:r>
              <w:rPr>
                <w:rFonts w:hint="eastAsia" w:ascii="宋体" w:hAnsi="宋体" w:cs="宋体"/>
                <w:sz w:val="18"/>
                <w:szCs w:val="18"/>
              </w:rPr>
              <w:t>【】</w:t>
            </w:r>
            <w:permEnd w:id="26"/>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sz w:val="18"/>
                <w:szCs w:val="18"/>
              </w:rPr>
            </w:pPr>
            <w:permStart w:id="27" w:edGrp="everyone"/>
            <w:r>
              <w:rPr>
                <w:rFonts w:hint="eastAsia" w:ascii="宋体" w:hAnsi="宋体" w:cs="宋体"/>
                <w:sz w:val="18"/>
                <w:szCs w:val="18"/>
              </w:rPr>
              <w:t>【】类</w:t>
            </w:r>
            <w:r>
              <w:rPr>
                <w:rFonts w:ascii="宋体" w:hAnsi="宋体" w:cs="宋体"/>
                <w:sz w:val="18"/>
                <w:szCs w:val="18"/>
              </w:rPr>
              <w:t>份额</w:t>
            </w:r>
            <w:permEnd w:id="27"/>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permStart w:id="28" w:edGrp="everyone" w:colFirst="2" w:colLast="2"/>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sz w:val="18"/>
                <w:szCs w:val="18"/>
              </w:rPr>
            </w:pPr>
            <w:r>
              <w:rPr>
                <w:rFonts w:hint="eastAsia" w:ascii="宋体" w:hAnsi="宋体"/>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2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29"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封闭式产品不设置申购</w:t>
            </w:r>
            <w:r>
              <w:rPr>
                <w:rFonts w:hint="eastAsia" w:ascii="宋体" w:hAnsi="宋体"/>
                <w:bCs/>
                <w:sz w:val="18"/>
                <w:szCs w:val="18"/>
              </w:rPr>
              <w:t>。</w:t>
            </w:r>
          </w:p>
        </w:tc>
      </w:tr>
      <w:permEnd w:id="2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0"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赎回</w:t>
            </w:r>
          </w:p>
        </w:tc>
        <w:tc>
          <w:tcPr>
            <w:tcW w:w="5987" w:type="dxa"/>
            <w:vAlign w:val="center"/>
          </w:tcPr>
          <w:p>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封闭式产品不设置</w:t>
            </w:r>
            <w:r>
              <w:rPr>
                <w:rFonts w:hint="eastAsia" w:ascii="宋体" w:hAnsi="宋体"/>
                <w:bCs/>
                <w:sz w:val="18"/>
                <w:szCs w:val="18"/>
              </w:rPr>
              <w:t>赎回。</w:t>
            </w:r>
          </w:p>
        </w:tc>
      </w:tr>
      <w:permEnd w:id="30"/>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sz w:val="18"/>
                <w:szCs w:val="18"/>
              </w:rPr>
            </w:pPr>
            <w:r>
              <w:rPr>
                <w:rFonts w:hint="eastAsia" w:ascii="宋体" w:hAnsi="宋体"/>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sz w:val="18"/>
                <w:szCs w:val="18"/>
              </w:rPr>
            </w:pPr>
            <w:permStart w:id="31" w:edGrp="everyone"/>
            <w:r>
              <w:rPr>
                <w:rFonts w:hint="eastAsia" w:asciiTheme="minorEastAsia" w:hAnsiTheme="minorEastAsia"/>
                <w:sz w:val="18"/>
                <w:szCs w:val="18"/>
              </w:rPr>
              <w:t>【</w:t>
            </w:r>
            <w:r>
              <w:rPr>
                <w:rFonts w:asciiTheme="minorEastAsia" w:hAnsiTheme="minorEastAsia"/>
                <w:sz w:val="18"/>
                <w:szCs w:val="18"/>
              </w:rPr>
              <w:t xml:space="preserve"> 】年</w:t>
            </w:r>
            <w:r>
              <w:rPr>
                <w:rFonts w:hint="eastAsia" w:asciiTheme="minorEastAsia" w:hAnsiTheme="minorEastAsia"/>
                <w:sz w:val="18"/>
                <w:szCs w:val="18"/>
              </w:rPr>
              <w:t>【</w:t>
            </w:r>
            <w:r>
              <w:rPr>
                <w:rFonts w:asciiTheme="minorEastAsia" w:hAnsiTheme="minorEastAsia"/>
                <w:sz w:val="18"/>
                <w:szCs w:val="18"/>
              </w:rPr>
              <w:t xml:space="preserve"> </w:t>
            </w:r>
            <w:r>
              <w:rPr>
                <w:rFonts w:hint="eastAsia" w:asciiTheme="minorEastAsia" w:hAnsiTheme="minorEastAsia"/>
                <w:sz w:val="18"/>
                <w:szCs w:val="18"/>
              </w:rPr>
              <w:t>】月【</w:t>
            </w:r>
            <w:r>
              <w:rPr>
                <w:rFonts w:asciiTheme="minorEastAsia" w:hAnsiTheme="minorEastAsia"/>
                <w:sz w:val="18"/>
                <w:szCs w:val="18"/>
              </w:rPr>
              <w:t xml:space="preserve"> </w:t>
            </w:r>
            <w:r>
              <w:rPr>
                <w:rFonts w:hint="eastAsia" w:asciiTheme="minorEastAsia" w:hAnsiTheme="minorEastAsia"/>
                <w:sz w:val="18"/>
                <w:szCs w:val="18"/>
              </w:rPr>
              <w:t>】日</w:t>
            </w:r>
            <w:permEnd w:id="31"/>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3.投资者已认真阅读并充分理解包括但不限于《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w:t>
            </w:r>
            <w:r>
              <w:rPr>
                <w:rFonts w:ascii="黑体" w:hAnsi="黑体" w:eastAsia="黑体"/>
                <w:sz w:val="18"/>
                <w:szCs w:val="18"/>
              </w:rPr>
              <w:t>/申购/赎回受上述协议约束。明确本理财产品作为资产管理产品应受到的法律法规及监管政策的规范与调整，同意接受本产品的投资方案、费率、认购/申购/赎回安排与上述文件所</w:t>
            </w:r>
            <w:r>
              <w:rPr>
                <w:rFonts w:hint="eastAsia" w:ascii="黑体" w:hAnsi="黑体" w:eastAsia="黑体"/>
                <w:sz w:val="18"/>
                <w:szCs w:val="18"/>
              </w:rPr>
              <w:t>做风险提示，愿意承担投资风险，现决定认购</w:t>
            </w:r>
            <w:r>
              <w:rPr>
                <w:rFonts w:ascii="黑体" w:hAnsi="黑体" w:eastAsia="黑体"/>
                <w:sz w:val="18"/>
                <w:szCs w:val="18"/>
              </w:rPr>
              <w:t>/申购/赎回，并授权产品管理人根据投资方案进行投资。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sz w:val="18"/>
                <w:szCs w:val="18"/>
              </w:rPr>
            </w:pPr>
            <w:r>
              <w:rPr>
                <w:rFonts w:hint="eastAsia"/>
                <w:sz w:val="18"/>
                <w:szCs w:val="18"/>
              </w:rPr>
              <w:t>个人投资者适用</w:t>
            </w:r>
          </w:p>
        </w:tc>
        <w:tc>
          <w:tcPr>
            <w:tcW w:w="6998" w:type="dxa"/>
            <w:gridSpan w:val="2"/>
          </w:tcPr>
          <w:p>
            <w:pPr>
              <w:spacing w:line="360" w:lineRule="auto"/>
              <w:rPr>
                <w:sz w:val="18"/>
                <w:szCs w:val="18"/>
              </w:rPr>
            </w:pPr>
            <w:r>
              <w:rPr>
                <w:rFonts w:hint="eastAsia"/>
                <w:sz w:val="18"/>
                <w:szCs w:val="18"/>
              </w:rPr>
              <w:t>投资者（签名</w:t>
            </w:r>
            <w:r>
              <w:rPr>
                <w:sz w:val="18"/>
                <w:szCs w:val="18"/>
              </w:rPr>
              <w:t>/</w:t>
            </w:r>
            <w:r>
              <w:rPr>
                <w:rFonts w:hint="eastAsia"/>
                <w:sz w:val="18"/>
                <w:szCs w:val="18"/>
              </w:rPr>
              <w:t>线上确认）：</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sz w:val="18"/>
                <w:szCs w:val="18"/>
              </w:rPr>
            </w:pPr>
            <w:r>
              <w:rPr>
                <w:rFonts w:hint="eastAsia"/>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r>
              <w:rPr>
                <w:sz w:val="18"/>
                <w:szCs w:val="18"/>
              </w:rPr>
              <w:t>/</w:t>
            </w:r>
            <w:r>
              <w:rPr>
                <w:rFonts w:hint="eastAsia"/>
                <w:sz w:val="18"/>
                <w:szCs w:val="18"/>
              </w:rPr>
              <w:t>线上确认</w:t>
            </w:r>
            <w:r>
              <w:rPr>
                <w:rFonts w:hint="eastAsia" w:cs="Arial"/>
                <w:sz w:val="18"/>
                <w:szCs w:val="18"/>
              </w:rPr>
              <w:t>）：</w:t>
            </w:r>
          </w:p>
          <w:p>
            <w:pPr>
              <w:spacing w:line="360" w:lineRule="auto"/>
              <w:rPr>
                <w:rFonts w:cs="Arial"/>
                <w:sz w:val="18"/>
                <w:szCs w:val="18"/>
              </w:rPr>
            </w:pPr>
          </w:p>
          <w:p>
            <w:pPr>
              <w:spacing w:line="360" w:lineRule="auto"/>
              <w:rPr>
                <w:b/>
                <w:sz w:val="18"/>
                <w:szCs w:val="18"/>
              </w:rPr>
            </w:pPr>
            <w:r>
              <w:rPr>
                <w:rFonts w:hint="eastAsia" w:cs="Arial"/>
                <w:sz w:val="18"/>
                <w:szCs w:val="18"/>
              </w:rPr>
              <w:t>投资者法定代表人或授权代理人（签名</w:t>
            </w:r>
            <w:r>
              <w:rPr>
                <w:rFonts w:cs="Arial"/>
                <w:sz w:val="18"/>
                <w:szCs w:val="18"/>
              </w:rPr>
              <w:t>/</w:t>
            </w:r>
            <w:r>
              <w:rPr>
                <w:rFonts w:hint="eastAsia" w:cs="Arial"/>
                <w:sz w:val="18"/>
                <w:szCs w:val="18"/>
              </w:rPr>
              <w:t>盖章</w:t>
            </w:r>
            <w:r>
              <w:rPr>
                <w:rFonts w:cs="Arial"/>
                <w:sz w:val="18"/>
                <w:szCs w:val="18"/>
              </w:rPr>
              <w:t>/</w:t>
            </w:r>
            <w:r>
              <w:rPr>
                <w:rFonts w:hint="eastAsia"/>
                <w:sz w:val="18"/>
                <w:szCs w:val="18"/>
              </w:rPr>
              <w:t>线上确认</w:t>
            </w:r>
            <w:r>
              <w:rPr>
                <w:rFonts w:hint="eastAsia" w:cs="Arial"/>
                <w:sz w:val="18"/>
                <w:szCs w:val="18"/>
              </w:rPr>
              <w:t>）：</w:t>
            </w:r>
          </w:p>
          <w:p>
            <w:pPr>
              <w:spacing w:line="360" w:lineRule="auto"/>
              <w:rPr>
                <w:sz w:val="18"/>
                <w:szCs w:val="18"/>
              </w:rPr>
            </w:pPr>
            <w:r>
              <w:rPr>
                <w:rFonts w:hint="eastAsia"/>
                <w:sz w:val="18"/>
                <w:szCs w:val="18"/>
              </w:rPr>
              <w:t>日期：</w:t>
            </w:r>
          </w:p>
        </w:tc>
      </w:tr>
    </w:tbl>
    <w:p>
      <w:pPr>
        <w:spacing w:line="360" w:lineRule="auto"/>
        <w:jc w:val="left"/>
        <w:rPr>
          <w:b/>
          <w:bCs/>
        </w:r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15</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b/>
      </w:rPr>
    </w:pPr>
    <w:r>
      <w:rPr>
        <w:rFonts w:hint="eastAsia"/>
        <w:b/>
      </w:rPr>
      <w:t>投资协议书</w:t>
    </w:r>
  </w:p>
  <w:p>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enforcement="1" w:cryptProviderType="rsaAES" w:cryptAlgorithmClass="hash" w:cryptAlgorithmType="typeAny" w:cryptAlgorithmSid="14" w:cryptSpinCount="100000" w:hash="WpsgrGCQWdQY1Sq1PIVW0aeej75jlqf85Uyo2/lXrc/jl5Bls9kMZGSzEystX3bgi8T2v8gS+dF0s6hBV9UlJA==" w:salt="Tp3tedBRCVfszFagHfwzSg=="/>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419E"/>
    <w:rsid w:val="0002724F"/>
    <w:rsid w:val="00030239"/>
    <w:rsid w:val="00030F84"/>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7B06"/>
    <w:rsid w:val="00081682"/>
    <w:rsid w:val="0008289A"/>
    <w:rsid w:val="00083216"/>
    <w:rsid w:val="00083712"/>
    <w:rsid w:val="00096B82"/>
    <w:rsid w:val="00097F9C"/>
    <w:rsid w:val="000A21B2"/>
    <w:rsid w:val="000A29E4"/>
    <w:rsid w:val="000A51DF"/>
    <w:rsid w:val="000A51EE"/>
    <w:rsid w:val="000B0F5E"/>
    <w:rsid w:val="000B1095"/>
    <w:rsid w:val="000B687C"/>
    <w:rsid w:val="000B732C"/>
    <w:rsid w:val="000C2157"/>
    <w:rsid w:val="000C23C6"/>
    <w:rsid w:val="000C5F0B"/>
    <w:rsid w:val="000C66F8"/>
    <w:rsid w:val="000C6CA3"/>
    <w:rsid w:val="000D7C5B"/>
    <w:rsid w:val="000E2761"/>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279E4"/>
    <w:rsid w:val="00133EBD"/>
    <w:rsid w:val="00136F50"/>
    <w:rsid w:val="00150F88"/>
    <w:rsid w:val="00151C5F"/>
    <w:rsid w:val="00153821"/>
    <w:rsid w:val="00153A6A"/>
    <w:rsid w:val="0015605F"/>
    <w:rsid w:val="00156B9B"/>
    <w:rsid w:val="001676C5"/>
    <w:rsid w:val="0017009F"/>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90A"/>
    <w:rsid w:val="00257D80"/>
    <w:rsid w:val="0026141C"/>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A7A96"/>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E2C"/>
    <w:rsid w:val="002F1BB8"/>
    <w:rsid w:val="002F1C19"/>
    <w:rsid w:val="002F228E"/>
    <w:rsid w:val="002F3164"/>
    <w:rsid w:val="002F467D"/>
    <w:rsid w:val="002F5D80"/>
    <w:rsid w:val="002F6D00"/>
    <w:rsid w:val="002F7889"/>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5E5C"/>
    <w:rsid w:val="00436CF2"/>
    <w:rsid w:val="00437361"/>
    <w:rsid w:val="00444664"/>
    <w:rsid w:val="00444AD5"/>
    <w:rsid w:val="00445CFA"/>
    <w:rsid w:val="00446FBB"/>
    <w:rsid w:val="0045304A"/>
    <w:rsid w:val="004530E2"/>
    <w:rsid w:val="0045487E"/>
    <w:rsid w:val="0045508F"/>
    <w:rsid w:val="00460B00"/>
    <w:rsid w:val="0046443C"/>
    <w:rsid w:val="00467615"/>
    <w:rsid w:val="004727C4"/>
    <w:rsid w:val="00477E43"/>
    <w:rsid w:val="00481A9B"/>
    <w:rsid w:val="00483EB5"/>
    <w:rsid w:val="004840AC"/>
    <w:rsid w:val="00484942"/>
    <w:rsid w:val="004875C3"/>
    <w:rsid w:val="004918BC"/>
    <w:rsid w:val="00493B96"/>
    <w:rsid w:val="004946EF"/>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260AB"/>
    <w:rsid w:val="00630E80"/>
    <w:rsid w:val="006335F7"/>
    <w:rsid w:val="00640E2B"/>
    <w:rsid w:val="006445E5"/>
    <w:rsid w:val="00644D2A"/>
    <w:rsid w:val="00646391"/>
    <w:rsid w:val="006479E2"/>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1FF4"/>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673F1"/>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766D"/>
    <w:rsid w:val="007A77DC"/>
    <w:rsid w:val="007B06AA"/>
    <w:rsid w:val="007B1080"/>
    <w:rsid w:val="007B3FDA"/>
    <w:rsid w:val="007B58B4"/>
    <w:rsid w:val="007C0897"/>
    <w:rsid w:val="007C5E99"/>
    <w:rsid w:val="007C6D84"/>
    <w:rsid w:val="007E0F86"/>
    <w:rsid w:val="007E1220"/>
    <w:rsid w:val="007E32B6"/>
    <w:rsid w:val="007E40AA"/>
    <w:rsid w:val="007E6098"/>
    <w:rsid w:val="007F214F"/>
    <w:rsid w:val="007F66C2"/>
    <w:rsid w:val="007F71C3"/>
    <w:rsid w:val="00801E13"/>
    <w:rsid w:val="00802F46"/>
    <w:rsid w:val="0080338A"/>
    <w:rsid w:val="00806156"/>
    <w:rsid w:val="0081194A"/>
    <w:rsid w:val="00816E31"/>
    <w:rsid w:val="0081755C"/>
    <w:rsid w:val="008209BF"/>
    <w:rsid w:val="008235A9"/>
    <w:rsid w:val="0082410A"/>
    <w:rsid w:val="00830913"/>
    <w:rsid w:val="00833DA0"/>
    <w:rsid w:val="0084117B"/>
    <w:rsid w:val="00842ECC"/>
    <w:rsid w:val="00844C52"/>
    <w:rsid w:val="00844FAC"/>
    <w:rsid w:val="00847D06"/>
    <w:rsid w:val="008526AD"/>
    <w:rsid w:val="00852A74"/>
    <w:rsid w:val="0085467A"/>
    <w:rsid w:val="00855E29"/>
    <w:rsid w:val="00856912"/>
    <w:rsid w:val="00861C4A"/>
    <w:rsid w:val="00862721"/>
    <w:rsid w:val="00862BB4"/>
    <w:rsid w:val="00863B57"/>
    <w:rsid w:val="00870710"/>
    <w:rsid w:val="00871266"/>
    <w:rsid w:val="00871450"/>
    <w:rsid w:val="008739A5"/>
    <w:rsid w:val="00874462"/>
    <w:rsid w:val="00895391"/>
    <w:rsid w:val="00895DC9"/>
    <w:rsid w:val="008A3830"/>
    <w:rsid w:val="008A5426"/>
    <w:rsid w:val="008B0B17"/>
    <w:rsid w:val="008B1FC9"/>
    <w:rsid w:val="008B20D2"/>
    <w:rsid w:val="008B5D1E"/>
    <w:rsid w:val="008B60CD"/>
    <w:rsid w:val="008B64A4"/>
    <w:rsid w:val="008C1F51"/>
    <w:rsid w:val="008C2745"/>
    <w:rsid w:val="008C41BB"/>
    <w:rsid w:val="008C4E5E"/>
    <w:rsid w:val="008C77FD"/>
    <w:rsid w:val="008D0202"/>
    <w:rsid w:val="008D0B1A"/>
    <w:rsid w:val="008D1177"/>
    <w:rsid w:val="008D387B"/>
    <w:rsid w:val="008D43FD"/>
    <w:rsid w:val="008E5137"/>
    <w:rsid w:val="008E67DB"/>
    <w:rsid w:val="008E6FBA"/>
    <w:rsid w:val="008F0E09"/>
    <w:rsid w:val="008F14E7"/>
    <w:rsid w:val="008F24C8"/>
    <w:rsid w:val="00905340"/>
    <w:rsid w:val="0090798A"/>
    <w:rsid w:val="00907AEC"/>
    <w:rsid w:val="00911B78"/>
    <w:rsid w:val="009122AA"/>
    <w:rsid w:val="00914791"/>
    <w:rsid w:val="00925A17"/>
    <w:rsid w:val="00927AE1"/>
    <w:rsid w:val="00927D56"/>
    <w:rsid w:val="0093239E"/>
    <w:rsid w:val="00933BBA"/>
    <w:rsid w:val="00933D38"/>
    <w:rsid w:val="00943A8C"/>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3DF9"/>
    <w:rsid w:val="00987518"/>
    <w:rsid w:val="00993714"/>
    <w:rsid w:val="00994225"/>
    <w:rsid w:val="009969BB"/>
    <w:rsid w:val="009A072B"/>
    <w:rsid w:val="009A14A5"/>
    <w:rsid w:val="009A42BC"/>
    <w:rsid w:val="009B0C9E"/>
    <w:rsid w:val="009B1C9C"/>
    <w:rsid w:val="009B2C85"/>
    <w:rsid w:val="009B5BC2"/>
    <w:rsid w:val="009C2069"/>
    <w:rsid w:val="009C521A"/>
    <w:rsid w:val="009C6F8E"/>
    <w:rsid w:val="009D63B0"/>
    <w:rsid w:val="009D7AA0"/>
    <w:rsid w:val="009D7B02"/>
    <w:rsid w:val="009E371D"/>
    <w:rsid w:val="009E4C02"/>
    <w:rsid w:val="009E5E1C"/>
    <w:rsid w:val="009E6DAE"/>
    <w:rsid w:val="009F1537"/>
    <w:rsid w:val="009F2623"/>
    <w:rsid w:val="009F29D8"/>
    <w:rsid w:val="009F4C90"/>
    <w:rsid w:val="009F759C"/>
    <w:rsid w:val="009F7CF8"/>
    <w:rsid w:val="00A1018D"/>
    <w:rsid w:val="00A11CB0"/>
    <w:rsid w:val="00A16306"/>
    <w:rsid w:val="00A17171"/>
    <w:rsid w:val="00A21427"/>
    <w:rsid w:val="00A21A6C"/>
    <w:rsid w:val="00A229C4"/>
    <w:rsid w:val="00A25383"/>
    <w:rsid w:val="00A26C04"/>
    <w:rsid w:val="00A32435"/>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2E36"/>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0649"/>
    <w:rsid w:val="00B52FAD"/>
    <w:rsid w:val="00B54660"/>
    <w:rsid w:val="00B56276"/>
    <w:rsid w:val="00B606E5"/>
    <w:rsid w:val="00B606E6"/>
    <w:rsid w:val="00B61A35"/>
    <w:rsid w:val="00B67A2F"/>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2565"/>
    <w:rsid w:val="00BC32EB"/>
    <w:rsid w:val="00BC3900"/>
    <w:rsid w:val="00BC4611"/>
    <w:rsid w:val="00BC68AA"/>
    <w:rsid w:val="00BD020C"/>
    <w:rsid w:val="00BD0D17"/>
    <w:rsid w:val="00BD4663"/>
    <w:rsid w:val="00BD6425"/>
    <w:rsid w:val="00BF0849"/>
    <w:rsid w:val="00BF33D6"/>
    <w:rsid w:val="00BF3E98"/>
    <w:rsid w:val="00BF5971"/>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50E2"/>
    <w:rsid w:val="00C561B4"/>
    <w:rsid w:val="00C569F3"/>
    <w:rsid w:val="00C57F3A"/>
    <w:rsid w:val="00C6321C"/>
    <w:rsid w:val="00C6524D"/>
    <w:rsid w:val="00C6577D"/>
    <w:rsid w:val="00C66942"/>
    <w:rsid w:val="00C7259B"/>
    <w:rsid w:val="00C80014"/>
    <w:rsid w:val="00C81838"/>
    <w:rsid w:val="00C90BFF"/>
    <w:rsid w:val="00C9379A"/>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D4656"/>
    <w:rsid w:val="00CE04EA"/>
    <w:rsid w:val="00CE21A3"/>
    <w:rsid w:val="00CE3D7D"/>
    <w:rsid w:val="00CE5004"/>
    <w:rsid w:val="00CF07E7"/>
    <w:rsid w:val="00CF20EC"/>
    <w:rsid w:val="00D0110F"/>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5FE3"/>
    <w:rsid w:val="00D77ADC"/>
    <w:rsid w:val="00D77F0D"/>
    <w:rsid w:val="00D8308D"/>
    <w:rsid w:val="00D833EB"/>
    <w:rsid w:val="00D837CC"/>
    <w:rsid w:val="00D84062"/>
    <w:rsid w:val="00D85F63"/>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D2FE5"/>
    <w:rsid w:val="00DD67AF"/>
    <w:rsid w:val="00DD6FE7"/>
    <w:rsid w:val="00DF3437"/>
    <w:rsid w:val="00DF3F05"/>
    <w:rsid w:val="00DF6B27"/>
    <w:rsid w:val="00DF749F"/>
    <w:rsid w:val="00DF7FC5"/>
    <w:rsid w:val="00E03447"/>
    <w:rsid w:val="00E0477B"/>
    <w:rsid w:val="00E072D2"/>
    <w:rsid w:val="00E100FC"/>
    <w:rsid w:val="00E12287"/>
    <w:rsid w:val="00E1770C"/>
    <w:rsid w:val="00E22677"/>
    <w:rsid w:val="00E23CB4"/>
    <w:rsid w:val="00E23CE7"/>
    <w:rsid w:val="00E3045C"/>
    <w:rsid w:val="00E30CD1"/>
    <w:rsid w:val="00E323CD"/>
    <w:rsid w:val="00E34CBA"/>
    <w:rsid w:val="00E36F2B"/>
    <w:rsid w:val="00E376F1"/>
    <w:rsid w:val="00E37E1A"/>
    <w:rsid w:val="00E40014"/>
    <w:rsid w:val="00E4276E"/>
    <w:rsid w:val="00E44D44"/>
    <w:rsid w:val="00E44FFE"/>
    <w:rsid w:val="00E50662"/>
    <w:rsid w:val="00E51C4F"/>
    <w:rsid w:val="00E54989"/>
    <w:rsid w:val="00E579C4"/>
    <w:rsid w:val="00E57E75"/>
    <w:rsid w:val="00E650D8"/>
    <w:rsid w:val="00E67AFF"/>
    <w:rsid w:val="00E7480F"/>
    <w:rsid w:val="00E753BD"/>
    <w:rsid w:val="00E774B6"/>
    <w:rsid w:val="00E83E00"/>
    <w:rsid w:val="00E85A1F"/>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2ED8"/>
    <w:rsid w:val="00EE3D96"/>
    <w:rsid w:val="00EE7357"/>
    <w:rsid w:val="00EF4162"/>
    <w:rsid w:val="00EF6103"/>
    <w:rsid w:val="00F00C67"/>
    <w:rsid w:val="00F0469D"/>
    <w:rsid w:val="00F046EC"/>
    <w:rsid w:val="00F05739"/>
    <w:rsid w:val="00F0768A"/>
    <w:rsid w:val="00F07962"/>
    <w:rsid w:val="00F104F1"/>
    <w:rsid w:val="00F10F07"/>
    <w:rsid w:val="00F12096"/>
    <w:rsid w:val="00F12A59"/>
    <w:rsid w:val="00F12E33"/>
    <w:rsid w:val="00F1386E"/>
    <w:rsid w:val="00F14579"/>
    <w:rsid w:val="00F16D1C"/>
    <w:rsid w:val="00F2211E"/>
    <w:rsid w:val="00F23DF7"/>
    <w:rsid w:val="00F243AF"/>
    <w:rsid w:val="00F34661"/>
    <w:rsid w:val="00F34FC2"/>
    <w:rsid w:val="00F3550C"/>
    <w:rsid w:val="00F379C4"/>
    <w:rsid w:val="00F4075D"/>
    <w:rsid w:val="00F43CC2"/>
    <w:rsid w:val="00F45279"/>
    <w:rsid w:val="00F45D4D"/>
    <w:rsid w:val="00F477AD"/>
    <w:rsid w:val="00F4787A"/>
    <w:rsid w:val="00F52B97"/>
    <w:rsid w:val="00F55612"/>
    <w:rsid w:val="00F57D05"/>
    <w:rsid w:val="00F611C6"/>
    <w:rsid w:val="00F652FF"/>
    <w:rsid w:val="00F65A62"/>
    <w:rsid w:val="00F6638A"/>
    <w:rsid w:val="00F6673D"/>
    <w:rsid w:val="00F6765C"/>
    <w:rsid w:val="00F7607C"/>
    <w:rsid w:val="00F84ACA"/>
    <w:rsid w:val="00F865A9"/>
    <w:rsid w:val="00F8733E"/>
    <w:rsid w:val="00F913B7"/>
    <w:rsid w:val="00F91EA4"/>
    <w:rsid w:val="00F92464"/>
    <w:rsid w:val="00F92B2B"/>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5F13238"/>
    <w:rsid w:val="07F010A8"/>
    <w:rsid w:val="08F06232"/>
    <w:rsid w:val="0F716F66"/>
    <w:rsid w:val="149E474A"/>
    <w:rsid w:val="18D640E4"/>
    <w:rsid w:val="19212E29"/>
    <w:rsid w:val="1ECD1FCB"/>
    <w:rsid w:val="265E0C04"/>
    <w:rsid w:val="35C863A1"/>
    <w:rsid w:val="386563FF"/>
    <w:rsid w:val="3C201ADB"/>
    <w:rsid w:val="4069171A"/>
    <w:rsid w:val="431859F2"/>
    <w:rsid w:val="448C332D"/>
    <w:rsid w:val="46606E27"/>
    <w:rsid w:val="487A428F"/>
    <w:rsid w:val="4F9B33E8"/>
    <w:rsid w:val="56C22B29"/>
    <w:rsid w:val="5BB00509"/>
    <w:rsid w:val="5FCC29CC"/>
    <w:rsid w:val="64DE20E9"/>
    <w:rsid w:val="657411FF"/>
    <w:rsid w:val="66BA775E"/>
    <w:rsid w:val="67CE260F"/>
    <w:rsid w:val="691511E8"/>
    <w:rsid w:val="6B364EF9"/>
    <w:rsid w:val="730A06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E6695B-8493-4D1E-A76D-B2D44FE641F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1519</Words>
  <Characters>8662</Characters>
  <Lines>72</Lines>
  <Paragraphs>20</Paragraphs>
  <TotalTime>15</TotalTime>
  <ScaleCrop>false</ScaleCrop>
  <LinksUpToDate>false</LinksUpToDate>
  <CharactersWithSpaces>10161</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2024-03-04T01:40:00Z</dcterms:created>
  <dc:creator>Mandy.Z</dc:creator>
  <cp:lastModifiedBy>cib</cp:lastModifiedBy>
  <cp:lastPrinted>2017-10-31T06:33:00Z</cp:lastPrinted>
  <dcterms:modified xsi:type="dcterms:W3CDTF">2025-05-26T07:04:34Z</dcterms:modified>
  <dc:title>___证券投资基金招募说明书1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1060AEDFCBEE453DA158752A9A192E25</vt:lpwstr>
  </property>
</Properties>
</file>