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【稳利恒盈封闭式固收类】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05</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【稳利恒盈封闭式固收类】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【稳利恒盈封闭式固收类】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【稳利恒盈封闭式固收类】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【稳利恒盈封闭式固收类】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【稳利恒盈封闭式固收类】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【稳利恒盈封闭式固收类】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【稳利恒盈封闭式固收类】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【稳利恒盈封闭式固收类】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【稳利恒盈封闭式固收类】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176189754"/>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vAlign w:val="top"/>
          </w:tcPr>
          <w:p>
            <w:pPr>
              <w:spacing w:line="360" w:lineRule="auto"/>
              <w:jc w:val="left"/>
              <w:rPr>
                <w:rFonts w:ascii="宋体" w:hAnsi="宋体" w:eastAsia="宋体" w:cs="宋体"/>
                <w:bCs/>
                <w:color w:val="auto"/>
                <w:kern w:val="2"/>
                <w:sz w:val="18"/>
                <w:szCs w:val="18"/>
                <w:lang w:val="en-US" w:eastAsia="zh-CN" w:bidi="ar-SA"/>
              </w:rPr>
            </w:pPr>
            <w:r>
              <w:rPr>
                <w:rFonts w:hint="eastAsia" w:asciiTheme="majorEastAsia" w:hAnsiTheme="majorEastAsia" w:eastAsiaTheme="majorEastAsia"/>
                <w:bCs/>
                <w:color w:val="auto"/>
                <w:kern w:val="0"/>
                <w:sz w:val="18"/>
                <w:szCs w:val="18"/>
              </w:rPr>
              <w:t>【兴银理财稳利恒盈封闭式2025年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vAlign w:val="top"/>
          </w:tcPr>
          <w:p>
            <w:pPr>
              <w:widowControl/>
              <w:spacing w:line="360" w:lineRule="auto"/>
              <w:jc w:val="left"/>
              <w:rPr>
                <w:rFonts w:hint="eastAsia" w:hAnsi="宋体"/>
                <w:color w:val="auto"/>
                <w:sz w:val="18"/>
                <w:szCs w:val="18"/>
              </w:rPr>
            </w:pP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14M(纯盈颐养款)A】</w:t>
            </w:r>
            <w:r>
              <w:rPr>
                <w:rFonts w:hint="eastAsia" w:hAnsi="宋体"/>
                <w:color w:val="auto"/>
                <w:sz w:val="18"/>
                <w:szCs w:val="18"/>
              </w:rPr>
              <w:t>（适用【A】类份额）</w:t>
            </w:r>
          </w:p>
          <w:p>
            <w:pPr>
              <w:widowControl/>
              <w:spacing w:line="360" w:lineRule="auto"/>
              <w:jc w:val="left"/>
              <w:rPr>
                <w:rFonts w:hint="eastAsia" w:hAnsi="宋体"/>
                <w:color w:val="auto"/>
                <w:sz w:val="18"/>
                <w:szCs w:val="18"/>
              </w:rPr>
            </w:pP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14M(纯盈颐养款)B】</w:t>
            </w:r>
            <w:r>
              <w:rPr>
                <w:rFonts w:hint="eastAsia" w:hAnsi="宋体"/>
                <w:color w:val="auto"/>
                <w:sz w:val="18"/>
                <w:szCs w:val="18"/>
              </w:rPr>
              <w:t>（适用【</w:t>
            </w:r>
            <w:r>
              <w:rPr>
                <w:rFonts w:hint="eastAsia" w:hAnsi="宋体"/>
                <w:color w:val="auto"/>
                <w:sz w:val="18"/>
                <w:szCs w:val="18"/>
                <w:lang w:val="en-US" w:eastAsia="zh-CN"/>
              </w:rPr>
              <w:t>B</w:t>
            </w:r>
            <w:r>
              <w:rPr>
                <w:rFonts w:hint="eastAsia" w:hAnsi="宋体"/>
                <w:color w:val="auto"/>
                <w:sz w:val="18"/>
                <w:szCs w:val="18"/>
              </w:rPr>
              <w:t>】类份额）</w:t>
            </w:r>
          </w:p>
          <w:p>
            <w:pPr>
              <w:widowControl/>
              <w:spacing w:line="360" w:lineRule="auto"/>
              <w:jc w:val="left"/>
              <w:rPr>
                <w:rFonts w:hint="eastAsia" w:hAnsi="宋体"/>
                <w:color w:val="auto"/>
                <w:sz w:val="18"/>
                <w:szCs w:val="18"/>
              </w:rPr>
            </w:pP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14M(纯盈颐养款)C】</w:t>
            </w:r>
            <w:r>
              <w:rPr>
                <w:rFonts w:hint="eastAsia" w:hAnsi="宋体"/>
                <w:color w:val="auto"/>
                <w:sz w:val="18"/>
                <w:szCs w:val="18"/>
              </w:rPr>
              <w:t>（适用【</w:t>
            </w:r>
            <w:r>
              <w:rPr>
                <w:rFonts w:hint="eastAsia" w:hAnsi="宋体"/>
                <w:color w:val="auto"/>
                <w:sz w:val="18"/>
                <w:szCs w:val="18"/>
                <w:lang w:val="en-US" w:eastAsia="zh-CN"/>
              </w:rPr>
              <w:t>C</w:t>
            </w:r>
            <w:r>
              <w:rPr>
                <w:rFonts w:hint="eastAsia" w:hAnsi="宋体"/>
                <w:color w:val="auto"/>
                <w:sz w:val="18"/>
                <w:szCs w:val="18"/>
              </w:rPr>
              <w:t>】类份额）</w:t>
            </w:r>
          </w:p>
          <w:p>
            <w:pPr>
              <w:widowControl/>
              <w:spacing w:line="360" w:lineRule="auto"/>
              <w:jc w:val="left"/>
              <w:rPr>
                <w:rFonts w:ascii="宋体" w:hAnsi="宋体"/>
                <w:kern w:val="0"/>
                <w:sz w:val="22"/>
              </w:rPr>
            </w:pP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14M(纯盈颐养款)D】</w:t>
            </w:r>
            <w:r>
              <w:rPr>
                <w:rFonts w:hint="eastAsia" w:hAnsi="宋体"/>
                <w:color w:val="auto"/>
                <w:sz w:val="18"/>
                <w:szCs w:val="18"/>
              </w:rPr>
              <w:t>（适用【</w:t>
            </w:r>
            <w:r>
              <w:rPr>
                <w:rFonts w:hint="eastAsia" w:hAnsi="宋体"/>
                <w:color w:val="auto"/>
                <w:sz w:val="18"/>
                <w:szCs w:val="18"/>
                <w:lang w:val="en-US" w:eastAsia="zh-CN"/>
              </w:rPr>
              <w:t>D</w:t>
            </w:r>
            <w:r>
              <w:rPr>
                <w:rFonts w:hint="eastAsia" w:hAnsi="宋体"/>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【Z7002025000796】</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color w:val="auto"/>
                <w:sz w:val="18"/>
                <w:szCs w:val="18"/>
                <w:lang w:eastAsia="zh-CN"/>
              </w:rPr>
              <w:t>9N255200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vAlign w:val="top"/>
          </w:tcPr>
          <w:p>
            <w:pPr>
              <w:spacing w:line="360" w:lineRule="auto"/>
              <w:jc w:val="left"/>
              <w:rPr>
                <w:rFonts w:hint="eastAsia" w:hAnsi="宋体"/>
                <w:color w:val="auto"/>
                <w:sz w:val="18"/>
                <w:szCs w:val="18"/>
              </w:rPr>
            </w:pPr>
            <w:r>
              <w:rPr>
                <w:rFonts w:hint="eastAsia" w:hAnsi="宋体"/>
                <w:color w:val="auto"/>
                <w:sz w:val="18"/>
                <w:szCs w:val="18"/>
              </w:rPr>
              <w:t>【</w:t>
            </w:r>
            <w:r>
              <w:rPr>
                <w:rFonts w:hint="eastAsia" w:hAnsi="宋体"/>
                <w:color w:val="auto"/>
                <w:sz w:val="18"/>
                <w:szCs w:val="18"/>
                <w:lang w:eastAsia="zh-CN"/>
              </w:rPr>
              <w:t>9N25520</w:t>
            </w:r>
            <w:r>
              <w:rPr>
                <w:rFonts w:hint="eastAsia" w:hAnsi="宋体"/>
                <w:color w:val="auto"/>
                <w:sz w:val="18"/>
                <w:szCs w:val="18"/>
              </w:rPr>
              <w:t>A】（适用【A】类份额）</w:t>
            </w:r>
          </w:p>
          <w:p>
            <w:pPr>
              <w:spacing w:line="360" w:lineRule="auto"/>
              <w:jc w:val="left"/>
              <w:rPr>
                <w:rFonts w:hint="eastAsia" w:hAnsi="宋体"/>
                <w:color w:val="auto"/>
                <w:sz w:val="18"/>
                <w:szCs w:val="18"/>
              </w:rPr>
            </w:pPr>
            <w:r>
              <w:rPr>
                <w:rFonts w:hint="eastAsia" w:hAnsi="宋体"/>
                <w:color w:val="auto"/>
                <w:sz w:val="18"/>
                <w:szCs w:val="18"/>
              </w:rPr>
              <w:t>【</w:t>
            </w:r>
            <w:r>
              <w:rPr>
                <w:rFonts w:hint="eastAsia" w:hAnsi="宋体"/>
                <w:color w:val="auto"/>
                <w:sz w:val="18"/>
                <w:szCs w:val="18"/>
                <w:lang w:eastAsia="zh-CN"/>
              </w:rPr>
              <w:t>9N25520</w:t>
            </w:r>
            <w:r>
              <w:rPr>
                <w:rFonts w:hint="eastAsia" w:hAnsi="宋体"/>
                <w:color w:val="auto"/>
                <w:sz w:val="18"/>
                <w:szCs w:val="18"/>
              </w:rPr>
              <w:t>B】（适用【B】类份额）</w:t>
            </w:r>
          </w:p>
          <w:p>
            <w:pPr>
              <w:spacing w:line="360" w:lineRule="auto"/>
              <w:jc w:val="left"/>
              <w:rPr>
                <w:rFonts w:hint="eastAsia" w:hAnsi="宋体"/>
                <w:color w:val="auto"/>
                <w:sz w:val="18"/>
                <w:szCs w:val="18"/>
              </w:rPr>
            </w:pPr>
            <w:r>
              <w:rPr>
                <w:rFonts w:hint="eastAsia" w:hAnsi="宋体"/>
                <w:color w:val="auto"/>
                <w:sz w:val="18"/>
                <w:szCs w:val="18"/>
              </w:rPr>
              <w:t>【</w:t>
            </w:r>
            <w:r>
              <w:rPr>
                <w:rFonts w:hint="eastAsia" w:hAnsi="宋体"/>
                <w:color w:val="auto"/>
                <w:sz w:val="18"/>
                <w:szCs w:val="18"/>
                <w:lang w:eastAsia="zh-CN"/>
              </w:rPr>
              <w:t>9N25520</w:t>
            </w:r>
            <w:r>
              <w:rPr>
                <w:rFonts w:hint="eastAsia" w:hAnsi="宋体"/>
                <w:color w:val="auto"/>
                <w:sz w:val="18"/>
                <w:szCs w:val="18"/>
              </w:rPr>
              <w:t>C】（适用【C】类份额）</w:t>
            </w:r>
          </w:p>
          <w:p>
            <w:pPr>
              <w:spacing w:line="360" w:lineRule="auto"/>
              <w:jc w:val="left"/>
              <w:rPr>
                <w:rFonts w:hAnsi="宋体"/>
                <w:sz w:val="18"/>
                <w:szCs w:val="18"/>
              </w:rPr>
            </w:pPr>
            <w:r>
              <w:rPr>
                <w:rFonts w:hint="eastAsia" w:hAnsi="宋体"/>
                <w:color w:val="auto"/>
                <w:sz w:val="18"/>
                <w:szCs w:val="18"/>
              </w:rPr>
              <w:t>【</w:t>
            </w:r>
            <w:r>
              <w:rPr>
                <w:rFonts w:hint="eastAsia" w:hAnsi="宋体"/>
                <w:color w:val="auto"/>
                <w:sz w:val="18"/>
                <w:szCs w:val="18"/>
                <w:lang w:eastAsia="zh-CN"/>
              </w:rPr>
              <w:t>9N25520</w:t>
            </w:r>
            <w:r>
              <w:rPr>
                <w:rFonts w:hint="eastAsia" w:hAnsi="宋体"/>
                <w:color w:val="auto"/>
                <w:sz w:val="18"/>
                <w:szCs w:val="18"/>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10</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hint="eastAsia" w:asciiTheme="majorEastAsia" w:hAnsiTheme="majorEastAsia" w:eastAsiaTheme="majorEastAsia"/>
                <w:bCs/>
                <w:sz w:val="18"/>
                <w:szCs w:val="18"/>
                <w:lang w:val="en-US" w:eastAsia="zh-CN"/>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432天</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□无固定期限</w:t>
            </w:r>
          </w:p>
          <w:p>
            <w:pPr>
              <w:spacing w:line="360" w:lineRule="auto"/>
              <w:rPr>
                <w:rFonts w:asciiTheme="majorEastAsia" w:hAnsiTheme="majorEastAsia" w:eastAsiaTheme="majorEastAsia"/>
                <w:bCs/>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337"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hint="eastAsia" w:cs="Times New Roman" w:asciiTheme="minorEastAsia" w:hAnsiTheme="minorEastAsia"/>
                <w:color w:val="auto"/>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color w:val="auto"/>
                <w:sz w:val="18"/>
                <w:szCs w:val="18"/>
              </w:rPr>
              <w:t>【202</w:t>
            </w:r>
            <w:r>
              <w:rPr>
                <w:rFonts w:hint="eastAsia" w:cs="Times New Roman" w:asciiTheme="minorEastAsia" w:hAnsiTheme="minorEastAsia"/>
                <w:color w:val="auto"/>
                <w:sz w:val="18"/>
                <w:szCs w:val="18"/>
                <w:lang w:val="en-US" w:eastAsia="zh-CN"/>
              </w:rPr>
              <w:t>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05</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28</w:t>
            </w:r>
            <w:r>
              <w:rPr>
                <w:rFonts w:hint="eastAsia" w:cs="Times New Roman" w:asciiTheme="minorEastAsia" w:hAnsiTheme="minorEastAsia"/>
                <w:color w:val="auto"/>
                <w:sz w:val="18"/>
                <w:szCs w:val="18"/>
              </w:rPr>
              <w:t>】日【9:00】至【202</w:t>
            </w:r>
            <w:r>
              <w:rPr>
                <w:rFonts w:hint="eastAsia" w:cs="Times New Roman" w:asciiTheme="minorEastAsia" w:hAnsiTheme="minorEastAsia"/>
                <w:color w:val="auto"/>
                <w:sz w:val="18"/>
                <w:szCs w:val="18"/>
                <w:lang w:val="en-US" w:eastAsia="zh-CN"/>
              </w:rPr>
              <w:t>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06</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05</w:t>
            </w:r>
            <w:r>
              <w:rPr>
                <w:rFonts w:hint="eastAsia" w:cs="Times New Roman" w:asciiTheme="minorEastAsia" w:hAnsiTheme="minorEastAsia"/>
                <w:color w:val="auto"/>
                <w:sz w:val="18"/>
                <w:szCs w:val="18"/>
              </w:rPr>
              <w:t>】日【17:00】。</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asciiTheme="majorEastAsia" w:hAnsiTheme="majorEastAsia" w:eastAsiaTheme="majorEastAsia"/>
                <w:bCs/>
                <w:sz w:val="18"/>
                <w:szCs w:val="18"/>
              </w:rPr>
            </w:pPr>
            <w:r>
              <w:rPr>
                <w:rFonts w:hint="eastAsia" w:ascii="黑体" w:hAnsi="黑体" w:eastAsia="黑体" w:cs="黑体"/>
                <w:bCs/>
                <w:color w:val="000000" w:themeColor="text1"/>
                <w:sz w:val="18"/>
                <w:szCs w:val="18"/>
                <w14:textFill>
                  <w14:solidFill>
                    <w14:schemeClr w14:val="tx1"/>
                  </w14:solidFill>
                </w14:textFill>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color w:val="auto"/>
                <w:sz w:val="18"/>
                <w:szCs w:val="18"/>
              </w:rPr>
              <w:t>【202</w:t>
            </w:r>
            <w:r>
              <w:rPr>
                <w:rFonts w:hint="eastAsia" w:cs="Times New Roman" w:asciiTheme="minorEastAsia" w:hAnsiTheme="minorEastAsia"/>
                <w:color w:val="auto"/>
                <w:sz w:val="18"/>
                <w:szCs w:val="18"/>
                <w:lang w:val="en-US" w:eastAsia="zh-CN"/>
              </w:rPr>
              <w:t>5</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06</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06</w:t>
            </w:r>
            <w:r>
              <w:rPr>
                <w:rFonts w:hint="eastAsia" w:cs="Times New Roman" w:asciiTheme="minorEastAsia" w:hAnsiTheme="minorEastAsia"/>
                <w:color w:val="auto"/>
                <w:sz w:val="18"/>
                <w:szCs w:val="18"/>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keepNext w:val="0"/>
              <w:keepLines w:val="0"/>
              <w:widowControl/>
              <w:suppressLineNumbers w:val="0"/>
              <w:jc w:val="left"/>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color w:val="auto"/>
                <w:sz w:val="18"/>
                <w:szCs w:val="18"/>
              </w:rPr>
              <w:t>【202</w:t>
            </w:r>
            <w:r>
              <w:rPr>
                <w:rFonts w:hint="eastAsia" w:cs="Times New Roman" w:asciiTheme="minorEastAsia" w:hAnsiTheme="minorEastAsia"/>
                <w:color w:val="auto"/>
                <w:sz w:val="18"/>
                <w:szCs w:val="18"/>
                <w:lang w:val="en-US" w:eastAsia="zh-CN"/>
              </w:rPr>
              <w:t>6</w:t>
            </w:r>
            <w:r>
              <w:rPr>
                <w:rFonts w:hint="eastAsia" w:cs="Times New Roman" w:asciiTheme="minorEastAsia" w:hAnsiTheme="minorEastAsia"/>
                <w:color w:val="auto"/>
                <w:sz w:val="18"/>
                <w:szCs w:val="18"/>
              </w:rPr>
              <w:t>】年【</w:t>
            </w:r>
            <w:r>
              <w:rPr>
                <w:rFonts w:hint="eastAsia" w:cs="Times New Roman" w:asciiTheme="minorEastAsia" w:hAnsiTheme="minorEastAsia"/>
                <w:color w:val="auto"/>
                <w:sz w:val="18"/>
                <w:szCs w:val="18"/>
                <w:lang w:val="en-US" w:eastAsia="zh-CN"/>
              </w:rPr>
              <w:t>08</w:t>
            </w:r>
            <w:r>
              <w:rPr>
                <w:rFonts w:hint="eastAsia" w:cs="Times New Roman" w:asciiTheme="minorEastAsia" w:hAnsiTheme="minorEastAsia"/>
                <w:color w:val="auto"/>
                <w:sz w:val="18"/>
                <w:szCs w:val="18"/>
              </w:rPr>
              <w:t>】月【</w:t>
            </w:r>
            <w:r>
              <w:rPr>
                <w:rFonts w:hint="eastAsia" w:cs="Times New Roman" w:asciiTheme="minorEastAsia" w:hAnsiTheme="minorEastAsia"/>
                <w:color w:val="auto"/>
                <w:sz w:val="18"/>
                <w:szCs w:val="18"/>
                <w:lang w:val="en-US" w:eastAsia="zh-CN"/>
              </w:rPr>
              <w:t>12</w:t>
            </w:r>
            <w:r>
              <w:rPr>
                <w:rFonts w:hint="eastAsia" w:cs="Times New Roman" w:asciiTheme="minorEastAsia" w:hAnsiTheme="minorEastAsia"/>
                <w:color w:val="auto"/>
                <w:sz w:val="18"/>
                <w:szCs w:val="18"/>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/B/C/D</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w:t>
            </w:r>
            <w:r>
              <w:rPr>
                <w:rFonts w:hint="eastAsia" w:hAnsi="宋体"/>
                <w:bCs/>
                <w:sz w:val="18"/>
                <w:szCs w:val="18"/>
                <w:lang w:eastAsia="zh-CN"/>
              </w:rPr>
              <w:t>【</w:t>
            </w:r>
            <w:r>
              <w:rPr>
                <w:rFonts w:hint="eastAsia" w:hAnsi="宋体"/>
                <w:bCs/>
                <w:sz w:val="18"/>
                <w:szCs w:val="18"/>
                <w:lang w:val="en-US" w:eastAsia="zh-CN"/>
              </w:rPr>
              <w:t>/</w:t>
            </w:r>
            <w:r>
              <w:rPr>
                <w:rFonts w:hint="eastAsia" w:hAnsi="宋体"/>
                <w:bCs/>
                <w:sz w:val="18"/>
                <w:szCs w:val="18"/>
                <w:lang w:eastAsia="zh-CN"/>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int="eastAsia" w:hAnsi="宋体"/>
                <w:sz w:val="18"/>
                <w:szCs w:val="18"/>
              </w:rPr>
              <w:t>（适用</w:t>
            </w:r>
            <w:r>
              <w:rPr>
                <w:rFonts w:hint="eastAsia" w:hAnsi="宋体"/>
                <w:sz w:val="18"/>
                <w:szCs w:val="18"/>
                <w:lang w:eastAsia="zh-CN"/>
              </w:rPr>
              <w:t>【</w:t>
            </w:r>
            <w:r>
              <w:rPr>
                <w:rFonts w:hint="eastAsia" w:hAnsi="宋体"/>
                <w:sz w:val="18"/>
                <w:szCs w:val="18"/>
                <w:lang w:val="en-US" w:eastAsia="zh-CN"/>
              </w:rPr>
              <w:t>/</w:t>
            </w:r>
            <w:r>
              <w:rPr>
                <w:rFonts w:hint="eastAsia" w:hAnsi="宋体"/>
                <w:sz w:val="18"/>
                <w:szCs w:val="18"/>
                <w:lang w:eastAsia="zh-CN"/>
              </w:rPr>
              <w:t>】类</w:t>
            </w:r>
            <w:r>
              <w:rPr>
                <w:rFonts w:hint="eastAsia" w:hAnsi="宋体"/>
                <w:sz w:val="18"/>
                <w:szCs w:val="18"/>
              </w:rPr>
              <w:t>份额）</w:t>
            </w:r>
          </w:p>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【根据本产品各类资产的拟投资比例、资产信用利差、久期敞口以及流动性溢价，结合当前宏观环境和各类资产价格所处的位置，参考历史经验和回测结果，设定业绩基准</w:t>
            </w:r>
            <w:r>
              <w:rPr>
                <w:rFonts w:ascii="宋体" w:hAnsi="宋体"/>
                <w:bCs/>
                <w:sz w:val="18"/>
                <w:szCs w:val="18"/>
              </w:rPr>
              <w:t>】</w:t>
            </w:r>
            <w:r>
              <w:rPr>
                <w:rFonts w:hint="eastAsia" w:asciiTheme="majorEastAsia" w:hAnsiTheme="majorEastAsia" w:eastAsiaTheme="majorEastAsia"/>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spacing w:line="360" w:lineRule="auto"/>
              <w:jc w:val="left"/>
              <w:rPr>
                <w:rFonts w:hint="eastAsia" w:ascii="宋体" w:hAnsi="宋体"/>
                <w:bCs/>
                <w:sz w:val="18"/>
                <w:szCs w:val="18"/>
              </w:rPr>
            </w:pPr>
            <w:r>
              <w:rPr>
                <w:rFonts w:hint="eastAsia" w:ascii="宋体" w:hAnsi="宋体"/>
                <w:bCs/>
                <w:sz w:val="18"/>
                <w:szCs w:val="18"/>
              </w:rPr>
              <w:t>A类份额：年化【2.43%】。</w:t>
            </w:r>
          </w:p>
          <w:p>
            <w:pPr>
              <w:spacing w:line="360" w:lineRule="auto"/>
              <w:jc w:val="left"/>
              <w:rPr>
                <w:rFonts w:hint="eastAsia" w:ascii="宋体" w:hAnsi="宋体"/>
                <w:bCs/>
                <w:sz w:val="18"/>
                <w:szCs w:val="18"/>
              </w:rPr>
            </w:pPr>
            <w:r>
              <w:rPr>
                <w:rFonts w:hint="eastAsia" w:ascii="宋体" w:hAnsi="宋体"/>
                <w:bCs/>
                <w:sz w:val="18"/>
                <w:szCs w:val="18"/>
                <w:lang w:val="en-US" w:eastAsia="zh-CN"/>
              </w:rPr>
              <w:t>B</w:t>
            </w:r>
            <w:r>
              <w:rPr>
                <w:rFonts w:hint="eastAsia" w:ascii="宋体" w:hAnsi="宋体"/>
                <w:bCs/>
                <w:sz w:val="18"/>
                <w:szCs w:val="18"/>
              </w:rPr>
              <w:t>类份额：年化【2.49%】。</w:t>
            </w:r>
          </w:p>
          <w:p>
            <w:pPr>
              <w:spacing w:line="360" w:lineRule="auto"/>
              <w:jc w:val="left"/>
              <w:rPr>
                <w:rFonts w:hint="eastAsia" w:ascii="宋体" w:hAnsi="宋体"/>
                <w:bCs/>
                <w:sz w:val="18"/>
                <w:szCs w:val="18"/>
              </w:rPr>
            </w:pPr>
            <w:r>
              <w:rPr>
                <w:rFonts w:hint="eastAsia" w:ascii="宋体" w:hAnsi="宋体"/>
                <w:bCs/>
                <w:sz w:val="18"/>
                <w:szCs w:val="18"/>
                <w:lang w:val="en-US" w:eastAsia="zh-CN"/>
              </w:rPr>
              <w:t>C</w:t>
            </w:r>
            <w:r>
              <w:rPr>
                <w:rFonts w:hint="eastAsia" w:ascii="宋体" w:hAnsi="宋体"/>
                <w:bCs/>
                <w:sz w:val="18"/>
                <w:szCs w:val="18"/>
              </w:rPr>
              <w:t>类份额：年化【2.34%】。</w:t>
            </w:r>
          </w:p>
          <w:p>
            <w:pPr>
              <w:spacing w:line="360" w:lineRule="auto"/>
              <w:jc w:val="left"/>
              <w:rPr>
                <w:rFonts w:hint="eastAsia" w:ascii="宋体" w:hAnsi="宋体"/>
                <w:bCs/>
                <w:sz w:val="18"/>
                <w:szCs w:val="18"/>
              </w:rPr>
            </w:pPr>
            <w:r>
              <w:rPr>
                <w:rFonts w:hint="eastAsia" w:ascii="宋体" w:hAnsi="宋体"/>
                <w:bCs/>
                <w:sz w:val="18"/>
                <w:szCs w:val="18"/>
                <w:lang w:val="en-US" w:eastAsia="zh-CN"/>
              </w:rPr>
              <w:t>D</w:t>
            </w:r>
            <w:r>
              <w:rPr>
                <w:rFonts w:hint="eastAsia" w:ascii="宋体" w:hAnsi="宋体"/>
                <w:bCs/>
                <w:sz w:val="18"/>
                <w:szCs w:val="18"/>
              </w:rPr>
              <w:t>类份额：年化【2.24%】。</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eastAsia="zh-CN"/>
              </w:rPr>
              <w:t>【</w:t>
            </w:r>
            <w:r>
              <w:rPr>
                <w:rFonts w:hint="eastAsia" w:hAnsi="宋体"/>
                <w:bCs/>
                <w:sz w:val="18"/>
                <w:szCs w:val="18"/>
                <w:lang w:val="en-US" w:eastAsia="zh-CN"/>
              </w:rPr>
              <w:t>/</w:t>
            </w:r>
            <w:r>
              <w:rPr>
                <w:rFonts w:hint="eastAsia" w:hAnsi="宋体"/>
                <w:bCs/>
                <w:sz w:val="18"/>
                <w:szCs w:val="18"/>
                <w:lang w:eastAsia="zh-CN"/>
              </w:rPr>
              <w:t>】类</w:t>
            </w:r>
            <w:r>
              <w:rPr>
                <w:rFonts w:hAnsi="宋体"/>
                <w:bCs/>
                <w:sz w:val="18"/>
                <w:szCs w:val="18"/>
              </w:rPr>
              <w:t>份额</w:t>
            </w:r>
            <w:r>
              <w:rPr>
                <w:rFonts w:hint="eastAsia" w:hAnsi="宋体"/>
                <w:bCs/>
                <w:sz w:val="18"/>
                <w:szCs w:val="18"/>
              </w:rPr>
              <w:t>）</w:t>
            </w:r>
          </w:p>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pPr>
              <w:spacing w:line="360" w:lineRule="auto"/>
              <w:jc w:val="left"/>
              <w:rPr>
                <w:rFonts w:hint="eastAsia" w:ascii="宋体" w:hAnsi="宋体"/>
                <w:bCs/>
                <w:sz w:val="18"/>
                <w:szCs w:val="18"/>
              </w:rPr>
            </w:pPr>
            <w:r>
              <w:rPr>
                <w:rFonts w:hint="eastAsia" w:ascii="宋体" w:hAnsi="宋体"/>
                <w:bCs/>
                <w:sz w:val="18"/>
                <w:szCs w:val="18"/>
              </w:rPr>
              <w:t>A类份额：年化【2.43%】。</w:t>
            </w:r>
          </w:p>
          <w:p>
            <w:pPr>
              <w:spacing w:line="360" w:lineRule="auto"/>
              <w:jc w:val="left"/>
              <w:rPr>
                <w:rFonts w:hint="eastAsia" w:ascii="宋体" w:hAnsi="宋体"/>
                <w:bCs/>
                <w:sz w:val="18"/>
                <w:szCs w:val="18"/>
              </w:rPr>
            </w:pPr>
            <w:r>
              <w:rPr>
                <w:rFonts w:hint="eastAsia" w:ascii="宋体" w:hAnsi="宋体"/>
                <w:bCs/>
                <w:sz w:val="18"/>
                <w:szCs w:val="18"/>
              </w:rPr>
              <w:t>B类份额：年化【2.49%】。</w:t>
            </w:r>
          </w:p>
          <w:p>
            <w:pPr>
              <w:spacing w:line="360" w:lineRule="auto"/>
              <w:jc w:val="left"/>
              <w:rPr>
                <w:rFonts w:hint="eastAsia" w:ascii="宋体" w:hAnsi="宋体"/>
                <w:bCs/>
                <w:sz w:val="18"/>
                <w:szCs w:val="18"/>
              </w:rPr>
            </w:pPr>
            <w:r>
              <w:rPr>
                <w:rFonts w:hint="eastAsia" w:ascii="宋体" w:hAnsi="宋体"/>
                <w:bCs/>
                <w:sz w:val="18"/>
                <w:szCs w:val="18"/>
              </w:rPr>
              <w:t>C类份额：年化【2.34%】。</w:t>
            </w:r>
          </w:p>
          <w:p>
            <w:pPr>
              <w:spacing w:line="360" w:lineRule="auto"/>
              <w:jc w:val="left"/>
              <w:rPr>
                <w:rFonts w:hint="eastAsia" w:ascii="宋体" w:hAnsi="宋体"/>
                <w:bCs/>
                <w:sz w:val="18"/>
                <w:szCs w:val="18"/>
              </w:rPr>
            </w:pPr>
            <w:r>
              <w:rPr>
                <w:rFonts w:hint="eastAsia" w:ascii="宋体" w:hAnsi="宋体"/>
                <w:bCs/>
                <w:sz w:val="18"/>
                <w:szCs w:val="18"/>
              </w:rPr>
              <w:t>D类份额：年化【2.24%】。</w:t>
            </w:r>
          </w:p>
          <w:p>
            <w:pPr>
              <w:spacing w:line="360" w:lineRule="auto"/>
              <w:jc w:val="left"/>
              <w:rPr>
                <w:rFonts w:ascii="宋体" w:hAnsi="宋体"/>
                <w:bCs/>
                <w:sz w:val="18"/>
                <w:szCs w:val="18"/>
              </w:rPr>
            </w:pPr>
            <w:bookmarkStart w:id="156" w:name="_GoBack"/>
            <w:bookmarkEnd w:id="156"/>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】类</w:t>
            </w:r>
            <w:r>
              <w:rPr>
                <w:rFonts w:hint="eastAsia" w:asciiTheme="majorEastAsia" w:hAnsiTheme="majorEastAsia" w:eastAsiaTheme="majorEastAsia"/>
                <w:bCs/>
                <w:color w:val="000000" w:themeColor="text1"/>
                <w:sz w:val="18"/>
                <w:szCs w:val="18"/>
                <w14:textFill>
                  <w14:solidFill>
                    <w14:schemeClr w14:val="tx1"/>
                  </w14:solidFill>
                </w14:textFill>
              </w:rPr>
              <w:t>份额）</w:t>
            </w:r>
          </w:p>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pPr>
              <w:spacing w:line="360" w:lineRule="auto"/>
              <w:rPr>
                <w:rFonts w:hint="eastAsia" w:ascii="黑体" w:hAnsi="黑体" w:eastAsia="黑体"/>
                <w:bCs/>
                <w:sz w:val="18"/>
                <w:szCs w:val="18"/>
              </w:rPr>
            </w:pPr>
            <w:r>
              <w:rPr>
                <w:rFonts w:hint="eastAsia" w:ascii="黑体" w:hAnsi="黑体" w:eastAsia="黑体"/>
                <w:bCs/>
                <w:sz w:val="18"/>
                <w:szCs w:val="18"/>
              </w:rPr>
              <w:t>A类份额：年化费率【0.</w:t>
            </w:r>
            <w:r>
              <w:rPr>
                <w:rFonts w:hint="eastAsia" w:ascii="黑体" w:hAnsi="黑体" w:eastAsia="黑体"/>
                <w:bCs/>
                <w:sz w:val="18"/>
                <w:szCs w:val="18"/>
                <w:lang w:val="en-US" w:eastAsia="zh-CN"/>
              </w:rPr>
              <w:t>11</w:t>
            </w:r>
            <w:r>
              <w:rPr>
                <w:rFonts w:hint="eastAsia" w:ascii="黑体" w:hAnsi="黑体" w:eastAsia="黑体"/>
                <w:bCs/>
                <w:sz w:val="18"/>
                <w:szCs w:val="18"/>
              </w:rPr>
              <w:t>%】。</w:t>
            </w:r>
          </w:p>
          <w:p>
            <w:pPr>
              <w:spacing w:line="360" w:lineRule="auto"/>
              <w:rPr>
                <w:rFonts w:hint="eastAsia" w:ascii="黑体" w:hAnsi="黑体" w:eastAsia="黑体"/>
                <w:bCs/>
                <w:sz w:val="18"/>
                <w:szCs w:val="18"/>
              </w:rPr>
            </w:pPr>
            <w:r>
              <w:rPr>
                <w:rFonts w:hint="eastAsia" w:ascii="黑体" w:hAnsi="黑体" w:eastAsia="黑体"/>
                <w:bCs/>
                <w:sz w:val="18"/>
                <w:szCs w:val="18"/>
                <w:lang w:val="en-US" w:eastAsia="zh-CN"/>
              </w:rPr>
              <w:t>B</w:t>
            </w:r>
            <w:r>
              <w:rPr>
                <w:rFonts w:hint="eastAsia" w:ascii="黑体" w:hAnsi="黑体" w:eastAsia="黑体"/>
                <w:bCs/>
                <w:sz w:val="18"/>
                <w:szCs w:val="18"/>
              </w:rPr>
              <w:t>类份额：年化费率【0.</w:t>
            </w:r>
            <w:r>
              <w:rPr>
                <w:rFonts w:hint="eastAsia" w:ascii="黑体" w:hAnsi="黑体" w:eastAsia="黑体"/>
                <w:bCs/>
                <w:sz w:val="18"/>
                <w:szCs w:val="18"/>
                <w:lang w:val="en-US" w:eastAsia="zh-CN"/>
              </w:rPr>
              <w:t>05</w:t>
            </w:r>
            <w:r>
              <w:rPr>
                <w:rFonts w:hint="eastAsia" w:ascii="黑体" w:hAnsi="黑体" w:eastAsia="黑体"/>
                <w:bCs/>
                <w:sz w:val="18"/>
                <w:szCs w:val="18"/>
              </w:rPr>
              <w:t>%】。</w:t>
            </w:r>
          </w:p>
          <w:p>
            <w:pPr>
              <w:spacing w:line="360" w:lineRule="auto"/>
              <w:rPr>
                <w:rFonts w:hint="eastAsia" w:ascii="黑体" w:hAnsi="黑体" w:eastAsia="黑体"/>
                <w:bCs/>
                <w:sz w:val="18"/>
                <w:szCs w:val="18"/>
              </w:rPr>
            </w:pPr>
            <w:r>
              <w:rPr>
                <w:rFonts w:hint="eastAsia" w:ascii="黑体" w:hAnsi="黑体" w:eastAsia="黑体"/>
                <w:bCs/>
                <w:sz w:val="18"/>
                <w:szCs w:val="18"/>
                <w:lang w:val="en-US" w:eastAsia="zh-CN"/>
              </w:rPr>
              <w:t>C</w:t>
            </w:r>
            <w:r>
              <w:rPr>
                <w:rFonts w:hint="eastAsia" w:ascii="黑体" w:hAnsi="黑体" w:eastAsia="黑体"/>
                <w:bCs/>
                <w:sz w:val="18"/>
                <w:szCs w:val="18"/>
              </w:rPr>
              <w:t>类份额：年化费率【0.2</w:t>
            </w:r>
            <w:r>
              <w:rPr>
                <w:rFonts w:hint="eastAsia" w:ascii="黑体" w:hAnsi="黑体" w:eastAsia="黑体"/>
                <w:bCs/>
                <w:sz w:val="18"/>
                <w:szCs w:val="18"/>
                <w:lang w:val="en-US" w:eastAsia="zh-CN"/>
              </w:rPr>
              <w:t>0</w:t>
            </w:r>
            <w:r>
              <w:rPr>
                <w:rFonts w:hint="eastAsia" w:ascii="黑体" w:hAnsi="黑体" w:eastAsia="黑体"/>
                <w:bCs/>
                <w:sz w:val="18"/>
                <w:szCs w:val="18"/>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sz w:val="18"/>
                <w:szCs w:val="18"/>
                <w:lang w:val="en-US" w:eastAsia="zh-CN"/>
              </w:rPr>
              <w:t>D</w:t>
            </w:r>
            <w:r>
              <w:rPr>
                <w:rFonts w:hint="eastAsia" w:ascii="黑体" w:hAnsi="黑体" w:eastAsia="黑体"/>
                <w:bCs/>
                <w:sz w:val="18"/>
                <w:szCs w:val="18"/>
              </w:rPr>
              <w:t>类份额：年化费率【0.</w:t>
            </w:r>
            <w:r>
              <w:rPr>
                <w:rFonts w:hint="eastAsia" w:ascii="黑体" w:hAnsi="黑体" w:eastAsia="黑体"/>
                <w:bCs/>
                <w:sz w:val="18"/>
                <w:szCs w:val="18"/>
                <w:lang w:val="en-US" w:eastAsia="zh-CN"/>
              </w:rPr>
              <w:t>30</w:t>
            </w:r>
            <w:r>
              <w:rPr>
                <w:rFonts w:hint="eastAsia" w:ascii="黑体" w:hAnsi="黑体" w:eastAsia="黑体"/>
                <w:bCs/>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bCs/>
                <w:sz w:val="18"/>
                <w:szCs w:val="18"/>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bCs/>
                <w:sz w:val="18"/>
                <w:szCs w:val="18"/>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5</w:t>
            </w:r>
            <w:r>
              <w:rPr>
                <w:rFonts w:ascii="宋体" w:hAnsi="宋体"/>
                <w:sz w:val="18"/>
                <w:szCs w:val="18"/>
              </w:rPr>
              <w:t>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76189756"/>
      <w:bookmarkStart w:id="11" w:name="_Toc7151"/>
      <w:bookmarkStart w:id="12" w:name="_Toc90742321"/>
      <w:bookmarkStart w:id="13" w:name="_Toc29784"/>
      <w:bookmarkStart w:id="14" w:name="_Toc3266"/>
      <w:bookmarkStart w:id="15" w:name="_Toc29948"/>
      <w:bookmarkStart w:id="16" w:name="_Toc6714"/>
      <w:bookmarkStart w:id="17" w:name="_Toc27189"/>
      <w:bookmarkStart w:id="18" w:name="_Toc90742688"/>
      <w:bookmarkStart w:id="19" w:name="_Toc22074"/>
      <w:bookmarkStart w:id="20" w:name="_Toc90742390"/>
      <w:bookmarkStart w:id="21" w:name="_Toc27226"/>
      <w:bookmarkStart w:id="22" w:name="_Toc15203"/>
      <w:bookmarkStart w:id="23" w:name="_Toc79154668"/>
      <w:bookmarkStart w:id="24" w:name="_Toc74065741"/>
      <w:bookmarkStart w:id="25" w:name="_Toc16265"/>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（3）符合监管要求的债权类资产。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（4）以套期保值为目的的国债期货、利率互换、信用风险缓释工具、债券借贷。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（5）优先股。</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（6）结构化资产管理产品的优先级份额。</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投资于（1）-（5）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（8）其他风险不高于前述资产的资产。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kern w:val="0"/>
          <w:sz w:val="18"/>
          <w:szCs w:val="18"/>
        </w:rPr>
        <w:t>【</w:t>
      </w:r>
      <w:r>
        <w:rPr>
          <w:rFonts w:hint="eastAsia" w:asciiTheme="majorEastAsia" w:hAnsiTheme="majorEastAsia" w:eastAsiaTheme="majorEastAsia"/>
          <w:bCs/>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（2）国债期货、利率互换、信用风险缓释工具等衍生品占产品总资产比例</w:t>
      </w:r>
      <w:r>
        <w:rPr>
          <w:rFonts w:hint="eastAsia" w:asciiTheme="majorEastAsia" w:hAnsiTheme="majorEastAsia" w:eastAsiaTheme="majorEastAsia"/>
          <w:bCs/>
          <w:sz w:val="18"/>
          <w:szCs w:val="18"/>
          <w:lang w:val="en-US" w:eastAsia="zh-CN"/>
        </w:rPr>
        <w:t>低</w:t>
      </w:r>
      <w:r>
        <w:rPr>
          <w:rFonts w:hint="eastAsia" w:asciiTheme="majorEastAsia" w:hAnsiTheme="majorEastAsia" w:eastAsiaTheme="majorEastAsia"/>
          <w:bCs/>
          <w:sz w:val="18"/>
          <w:szCs w:val="18"/>
        </w:rPr>
        <w:t>于20%。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（3）投资于权益类资产的比例不高于产品总资产的10%，权益类资产仅限于投资于优先股和结构化资产管理产品的优先级份额。</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（4）符合监管要求的非标准化债权类资产低于产品净资产的50%。</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ermEnd w:id="18"/>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【通过对经济基本面、企业盈利、无风险利率水平、资金面等因素进行定性和定量分析，根据产品的业绩目标和回撤目标制定各个阶段产品资产投资比例。】</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7848"/>
      <w:bookmarkStart w:id="28" w:name="_Toc4741"/>
      <w:bookmarkStart w:id="29" w:name="_Toc14893"/>
      <w:bookmarkStart w:id="30" w:name="_Toc18329"/>
      <w:bookmarkStart w:id="31" w:name="_Toc74065742"/>
      <w:bookmarkStart w:id="32" w:name="_Toc1823"/>
      <w:bookmarkStart w:id="33" w:name="_Toc17912"/>
      <w:bookmarkStart w:id="34" w:name="_Toc139991735"/>
      <w:bookmarkStart w:id="35" w:name="_Toc79154669"/>
      <w:bookmarkStart w:id="36" w:name="_Toc176189758"/>
      <w:bookmarkStart w:id="37" w:name="_Toc18526"/>
      <w:bookmarkStart w:id="38" w:name="_Toc21988"/>
      <w:bookmarkStart w:id="39" w:name="_Toc141703885"/>
      <w:bookmarkStart w:id="40" w:name="_Toc18797"/>
      <w:bookmarkStart w:id="41" w:name="_Toc26986"/>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1427"/>
      <w:bookmarkStart w:id="44" w:name="_Toc20733"/>
      <w:bookmarkStart w:id="45" w:name="_Toc123112234"/>
      <w:bookmarkStart w:id="46" w:name="_Toc17244"/>
      <w:bookmarkStart w:id="47" w:name="_Toc7920"/>
      <w:bookmarkStart w:id="48" w:name="_Toc141703886"/>
      <w:bookmarkStart w:id="49" w:name="_Toc23261"/>
      <w:bookmarkStart w:id="50" w:name="_Toc176189759"/>
      <w:bookmarkStart w:id="51" w:name="_Toc74065743"/>
      <w:bookmarkStart w:id="52" w:name="_Toc123102453"/>
      <w:bookmarkStart w:id="53" w:name="_Toc1270"/>
      <w:bookmarkStart w:id="54" w:name="_Toc23822"/>
      <w:bookmarkStart w:id="55" w:name="_Toc98560352"/>
      <w:bookmarkStart w:id="56" w:name="_Toc4003"/>
      <w:bookmarkStart w:id="57" w:name="_Toc10463"/>
      <w:bookmarkStart w:id="58" w:name="_Toc610"/>
      <w:bookmarkStart w:id="59" w:name="_Toc48649707"/>
      <w:bookmarkStart w:id="60" w:name="_Toc139991736"/>
      <w:bookmarkStart w:id="61" w:name="_Toc79392606"/>
      <w:bookmarkStart w:id="62" w:name="_Toc123051452"/>
      <w:bookmarkStart w:id="63" w:name="_Toc79154670"/>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176189760"/>
      <w:bookmarkStart w:id="66" w:name="_Toc123112235"/>
      <w:bookmarkStart w:id="67" w:name="_Toc31235"/>
      <w:bookmarkStart w:id="68" w:name="_Toc79154671"/>
      <w:bookmarkStart w:id="69" w:name="_Toc123102454"/>
      <w:bookmarkStart w:id="70" w:name="_Toc12245"/>
      <w:bookmarkStart w:id="71" w:name="_Toc3601"/>
      <w:bookmarkStart w:id="72" w:name="_Toc31644"/>
      <w:bookmarkStart w:id="73" w:name="_Toc31653"/>
      <w:bookmarkStart w:id="74" w:name="_Toc123051453"/>
      <w:bookmarkStart w:id="75" w:name="_Toc6405"/>
      <w:bookmarkStart w:id="76" w:name="_Toc26207"/>
      <w:bookmarkStart w:id="77" w:name="_Toc15143"/>
      <w:bookmarkStart w:id="78" w:name="_Toc14835"/>
      <w:bookmarkStart w:id="79" w:name="_Toc29251"/>
      <w:bookmarkStart w:id="80" w:name="_Toc139991737"/>
      <w:bookmarkStart w:id="81" w:name="_Toc141703887"/>
      <w:bookmarkStart w:id="82" w:name="_Toc74065744"/>
      <w:bookmarkStart w:id="83" w:name="_Toc98560353"/>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15118234"/>
      <w:bookmarkStart w:id="86" w:name="_Toc523711668"/>
      <w:bookmarkStart w:id="87" w:name="_Toc79392580"/>
      <w:bookmarkStart w:id="88"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6447"/>
      <w:bookmarkStart w:id="92" w:name="_Toc176189761"/>
      <w:bookmarkStart w:id="93" w:name="_Toc10650"/>
      <w:bookmarkStart w:id="94" w:name="_Toc74065745"/>
      <w:bookmarkStart w:id="95" w:name="_Toc141703888"/>
      <w:bookmarkStart w:id="96" w:name="_Toc18567"/>
      <w:bookmarkStart w:id="97" w:name="_Toc9706"/>
      <w:bookmarkStart w:id="98" w:name="_Toc139991738"/>
      <w:bookmarkStart w:id="99" w:name="_Toc3771"/>
      <w:bookmarkStart w:id="100" w:name="_Toc123102455"/>
      <w:bookmarkStart w:id="101" w:name="_Toc11030"/>
      <w:bookmarkStart w:id="102" w:name="_Toc123112236"/>
      <w:bookmarkStart w:id="103" w:name="_Toc3321"/>
      <w:bookmarkStart w:id="104" w:name="_Toc123051454"/>
      <w:bookmarkStart w:id="105" w:name="_Toc79392583"/>
      <w:bookmarkStart w:id="106" w:name="_Toc98560354"/>
      <w:bookmarkStart w:id="107" w:name="_Toc4559"/>
      <w:bookmarkStart w:id="108" w:name="_Toc79154672"/>
      <w:bookmarkStart w:id="109" w:name="_Toc25783"/>
      <w:bookmarkStart w:id="110" w:name="_Toc7058"/>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pStyle w:val="34"/>
        <w:spacing w:line="360" w:lineRule="auto"/>
        <w:ind w:firstLine="360" w:firstLineChars="200"/>
        <w:rPr>
          <w:rFonts w:hAnsi="宋体"/>
          <w:sz w:val="18"/>
          <w:szCs w:val="18"/>
        </w:rPr>
      </w:pPr>
      <w:permStart w:id="23" w:edGrp="everyone"/>
      <w:r>
        <w:rPr>
          <w:rFonts w:hint="eastAsia" w:hAnsi="宋体"/>
          <w:sz w:val="18"/>
          <w:szCs w:val="18"/>
        </w:rPr>
        <w:t>（2）理财产品的销售服务费</w:t>
      </w:r>
    </w:p>
    <w:p>
      <w:pPr>
        <w:pStyle w:val="34"/>
        <w:spacing w:line="360" w:lineRule="auto"/>
        <w:ind w:firstLine="360" w:firstLineChars="200"/>
        <w:rPr>
          <w:rFonts w:hAnsi="宋体"/>
          <w:sz w:val="18"/>
          <w:szCs w:val="18"/>
        </w:rPr>
      </w:pPr>
      <w:r>
        <w:rPr>
          <w:rFonts w:hint="eastAsia" w:hAnsi="宋体"/>
          <w:sz w:val="18"/>
          <w:szCs w:val="18"/>
        </w:rPr>
        <w:t>本产品的销售服务费于产品成立日一次性计提，每日摊销。销售服务费的计算方法如下：</w:t>
      </w:r>
    </w:p>
    <w:p>
      <w:pPr>
        <w:pStyle w:val="34"/>
        <w:spacing w:line="360" w:lineRule="auto"/>
        <w:ind w:firstLine="360" w:firstLineChars="200"/>
        <w:rPr>
          <w:rFonts w:hAnsi="宋体"/>
          <w:sz w:val="18"/>
          <w:szCs w:val="18"/>
        </w:rPr>
      </w:pPr>
      <w:r>
        <w:rPr>
          <w:rFonts w:hint="eastAsia" w:hAnsi="宋体"/>
          <w:sz w:val="18"/>
          <w:szCs w:val="18"/>
        </w:rPr>
        <w:t>H＝E×销售服务费年费率×产品期限总天数÷365</w:t>
      </w:r>
    </w:p>
    <w:p>
      <w:pPr>
        <w:pStyle w:val="34"/>
        <w:spacing w:line="360" w:lineRule="auto"/>
        <w:ind w:firstLine="360" w:firstLineChars="200"/>
        <w:rPr>
          <w:rFonts w:hAnsi="宋体"/>
          <w:sz w:val="18"/>
          <w:szCs w:val="18"/>
        </w:rPr>
      </w:pPr>
      <w:r>
        <w:rPr>
          <w:rFonts w:hint="eastAsia" w:hAnsi="宋体"/>
          <w:sz w:val="18"/>
          <w:szCs w:val="18"/>
        </w:rPr>
        <w:t>H为应计提的产品销售服务费</w:t>
      </w:r>
    </w:p>
    <w:p>
      <w:pPr>
        <w:pStyle w:val="34"/>
        <w:spacing w:line="360" w:lineRule="auto"/>
        <w:ind w:firstLine="360" w:firstLineChars="200"/>
        <w:rPr>
          <w:rFonts w:hAnsi="宋体"/>
          <w:sz w:val="18"/>
          <w:szCs w:val="18"/>
        </w:rPr>
      </w:pPr>
      <w:r>
        <w:rPr>
          <w:rFonts w:hint="eastAsia" w:hAnsi="宋体"/>
          <w:sz w:val="18"/>
          <w:szCs w:val="18"/>
        </w:rPr>
        <w:t>E为产品成立日的产品总份额</w:t>
      </w:r>
    </w:p>
    <w:p>
      <w:pPr>
        <w:pStyle w:val="34"/>
        <w:spacing w:line="360" w:lineRule="auto"/>
        <w:ind w:firstLine="360" w:firstLineChars="200"/>
        <w:rPr>
          <w:rFonts w:hAnsi="宋体"/>
          <w:sz w:val="18"/>
          <w:szCs w:val="18"/>
        </w:rPr>
      </w:pPr>
      <w:r>
        <w:rPr>
          <w:rFonts w:hint="eastAsia" w:hAnsi="宋体"/>
          <w:sz w:val="18"/>
          <w:szCs w:val="18"/>
        </w:rPr>
        <w:t>销售服务费依照上述约定，从理财财产中支付。费率具体数值以《产品说明书》“第二条 理财产品基本情况”为准。</w:t>
      </w:r>
    </w:p>
    <w:p>
      <w:pPr>
        <w:pStyle w:val="34"/>
        <w:spacing w:line="360" w:lineRule="auto"/>
        <w:ind w:firstLine="361" w:firstLineChars="200"/>
        <w:rPr>
          <w:rFonts w:ascii="黑体" w:hAnsi="黑体" w:eastAsia="黑体"/>
          <w:b/>
          <w:bCs/>
          <w:sz w:val="18"/>
          <w:szCs w:val="18"/>
        </w:rPr>
      </w:pPr>
      <w:r>
        <w:rPr>
          <w:rFonts w:hint="eastAsia" w:ascii="黑体" w:hAnsi="黑体" w:eastAsia="黑体"/>
          <w:b/>
          <w:bCs/>
          <w:sz w:val="18"/>
          <w:szCs w:val="18"/>
        </w:rPr>
        <w:t>注：如本产品发生提前终止或提前退出，则产品管理人根据实际产品期限天数/实际份额计算销售服务费，多收取的销售服务费退还至理财产品资产。</w:t>
      </w: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每份产品份额超额业绩报酬每日计提，产品终止日结算。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当R＞当前业绩报酬计提基准，超额业绩报酬=产品终止时投资者持有的产品份额×产品成立日产品份额净值×（R-当前业绩报酬计提基准）×N×D/365。</w:t>
      </w: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79154673"/>
      <w:bookmarkStart w:id="114" w:name="_Toc98560355"/>
      <w:bookmarkStart w:id="115" w:name="_Toc3572"/>
      <w:bookmarkStart w:id="116" w:name="_Toc10398"/>
      <w:bookmarkStart w:id="117" w:name="_Toc21735"/>
      <w:bookmarkStart w:id="118" w:name="_Toc141703889"/>
      <w:bookmarkStart w:id="119" w:name="_Toc123051455"/>
      <w:bookmarkStart w:id="120" w:name="_Toc74065746"/>
      <w:bookmarkStart w:id="121" w:name="_Toc123112237"/>
      <w:bookmarkStart w:id="122" w:name="_Toc31821"/>
      <w:bookmarkStart w:id="123" w:name="_Toc176189762"/>
      <w:bookmarkStart w:id="124" w:name="_Toc16164"/>
      <w:bookmarkStart w:id="125" w:name="_Toc725"/>
      <w:bookmarkStart w:id="126" w:name="_Toc18206"/>
      <w:bookmarkStart w:id="127" w:name="_Toc123102456"/>
      <w:bookmarkStart w:id="128" w:name="_Toc3080"/>
      <w:bookmarkStart w:id="129" w:name="_Toc139991739"/>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57530252"/>
      <w:bookmarkStart w:id="131" w:name="_Toc79392593"/>
      <w:bookmarkStart w:id="13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176189763"/>
      <w:bookmarkStart w:id="134" w:name="_Toc141703890"/>
      <w:bookmarkStart w:id="135" w:name="_Toc48649708"/>
      <w:bookmarkStart w:id="136" w:name="_Toc74065747"/>
      <w:bookmarkStart w:id="137" w:name="_Toc79392622"/>
      <w:bookmarkStart w:id="138" w:name="_Toc123102457"/>
      <w:bookmarkStart w:id="139" w:name="_Toc17198"/>
      <w:bookmarkStart w:id="140" w:name="_Toc8791"/>
      <w:bookmarkStart w:id="141" w:name="_Toc32584"/>
      <w:bookmarkStart w:id="142" w:name="_Toc3329"/>
      <w:bookmarkStart w:id="143" w:name="_Toc21237"/>
      <w:bookmarkStart w:id="144" w:name="_Toc98560356"/>
      <w:bookmarkStart w:id="145" w:name="_Toc32092"/>
      <w:bookmarkStart w:id="146" w:name="_Toc5170"/>
      <w:bookmarkStart w:id="147" w:name="_Toc17920"/>
      <w:bookmarkStart w:id="148" w:name="_Toc739"/>
      <w:bookmarkStart w:id="149" w:name="_Toc139991740"/>
      <w:bookmarkStart w:id="150" w:name="_Toc29408"/>
      <w:bookmarkStart w:id="151" w:name="_Toc79154674"/>
      <w:bookmarkStart w:id="152" w:name="_Toc123051456"/>
      <w:bookmarkStart w:id="153" w:name="_Toc123112238"/>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176189764"/>
      <w:bookmarkStart w:id="155" w:name="_Toc79154675"/>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20A6A96"/>
    <w:rsid w:val="0356786B"/>
    <w:rsid w:val="046E31C1"/>
    <w:rsid w:val="056C4F65"/>
    <w:rsid w:val="066458EA"/>
    <w:rsid w:val="06F4696E"/>
    <w:rsid w:val="07245E56"/>
    <w:rsid w:val="072779FF"/>
    <w:rsid w:val="07C0206C"/>
    <w:rsid w:val="082D3318"/>
    <w:rsid w:val="0C023D8C"/>
    <w:rsid w:val="0D7A5E66"/>
    <w:rsid w:val="0E94232E"/>
    <w:rsid w:val="0F1306D5"/>
    <w:rsid w:val="11295396"/>
    <w:rsid w:val="123E347E"/>
    <w:rsid w:val="163E2FB7"/>
    <w:rsid w:val="1A48157B"/>
    <w:rsid w:val="1ABE2ED9"/>
    <w:rsid w:val="1BD70953"/>
    <w:rsid w:val="1BF87698"/>
    <w:rsid w:val="1C78144D"/>
    <w:rsid w:val="1DDC2771"/>
    <w:rsid w:val="1E0F2DC4"/>
    <w:rsid w:val="1E585AB7"/>
    <w:rsid w:val="1EB160C2"/>
    <w:rsid w:val="1FF145B9"/>
    <w:rsid w:val="2193546F"/>
    <w:rsid w:val="23083986"/>
    <w:rsid w:val="23AF29A3"/>
    <w:rsid w:val="25BA31EB"/>
    <w:rsid w:val="26123FD6"/>
    <w:rsid w:val="26F50BA9"/>
    <w:rsid w:val="289C019D"/>
    <w:rsid w:val="29026D00"/>
    <w:rsid w:val="2A642791"/>
    <w:rsid w:val="2A9425E2"/>
    <w:rsid w:val="2EA644DF"/>
    <w:rsid w:val="2FB532A0"/>
    <w:rsid w:val="319C4BEA"/>
    <w:rsid w:val="33DA2E89"/>
    <w:rsid w:val="34C829B2"/>
    <w:rsid w:val="35381804"/>
    <w:rsid w:val="386A3F56"/>
    <w:rsid w:val="3A810EF7"/>
    <w:rsid w:val="3B1D4F25"/>
    <w:rsid w:val="3C3802E9"/>
    <w:rsid w:val="3E0C1771"/>
    <w:rsid w:val="3E3823E9"/>
    <w:rsid w:val="3E586AB8"/>
    <w:rsid w:val="3E5C1B1D"/>
    <w:rsid w:val="3EAE14E9"/>
    <w:rsid w:val="3F91281B"/>
    <w:rsid w:val="3FD261A6"/>
    <w:rsid w:val="42EB2F9C"/>
    <w:rsid w:val="45226963"/>
    <w:rsid w:val="469F5C49"/>
    <w:rsid w:val="46BA0867"/>
    <w:rsid w:val="4726296A"/>
    <w:rsid w:val="47E90D0B"/>
    <w:rsid w:val="4A03149B"/>
    <w:rsid w:val="4C1C67D4"/>
    <w:rsid w:val="4C8066CC"/>
    <w:rsid w:val="4D39606F"/>
    <w:rsid w:val="4F8E3D4D"/>
    <w:rsid w:val="4FA308F4"/>
    <w:rsid w:val="50F25A43"/>
    <w:rsid w:val="522818E6"/>
    <w:rsid w:val="53B3493A"/>
    <w:rsid w:val="5537323C"/>
    <w:rsid w:val="55855837"/>
    <w:rsid w:val="56503211"/>
    <w:rsid w:val="57146D80"/>
    <w:rsid w:val="57BD5DAE"/>
    <w:rsid w:val="58C7013F"/>
    <w:rsid w:val="591009B7"/>
    <w:rsid w:val="598B567E"/>
    <w:rsid w:val="5A2551E9"/>
    <w:rsid w:val="5BA577EB"/>
    <w:rsid w:val="5C624734"/>
    <w:rsid w:val="5FE91ABC"/>
    <w:rsid w:val="60D42826"/>
    <w:rsid w:val="628E734C"/>
    <w:rsid w:val="62BF297F"/>
    <w:rsid w:val="63973676"/>
    <w:rsid w:val="6580603B"/>
    <w:rsid w:val="66C33A87"/>
    <w:rsid w:val="679F5AAB"/>
    <w:rsid w:val="68B96EA7"/>
    <w:rsid w:val="68C7223A"/>
    <w:rsid w:val="68EF6886"/>
    <w:rsid w:val="694A7300"/>
    <w:rsid w:val="699457CF"/>
    <w:rsid w:val="6FDD1093"/>
    <w:rsid w:val="70041A35"/>
    <w:rsid w:val="709C0126"/>
    <w:rsid w:val="719B4A06"/>
    <w:rsid w:val="73EB7F47"/>
    <w:rsid w:val="75D64AF1"/>
    <w:rsid w:val="76022652"/>
    <w:rsid w:val="768501BE"/>
    <w:rsid w:val="76995511"/>
    <w:rsid w:val="76C8601E"/>
    <w:rsid w:val="7C99471A"/>
    <w:rsid w:val="7CC9257B"/>
    <w:rsid w:val="7D80556D"/>
    <w:rsid w:val="7ED86E63"/>
    <w:rsid w:val="D5FEBD7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9B37214-9E52-4241-8DD2-9E9CD9442006}">
  <ds:schemaRefs/>
</ds:datastoreItem>
</file>

<file path=customXml/itemProps11.xml><?xml version="1.0" encoding="utf-8"?>
<ds:datastoreItem xmlns:ds="http://schemas.openxmlformats.org/officeDocument/2006/customXml" ds:itemID="{7E5C9D84-6DB6-48FB-8632-D5279FC233C8}">
  <ds:schemaRefs/>
</ds:datastoreItem>
</file>

<file path=customXml/itemProps12.xml><?xml version="1.0" encoding="utf-8"?>
<ds:datastoreItem xmlns:ds="http://schemas.openxmlformats.org/officeDocument/2006/customXml" ds:itemID="{2108FF18-8EC8-4170-A536-1AA8E39CC797}">
  <ds:schemaRefs/>
</ds:datastoreItem>
</file>

<file path=customXml/itemProps13.xml><?xml version="1.0" encoding="utf-8"?>
<ds:datastoreItem xmlns:ds="http://schemas.openxmlformats.org/officeDocument/2006/customXml" ds:itemID="{E6D3D55C-3DD8-4C31-8069-E5508DD844FB}">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BEEE0313-55EB-45FA-BBBD-C0232D367255}">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CF487381-D648-48A1-B1E4-A4540B0D3650}">
  <ds:schemaRefs/>
</ds:datastoreItem>
</file>

<file path=customXml/itemProps18.xml><?xml version="1.0" encoding="utf-8"?>
<ds:datastoreItem xmlns:ds="http://schemas.openxmlformats.org/officeDocument/2006/customXml" ds:itemID="{509BA638-9D3A-4AA3-A169-FF78BC0E4BE9}">
  <ds:schemaRefs/>
</ds:datastoreItem>
</file>

<file path=customXml/itemProps2.xml><?xml version="1.0" encoding="utf-8"?>
<ds:datastoreItem xmlns:ds="http://schemas.openxmlformats.org/officeDocument/2006/customXml" ds:itemID="{AC86F3EB-DB57-4B60-8A7E-BBB67A22EE0B}">
  <ds:schemaRefs/>
</ds:datastoreItem>
</file>

<file path=customXml/itemProps3.xml><?xml version="1.0" encoding="utf-8"?>
<ds:datastoreItem xmlns:ds="http://schemas.openxmlformats.org/officeDocument/2006/customXml" ds:itemID="{D902962D-C8CC-43BF-804A-CD60AE6D7475}">
  <ds:schemaRefs/>
</ds:datastoreItem>
</file>

<file path=customXml/itemProps4.xml><?xml version="1.0" encoding="utf-8"?>
<ds:datastoreItem xmlns:ds="http://schemas.openxmlformats.org/officeDocument/2006/customXml" ds:itemID="{0A7AA9EF-3B8C-4BAA-9155-A6E3E5337D3C}">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A06CD169-7F5C-4082-81B2-6ECAA9AF6149}">
  <ds:schemaRefs/>
</ds:datastoreItem>
</file>

<file path=customXml/itemProps7.xml><?xml version="1.0" encoding="utf-8"?>
<ds:datastoreItem xmlns:ds="http://schemas.openxmlformats.org/officeDocument/2006/customXml" ds:itemID="{1990A2D8-324F-45D5-B9CD-07245ED2860B}">
  <ds:schemaRefs/>
</ds:datastoreItem>
</file>

<file path=customXml/itemProps8.xml><?xml version="1.0" encoding="utf-8"?>
<ds:datastoreItem xmlns:ds="http://schemas.openxmlformats.org/officeDocument/2006/customXml" ds:itemID="{9114D43D-ED98-4C7B-A3AE-26D78B80CA82}">
  <ds:schemaRefs/>
</ds:datastoreItem>
</file>

<file path=customXml/itemProps9.xml><?xml version="1.0" encoding="utf-8"?>
<ds:datastoreItem xmlns:ds="http://schemas.openxmlformats.org/officeDocument/2006/customXml" ds:itemID="{1EEDD527-97BA-47F6-B37E-95B51416FA3B}">
  <ds:schemaRefs/>
</ds:datastoreItem>
</file>

<file path=docProps/app.xml><?xml version="1.0" encoding="utf-8"?>
<Properties xmlns="http://schemas.openxmlformats.org/officeDocument/2006/extended-properties" xmlns:vt="http://schemas.openxmlformats.org/officeDocument/2006/docPropsVTypes">
  <Company>Microsoft</Company>
  <Pages>1</Pages>
  <Words>3557</Words>
  <Characters>20276</Characters>
  <Lines>168</Lines>
  <Paragraphs>47</Paragraphs>
  <TotalTime>5</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2024-03-04T10:34:00Z</dcterms:created>
  <dc:creator>张淼雯</dc:creator>
  <cp:lastModifiedBy>cib</cp:lastModifiedBy>
  <cp:lastPrinted>2020-09-21T14:35:00Z</cp:lastPrinted>
  <dcterms:modified xsi:type="dcterms:W3CDTF">2025-05-27T03:28:47Z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