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w:t>
      </w:r>
      <w:r>
        <w:rPr>
          <w:rStyle w:val="27"/>
          <w:rFonts w:hint="eastAsia" w:ascii="黑体" w:hAnsi="黑体" w:eastAsia="黑体"/>
          <w:sz w:val="44"/>
          <w:szCs w:val="44"/>
          <w:lang w:eastAsia="zh-CN"/>
        </w:rPr>
        <w:t>安盈</w:t>
      </w:r>
      <w:r>
        <w:rPr>
          <w:rStyle w:val="27"/>
          <w:rFonts w:hint="eastAsia" w:ascii="黑体" w:hAnsi="黑体" w:eastAsia="黑体"/>
          <w:sz w:val="44"/>
          <w:szCs w:val="44"/>
        </w:rPr>
        <w:t>封闭式】</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7</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rPr>
              <w:t>【兴银理财稳利安盈封闭式2025年</w:t>
            </w:r>
            <w:r>
              <w:rPr>
                <w:rFonts w:hint="eastAsia" w:asciiTheme="majorEastAsia" w:hAnsiTheme="majorEastAsia" w:eastAsiaTheme="majorEastAsia"/>
                <w:bCs/>
                <w:color w:val="auto"/>
                <w:kern w:val="0"/>
                <w:sz w:val="18"/>
                <w:szCs w:val="18"/>
                <w:lang w:eastAsia="zh-CN"/>
              </w:rPr>
              <w:t>419期</w:t>
            </w:r>
            <w:r>
              <w:rPr>
                <w:rFonts w:hint="eastAsia" w:asciiTheme="majorEastAsia" w:hAnsiTheme="majorEastAsia" w:eastAsiaTheme="majorEastAsia"/>
                <w:bCs/>
                <w:color w:val="auto"/>
                <w:kern w:val="0"/>
                <w:sz w:val="18"/>
                <w:szCs w:val="18"/>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419期</w:t>
            </w:r>
            <w:r>
              <w:rPr>
                <w:rFonts w:hint="eastAsia" w:hAnsi="宋体"/>
                <w:color w:val="auto"/>
                <w:sz w:val="18"/>
                <w:szCs w:val="18"/>
              </w:rPr>
              <w:t>A】（适用【A】类份额）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419期</w:t>
            </w:r>
            <w:r>
              <w:rPr>
                <w:rFonts w:hint="eastAsia" w:hAnsi="宋体"/>
                <w:color w:val="auto"/>
                <w:sz w:val="18"/>
                <w:szCs w:val="18"/>
                <w:lang w:val="en-US" w:eastAsia="zh-CN"/>
              </w:rPr>
              <w:t>B</w:t>
            </w:r>
            <w:r>
              <w:rPr>
                <w:rFonts w:hint="eastAsia" w:hAnsi="宋体"/>
                <w:color w:val="auto"/>
                <w:sz w:val="18"/>
                <w:szCs w:val="18"/>
              </w:rPr>
              <w:t>】（适用【B】类份额）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419期</w:t>
            </w:r>
            <w:r>
              <w:rPr>
                <w:rFonts w:hint="eastAsia" w:hAnsi="宋体"/>
                <w:color w:val="auto"/>
                <w:sz w:val="18"/>
                <w:szCs w:val="18"/>
              </w:rPr>
              <w:t>C】（适用【C】类份额）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419期</w:t>
            </w:r>
            <w:r>
              <w:rPr>
                <w:rFonts w:hint="eastAsia" w:hAnsi="宋体"/>
                <w:color w:val="auto"/>
                <w:sz w:val="18"/>
                <w:szCs w:val="18"/>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Theme="minorEastAsia" w:hAnsiTheme="minorEastAsia"/>
                <w:color w:val="auto"/>
                <w:sz w:val="18"/>
                <w:szCs w:val="18"/>
              </w:rPr>
              <w:t>Z7002025001006</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lang w:eastAsia="zh-CN"/>
              </w:rPr>
              <w:t>9A254190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hAnsi="宋体"/>
                <w:color w:val="auto"/>
                <w:sz w:val="18"/>
                <w:szCs w:val="18"/>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int="eastAsia" w:hAnsi="宋体"/>
                <w:sz w:val="18"/>
                <w:szCs w:val="18"/>
              </w:rPr>
              <w:t>份额）</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■有固定期限：【</w:t>
            </w:r>
            <w:r>
              <w:rPr>
                <w:rFonts w:hint="eastAsia" w:cs="Times New Roman" w:asciiTheme="minorEastAsia" w:hAnsiTheme="minorEastAsia"/>
                <w:color w:val="auto"/>
                <w:sz w:val="18"/>
                <w:szCs w:val="18"/>
                <w:lang w:val="en-US" w:eastAsia="zh-CN"/>
              </w:rPr>
              <w:t>421</w:t>
            </w:r>
            <w:r>
              <w:rPr>
                <w:rFonts w:hint="eastAsia" w:cs="Times New Roman" w:asciiTheme="minorEastAsia" w:hAnsiTheme="minorEastAsia"/>
                <w:sz w:val="18"/>
                <w:szCs w:val="18"/>
                <w:lang w:val="en-US" w:eastAsia="zh-CN"/>
              </w:rPr>
              <w:t>日】</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□无固定期限</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1.本产品认购期/募集期为：【2025】年【07】月</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16】日【9:00】至【2025】年【07】月【28】日【17:00】。</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2.投资者在认购期/募集期内认购本理财产品后，理财资金将在成立日开始进行投资。</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3.认购期/募集期内资金产生的利息不计入认购资金。</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注：关于代理销售机构的实际工作服务时段的提示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1.本产品的计划成立日为：【2025】年【07】月【29</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2.产品管理人有权根据实际募集情况提前或延后产品成立日期，并相应调整其他产品要素，将依约定进行公告。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1.本产品的计划终止日为：【2026】年【09】月【23</w:t>
            </w:r>
            <w:bookmarkStart w:id="156" w:name="_GoBack"/>
            <w:bookmarkEnd w:id="156"/>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每笔购买起点金额为【1.00】元；超出起点金额的部分以【0.01】元的整数倍递增。（适用【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cs="Times New Roman" w:asciiTheme="minorEastAsia" w:hAnsiTheme="minorEastAsia"/>
                <w:sz w:val="18"/>
                <w:szCs w:val="18"/>
                <w:lang w:val="en-US" w:eastAsia="zh-CN"/>
              </w:rPr>
              <w:t>】类份额）</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注：关于代理销售机构的实际销售起点金额的提示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①本产品在代理销售机构的实际销售起点金额，因代理销售机构的不同可能存在差异（可能高于销售文件约定的销售起点金额），应当以代理销售机构展示为准。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②代理销售机构的实际销售起点金额，不得低于销售文件约定的销售起点金额。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asciiTheme="majorEastAsia" w:hAnsiTheme="majorEastAsia"/>
                <w:color w:val="auto"/>
                <w:sz w:val="18"/>
                <w:lang w:val="en-US" w:eastAsia="zh-CN"/>
              </w:rPr>
            </w:pP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hAnsi="宋体"/>
                <w:sz w:val="18"/>
                <w:szCs w:val="18"/>
              </w:rPr>
            </w:pP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0.06</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A</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B</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0.15</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C</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0.20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D</w:t>
            </w:r>
            <w:r>
              <w:rPr>
                <w:rFonts w:hint="eastAsia" w:asciiTheme="majorEastAsia" w:hAnsiTheme="majorEastAsia" w:eastAsiaTheme="majorEastAsia"/>
                <w:bCs/>
                <w:color w:val="auto"/>
                <w:sz w:val="18"/>
                <w:szCs w:val="18"/>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176189756"/>
      <w:bookmarkStart w:id="11" w:name="_Toc90742688"/>
      <w:bookmarkStart w:id="12" w:name="_Toc29948"/>
      <w:bookmarkStart w:id="13" w:name="_Toc29784"/>
      <w:bookmarkStart w:id="14" w:name="_Toc22074"/>
      <w:bookmarkStart w:id="15" w:name="_Toc15203"/>
      <w:bookmarkStart w:id="16" w:name="_Toc27189"/>
      <w:bookmarkStart w:id="17" w:name="_Toc90742321"/>
      <w:bookmarkStart w:id="18" w:name="_Toc27226"/>
      <w:bookmarkStart w:id="19" w:name="_Toc74065741"/>
      <w:bookmarkStart w:id="20" w:name="_Toc79154668"/>
      <w:bookmarkStart w:id="21" w:name="_Toc90742390"/>
      <w:bookmarkStart w:id="22" w:name="_Toc7151"/>
      <w:bookmarkStart w:id="23" w:name="_Toc6714"/>
      <w:bookmarkStart w:id="24" w:name="_Toc3266"/>
      <w:bookmarkStart w:id="25" w:name="_Toc16265"/>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sz w:val="18"/>
          <w:szCs w:val="18"/>
        </w:rPr>
        <w:t>（4）</w:t>
      </w:r>
      <w:r>
        <w:rPr>
          <w:rFonts w:hint="eastAsia" w:asciiTheme="majorEastAsia" w:hAnsiTheme="majorEastAsia" w:eastAsiaTheme="majorEastAsia"/>
          <w:bCs/>
          <w:color w:val="auto"/>
          <w:sz w:val="18"/>
          <w:szCs w:val="18"/>
        </w:rPr>
        <w:t>投资于上述资产的资产管理产品，包括资金信托，证券公司、证券公司子公司、基金管理公</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司、基金管理子公司、期货公司、期货公司子公司、保险资产管理机构、金融资产投资公司发行的</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w:t>
      </w:r>
      <w:r>
        <w:rPr>
          <w:rFonts w:hint="eastAsia" w:asciiTheme="majorEastAsia" w:hAnsiTheme="majorEastAsia" w:eastAsiaTheme="majorEastAsia"/>
          <w:bCs/>
          <w:sz w:val="18"/>
          <w:szCs w:val="18"/>
        </w:rPr>
        <w:t>符合监管要求的非标准化债权类资产占产品净资产比例不高于50%</w:t>
      </w:r>
      <w:r>
        <w:rPr>
          <w:rFonts w:hint="eastAsia" w:asciiTheme="majorEastAsia" w:hAnsiTheme="majorEastAsia" w:eastAsiaTheme="majorEastAsia"/>
          <w:bCs/>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4893"/>
      <w:bookmarkStart w:id="28" w:name="_Toc74065742"/>
      <w:bookmarkStart w:id="29" w:name="_Toc139991735"/>
      <w:bookmarkStart w:id="30" w:name="_Toc7848"/>
      <w:bookmarkStart w:id="31" w:name="_Toc141703885"/>
      <w:bookmarkStart w:id="32" w:name="_Toc17912"/>
      <w:bookmarkStart w:id="33" w:name="_Toc18329"/>
      <w:bookmarkStart w:id="34" w:name="_Toc1823"/>
      <w:bookmarkStart w:id="35" w:name="_Toc4741"/>
      <w:bookmarkStart w:id="36" w:name="_Toc21988"/>
      <w:bookmarkStart w:id="37" w:name="_Toc26986"/>
      <w:bookmarkStart w:id="38" w:name="_Toc79154669"/>
      <w:bookmarkStart w:id="39" w:name="_Toc176189758"/>
      <w:bookmarkStart w:id="40" w:name="_Toc18797"/>
      <w:bookmarkStart w:id="41" w:name="_Toc18526"/>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23822"/>
      <w:bookmarkStart w:id="44" w:name="_Toc79392606"/>
      <w:bookmarkStart w:id="45" w:name="_Toc610"/>
      <w:bookmarkStart w:id="46" w:name="_Toc74065743"/>
      <w:bookmarkStart w:id="47" w:name="_Toc139991736"/>
      <w:bookmarkStart w:id="48" w:name="_Toc10463"/>
      <w:bookmarkStart w:id="49" w:name="_Toc4003"/>
      <w:bookmarkStart w:id="50" w:name="_Toc98560352"/>
      <w:bookmarkStart w:id="51" w:name="_Toc17244"/>
      <w:bookmarkStart w:id="52" w:name="_Toc20733"/>
      <w:bookmarkStart w:id="53" w:name="_Toc123051452"/>
      <w:bookmarkStart w:id="54" w:name="_Toc7920"/>
      <w:bookmarkStart w:id="55" w:name="_Toc79154670"/>
      <w:bookmarkStart w:id="56" w:name="_Toc48649707"/>
      <w:bookmarkStart w:id="57" w:name="_Toc141703886"/>
      <w:bookmarkStart w:id="58" w:name="_Toc23261"/>
      <w:bookmarkStart w:id="59" w:name="_Toc1270"/>
      <w:bookmarkStart w:id="60" w:name="_Toc123112234"/>
      <w:bookmarkStart w:id="61" w:name="_Toc176189759"/>
      <w:bookmarkStart w:id="62" w:name="_Toc123102453"/>
      <w:bookmarkStart w:id="63" w:name="_Toc142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26207"/>
      <w:bookmarkStart w:id="66" w:name="_Toc79154671"/>
      <w:bookmarkStart w:id="67" w:name="_Toc31235"/>
      <w:bookmarkStart w:id="68" w:name="_Toc3601"/>
      <w:bookmarkStart w:id="69" w:name="_Toc31653"/>
      <w:bookmarkStart w:id="70" w:name="_Toc74065744"/>
      <w:bookmarkStart w:id="71" w:name="_Toc176189760"/>
      <w:bookmarkStart w:id="72" w:name="_Toc14835"/>
      <w:bookmarkStart w:id="73" w:name="_Toc12245"/>
      <w:bookmarkStart w:id="74" w:name="_Toc123112235"/>
      <w:bookmarkStart w:id="75" w:name="_Toc6405"/>
      <w:bookmarkStart w:id="76" w:name="_Toc139991737"/>
      <w:bookmarkStart w:id="77" w:name="_Toc15143"/>
      <w:bookmarkStart w:id="78" w:name="_Toc141703887"/>
      <w:bookmarkStart w:id="79" w:name="_Toc123102454"/>
      <w:bookmarkStart w:id="80" w:name="_Toc29251"/>
      <w:bookmarkStart w:id="81" w:name="_Toc98560353"/>
      <w:bookmarkStart w:id="82" w:name="_Toc123051453"/>
      <w:bookmarkStart w:id="83" w:name="_Toc31644"/>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7530239"/>
      <w:bookmarkStart w:id="86" w:name="_Toc523711668"/>
      <w:bookmarkStart w:id="87" w:name="_Toc15118234"/>
      <w:bookmarkStart w:id="88"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7058"/>
      <w:bookmarkStart w:id="92" w:name="_Toc9706"/>
      <w:bookmarkStart w:id="93" w:name="_Toc98560354"/>
      <w:bookmarkStart w:id="94" w:name="_Toc11030"/>
      <w:bookmarkStart w:id="95" w:name="_Toc18567"/>
      <w:bookmarkStart w:id="96" w:name="_Toc123102455"/>
      <w:bookmarkStart w:id="97" w:name="_Toc3771"/>
      <w:bookmarkStart w:id="98" w:name="_Toc123112236"/>
      <w:bookmarkStart w:id="99" w:name="_Toc4559"/>
      <w:bookmarkStart w:id="100" w:name="_Toc139991738"/>
      <w:bookmarkStart w:id="101" w:name="_Toc79392583"/>
      <w:bookmarkStart w:id="102" w:name="_Toc6447"/>
      <w:bookmarkStart w:id="103" w:name="_Toc79154672"/>
      <w:bookmarkStart w:id="104" w:name="_Toc10650"/>
      <w:bookmarkStart w:id="105" w:name="_Toc123051454"/>
      <w:bookmarkStart w:id="106" w:name="_Toc74065745"/>
      <w:bookmarkStart w:id="107" w:name="_Toc176189761"/>
      <w:bookmarkStart w:id="108" w:name="_Toc25783"/>
      <w:bookmarkStart w:id="109" w:name="_Toc3321"/>
      <w:bookmarkStart w:id="110" w:name="_Toc141703888"/>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pPr>
        <w:pStyle w:val="34"/>
        <w:spacing w:line="360" w:lineRule="auto"/>
        <w:ind w:firstLine="360" w:firstLineChars="200"/>
        <w:rPr>
          <w:rFonts w:hAnsi="宋体"/>
          <w:sz w:val="18"/>
          <w:szCs w:val="18"/>
        </w:rPr>
      </w:pPr>
      <w:r>
        <w:rPr>
          <w:rFonts w:hint="eastAsia" w:hAnsi="宋体"/>
          <w:sz w:val="18"/>
          <w:szCs w:val="18"/>
        </w:rPr>
        <w:t>H为应计提的产品销售服务费</w:t>
      </w:r>
    </w:p>
    <w:p>
      <w:pPr>
        <w:pStyle w:val="34"/>
        <w:spacing w:line="360" w:lineRule="auto"/>
        <w:ind w:firstLine="360" w:firstLineChars="200"/>
        <w:rPr>
          <w:rFonts w:hAnsi="宋体"/>
          <w:sz w:val="18"/>
          <w:szCs w:val="18"/>
        </w:rPr>
      </w:pPr>
      <w:r>
        <w:rPr>
          <w:rFonts w:hint="eastAsia" w:hAnsi="宋体"/>
          <w:sz w:val="18"/>
          <w:szCs w:val="18"/>
        </w:rPr>
        <w:t>E为产品成立日的产品总份额</w:t>
      </w:r>
    </w:p>
    <w:p>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pPr>
        <w:pStyle w:val="34"/>
        <w:spacing w:line="360" w:lineRule="auto"/>
        <w:ind w:firstLine="361" w:firstLineChars="200"/>
        <w:rPr>
          <w:rFonts w:asciiTheme="majorEastAsia" w:hAnsiTheme="majorEastAsia" w:eastAsiaTheme="majorEastAsia"/>
          <w:color w:val="auto"/>
          <w:kern w:val="2"/>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
      <w:pPr>
        <w:pStyle w:val="34"/>
        <w:spacing w:line="360" w:lineRule="auto"/>
        <w:ind w:firstLine="360" w:firstLineChars="200"/>
        <w:rPr>
          <w:rFonts w:asciiTheme="majorEastAsia" w:hAnsiTheme="majorEastAsia" w:eastAsiaTheme="majorEastAsia"/>
          <w:color w:val="auto"/>
          <w:kern w:val="2"/>
          <w:sz w:val="18"/>
          <w:szCs w:val="18"/>
        </w:rPr>
      </w:pP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每份产品份额超额业绩报酬每日计提，产品终止日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结算。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③超额业绩报酬的计算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产品管理人对每</w:t>
      </w:r>
      <w:r>
        <w:rPr>
          <w:rFonts w:asciiTheme="majorEastAsia" w:hAnsiTheme="majorEastAsia" w:eastAsiaTheme="majorEastAsia"/>
          <w:b w:val="0"/>
          <w:bCs w:val="0"/>
          <w:sz w:val="18"/>
          <w:szCs w:val="18"/>
        </w:rPr>
        <w:t>份</w:t>
      </w:r>
      <w:r>
        <w:rPr>
          <w:rFonts w:hint="eastAsia" w:asciiTheme="majorEastAsia" w:hAnsiTheme="majorEastAsia" w:eastAsiaTheme="majorEastAsia"/>
          <w:b w:val="0"/>
          <w:bCs w:val="0"/>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当R≤当前业绩报酬计提基准，超额业绩报酬=0；</w:t>
      </w:r>
    </w:p>
    <w:p>
      <w:pPr>
        <w:widowControl/>
        <w:spacing w:line="360" w:lineRule="auto"/>
        <w:ind w:firstLine="360" w:firstLineChars="200"/>
        <w:jc w:val="left"/>
        <w:rPr>
          <w:rFonts w:hint="eastAsia" w:asciiTheme="majorEastAsia" w:hAnsiTheme="majorEastAsia" w:eastAsiaTheme="majorEastAsia"/>
          <w:sz w:val="18"/>
          <w:szCs w:val="18"/>
        </w:rPr>
      </w:pPr>
      <w:r>
        <w:rPr>
          <w:rFonts w:hint="eastAsia" w:asciiTheme="majorEastAsia" w:hAnsiTheme="majorEastAsia" w:eastAsiaTheme="majorEastAsia"/>
          <w:b w:val="0"/>
          <w:bCs w:val="0"/>
          <w:sz w:val="18"/>
          <w:szCs w:val="18"/>
        </w:rPr>
        <w:t>当R＞当前业绩报酬计提基准，超额业绩报酬=产品终止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时投资者持有的产</w:t>
      </w:r>
      <w:r>
        <w:rPr>
          <w:rFonts w:hint="eastAsia" w:asciiTheme="majorEastAsia" w:hAnsiTheme="majorEastAsia" w:eastAsiaTheme="majorEastAsia"/>
          <w:sz w:val="18"/>
          <w:szCs w:val="18"/>
        </w:rPr>
        <w:t>品份额×产品成立日产品份额净值×（R-当前业绩报酬计提基准）×N×D/365。</w:t>
      </w:r>
    </w:p>
    <w:p>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1" w:firstLineChars="200"/>
        <w:jc w:val="left"/>
        <w:rPr>
          <w:rFonts w:hint="eastAsia" w:asciiTheme="majorEastAsia" w:hAnsiTheme="majorEastAsia" w:eastAsiaTheme="majorEastAsia"/>
          <w:b/>
          <w:bCs/>
          <w:sz w:val="18"/>
          <w:szCs w:val="18"/>
          <w:lang w:val="en-US" w:eastAsia="zh-CN"/>
        </w:rPr>
      </w:pPr>
      <w:r>
        <w:rPr>
          <w:rFonts w:hint="eastAsia" w:asciiTheme="majorEastAsia" w:hAnsiTheme="majorEastAsia" w:eastAsiaTheme="majorEastAsia"/>
          <w:b/>
          <w:bCs/>
          <w:sz w:val="18"/>
          <w:szCs w:val="18"/>
          <w:lang w:val="en-US" w:eastAsia="zh-CN"/>
        </w:rPr>
        <w:t>注：产品部分提前终止情况下，部分提前终止份额不收取超额业绩报酬。</w:t>
      </w:r>
    </w:p>
    <w:p>
      <w:pPr>
        <w:widowControl/>
        <w:spacing w:line="360" w:lineRule="auto"/>
        <w:ind w:firstLine="360" w:firstLineChars="200"/>
        <w:jc w:val="left"/>
        <w:rPr>
          <w:rFonts w:asciiTheme="majorEastAsia" w:hAnsiTheme="majorEastAsia" w:eastAsiaTheme="majorEastAsia"/>
          <w:sz w:val="18"/>
          <w:szCs w:val="18"/>
        </w:rPr>
      </w:pP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1745"/>
      <w:bookmarkStart w:id="112" w:name="_Toc3963"/>
      <w:r>
        <w:br w:type="page"/>
      </w:r>
      <w:bookmarkStart w:id="113" w:name="_Toc176189762"/>
      <w:bookmarkStart w:id="114" w:name="_Toc139991739"/>
      <w:bookmarkStart w:id="115" w:name="_Toc10398"/>
      <w:bookmarkStart w:id="116" w:name="_Toc725"/>
      <w:bookmarkStart w:id="117" w:name="_Toc18206"/>
      <w:bookmarkStart w:id="118" w:name="_Toc123102456"/>
      <w:bookmarkStart w:id="119" w:name="_Toc141703889"/>
      <w:bookmarkStart w:id="120" w:name="_Toc3572"/>
      <w:bookmarkStart w:id="121" w:name="_Toc98560355"/>
      <w:bookmarkStart w:id="122" w:name="_Toc16164"/>
      <w:bookmarkStart w:id="123" w:name="_Toc21735"/>
      <w:bookmarkStart w:id="124" w:name="_Toc74065746"/>
      <w:bookmarkStart w:id="125" w:name="_Toc123112237"/>
      <w:bookmarkStart w:id="126" w:name="_Toc123051455"/>
      <w:bookmarkStart w:id="127" w:name="_Toc31821"/>
      <w:bookmarkStart w:id="128" w:name="_Toc79154673"/>
      <w:bookmarkStart w:id="129" w:name="_Toc3080"/>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57530252"/>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76189763"/>
      <w:bookmarkStart w:id="134" w:name="_Toc74065747"/>
      <w:bookmarkStart w:id="135" w:name="_Toc79154674"/>
      <w:bookmarkStart w:id="136" w:name="_Toc48649708"/>
      <w:bookmarkStart w:id="137" w:name="_Toc21237"/>
      <w:bookmarkStart w:id="138" w:name="_Toc32092"/>
      <w:bookmarkStart w:id="139" w:name="_Toc32584"/>
      <w:bookmarkStart w:id="140" w:name="_Toc17920"/>
      <w:bookmarkStart w:id="141" w:name="_Toc8791"/>
      <w:bookmarkStart w:id="142" w:name="_Toc123112238"/>
      <w:bookmarkStart w:id="143" w:name="_Toc5170"/>
      <w:bookmarkStart w:id="144" w:name="_Toc139991740"/>
      <w:bookmarkStart w:id="145" w:name="_Toc739"/>
      <w:bookmarkStart w:id="146" w:name="_Toc141703890"/>
      <w:bookmarkStart w:id="147" w:name="_Toc29408"/>
      <w:bookmarkStart w:id="148" w:name="_Toc123102457"/>
      <w:bookmarkStart w:id="149" w:name="_Toc98560356"/>
      <w:bookmarkStart w:id="150" w:name="_Toc17198"/>
      <w:bookmarkStart w:id="151" w:name="_Toc79392622"/>
      <w:bookmarkStart w:id="152" w:name="_Toc123051456"/>
      <w:bookmarkStart w:id="153" w:name="_Toc3329"/>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38"/>
        <w:spacing w:line="240" w:lineRule="auto"/>
        <w:ind w:firstLine="36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pStyle w:val="38"/>
        <w:spacing w:line="240" w:lineRule="auto"/>
        <w:ind w:firstLine="360"/>
        <w:rPr>
          <w:rFonts w:ascii="宋体" w:hAnsi="宋体"/>
          <w:bCs/>
          <w:sz w:val="18"/>
          <w:szCs w:val="18"/>
        </w:rPr>
      </w:pPr>
      <w:r>
        <w:rPr>
          <w:rFonts w:hint="eastAsia" w:ascii="宋体" w:hAnsi="宋体"/>
          <w:bCs/>
          <w:sz w:val="18"/>
          <w:szCs w:val="18"/>
        </w:rPr>
        <w:t>（1）投资债权类资产的风险</w:t>
      </w:r>
    </w:p>
    <w:p>
      <w:pPr>
        <w:pStyle w:val="38"/>
        <w:spacing w:line="240" w:lineRule="auto"/>
        <w:ind w:firstLine="360"/>
        <w:rPr>
          <w:rFonts w:ascii="宋体" w:hAnsi="宋体"/>
          <w:bCs/>
          <w:sz w:val="18"/>
          <w:szCs w:val="18"/>
        </w:rPr>
      </w:pPr>
      <w:r>
        <w:rPr>
          <w:rFonts w:hint="eastAsia" w:ascii="宋体" w:hAnsi="宋体"/>
          <w:bCs/>
          <w:sz w:val="18"/>
          <w:szCs w:val="18"/>
        </w:rPr>
        <w:t>1）投资标准化债权类资产的风险</w:t>
      </w:r>
    </w:p>
    <w:p>
      <w:pPr>
        <w:pStyle w:val="38"/>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240" w:lineRule="auto"/>
        <w:ind w:firstLine="36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3766C"/>
    <w:rsid w:val="046E31C1"/>
    <w:rsid w:val="056C4F65"/>
    <w:rsid w:val="05B42945"/>
    <w:rsid w:val="06F4696E"/>
    <w:rsid w:val="07245E56"/>
    <w:rsid w:val="072779FF"/>
    <w:rsid w:val="0C023D8C"/>
    <w:rsid w:val="0E8B6AB1"/>
    <w:rsid w:val="0E94232E"/>
    <w:rsid w:val="0EEA43B7"/>
    <w:rsid w:val="0F1306D5"/>
    <w:rsid w:val="111F5949"/>
    <w:rsid w:val="11295396"/>
    <w:rsid w:val="13644A7D"/>
    <w:rsid w:val="147A6D7C"/>
    <w:rsid w:val="163E2FB7"/>
    <w:rsid w:val="17FF121A"/>
    <w:rsid w:val="194300FA"/>
    <w:rsid w:val="1A48157B"/>
    <w:rsid w:val="1ABE2ED9"/>
    <w:rsid w:val="1B67066A"/>
    <w:rsid w:val="1BD70953"/>
    <w:rsid w:val="1BF87698"/>
    <w:rsid w:val="1C78144D"/>
    <w:rsid w:val="1CC84EC9"/>
    <w:rsid w:val="1E585AB7"/>
    <w:rsid w:val="1EB160C2"/>
    <w:rsid w:val="1FF145B9"/>
    <w:rsid w:val="20D366F7"/>
    <w:rsid w:val="218E30CF"/>
    <w:rsid w:val="2193546F"/>
    <w:rsid w:val="219A71E6"/>
    <w:rsid w:val="22205B04"/>
    <w:rsid w:val="22A675B1"/>
    <w:rsid w:val="23083986"/>
    <w:rsid w:val="23AF29A3"/>
    <w:rsid w:val="25DE0600"/>
    <w:rsid w:val="26123FD6"/>
    <w:rsid w:val="26F50BA9"/>
    <w:rsid w:val="289B57FE"/>
    <w:rsid w:val="29026D00"/>
    <w:rsid w:val="2A642791"/>
    <w:rsid w:val="2A8E74E5"/>
    <w:rsid w:val="2AF91830"/>
    <w:rsid w:val="2D9F0CB9"/>
    <w:rsid w:val="2EA644DF"/>
    <w:rsid w:val="2F1D51A8"/>
    <w:rsid w:val="2FB532A0"/>
    <w:rsid w:val="3143785A"/>
    <w:rsid w:val="319C4BEA"/>
    <w:rsid w:val="31E25F94"/>
    <w:rsid w:val="332D63E3"/>
    <w:rsid w:val="33DA2E89"/>
    <w:rsid w:val="34C829B2"/>
    <w:rsid w:val="35381804"/>
    <w:rsid w:val="3566158C"/>
    <w:rsid w:val="358D5871"/>
    <w:rsid w:val="36032504"/>
    <w:rsid w:val="386A3F56"/>
    <w:rsid w:val="3A810EF7"/>
    <w:rsid w:val="3C3802E9"/>
    <w:rsid w:val="3E0C1771"/>
    <w:rsid w:val="3E586AB8"/>
    <w:rsid w:val="3E5C1B1D"/>
    <w:rsid w:val="3EAE14E9"/>
    <w:rsid w:val="3FD261A6"/>
    <w:rsid w:val="416F7D1B"/>
    <w:rsid w:val="42EB2F9C"/>
    <w:rsid w:val="43315731"/>
    <w:rsid w:val="446F568C"/>
    <w:rsid w:val="45226963"/>
    <w:rsid w:val="469F5C49"/>
    <w:rsid w:val="48107AC1"/>
    <w:rsid w:val="4B4B6AB1"/>
    <w:rsid w:val="4C9E71F2"/>
    <w:rsid w:val="4D39606F"/>
    <w:rsid w:val="4F8E3D4D"/>
    <w:rsid w:val="4FA308F4"/>
    <w:rsid w:val="4FAB675E"/>
    <w:rsid w:val="50A23274"/>
    <w:rsid w:val="51277B26"/>
    <w:rsid w:val="52E41389"/>
    <w:rsid w:val="53B3493A"/>
    <w:rsid w:val="5537323C"/>
    <w:rsid w:val="553A5E9C"/>
    <w:rsid w:val="55855837"/>
    <w:rsid w:val="55AF07C6"/>
    <w:rsid w:val="563F00FA"/>
    <w:rsid w:val="56503211"/>
    <w:rsid w:val="57BD5DAE"/>
    <w:rsid w:val="58C7013F"/>
    <w:rsid w:val="598B567E"/>
    <w:rsid w:val="5B3B4B0D"/>
    <w:rsid w:val="5BA577EB"/>
    <w:rsid w:val="5C624734"/>
    <w:rsid w:val="5FE91ABC"/>
    <w:rsid w:val="60D42826"/>
    <w:rsid w:val="628E734C"/>
    <w:rsid w:val="64F65015"/>
    <w:rsid w:val="6554601A"/>
    <w:rsid w:val="6580603B"/>
    <w:rsid w:val="66F74258"/>
    <w:rsid w:val="68B96EA7"/>
    <w:rsid w:val="68C7223A"/>
    <w:rsid w:val="68EF6886"/>
    <w:rsid w:val="694A7300"/>
    <w:rsid w:val="699457CF"/>
    <w:rsid w:val="6C023400"/>
    <w:rsid w:val="6FDD1093"/>
    <w:rsid w:val="709C0126"/>
    <w:rsid w:val="73EB7F47"/>
    <w:rsid w:val="74386113"/>
    <w:rsid w:val="74C5471A"/>
    <w:rsid w:val="76022652"/>
    <w:rsid w:val="768501BE"/>
    <w:rsid w:val="769C04D1"/>
    <w:rsid w:val="76C8601E"/>
    <w:rsid w:val="77D8309C"/>
    <w:rsid w:val="7A3A1081"/>
    <w:rsid w:val="7C260791"/>
    <w:rsid w:val="7D665852"/>
    <w:rsid w:val="7D80556D"/>
    <w:rsid w:val="7D823128"/>
    <w:rsid w:val="7E455FDA"/>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EEDD527-97BA-47F6-B37E-95B51416FA3B}">
  <ds:schemaRefs/>
</ds:datastoreItem>
</file>

<file path=customXml/itemProps11.xml><?xml version="1.0" encoding="utf-8"?>
<ds:datastoreItem xmlns:ds="http://schemas.openxmlformats.org/officeDocument/2006/customXml" ds:itemID="{79B37214-9E52-4241-8DD2-9E9CD9442006}">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2108FF18-8EC8-4170-A536-1AA8E39CC797}">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BEEE0313-55EB-45FA-BBBD-C0232D367255}">
  <ds:schemaRefs/>
</ds:datastoreItem>
</file>

<file path=customXml/itemProps17.xml><?xml version="1.0" encoding="utf-8"?>
<ds:datastoreItem xmlns:ds="http://schemas.openxmlformats.org/officeDocument/2006/customXml" ds:itemID="{1A3BDF38-4832-4575-A8AB-7A1679738229}">
  <ds:schemaRefs/>
</ds:datastoreItem>
</file>

<file path=customXml/itemProps18.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D902962D-C8CC-43BF-804A-CD60AE6D7475}">
  <ds:schemaRefs/>
</ds:datastoreItem>
</file>

<file path=customXml/itemProps5.xml><?xml version="1.0" encoding="utf-8"?>
<ds:datastoreItem xmlns:ds="http://schemas.openxmlformats.org/officeDocument/2006/customXml" ds:itemID="{0A7AA9EF-3B8C-4BAA-9155-A6E3E5337D3C}">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A06CD169-7F5C-4082-81B2-6ECAA9AF6149}">
  <ds:schemaRefs/>
</ds:datastoreItem>
</file>

<file path=customXml/itemProps8.xml><?xml version="1.0" encoding="utf-8"?>
<ds:datastoreItem xmlns:ds="http://schemas.openxmlformats.org/officeDocument/2006/customXml" ds:itemID="{1990A2D8-324F-45D5-B9CD-07245ED2860B}">
  <ds:schemaRefs/>
</ds:datastoreItem>
</file>

<file path=customXml/itemProps9.xml><?xml version="1.0" encoding="utf-8"?>
<ds:datastoreItem xmlns:ds="http://schemas.openxmlformats.org/officeDocument/2006/customXml" ds:itemID="{9114D43D-ED98-4C7B-A3AE-26D78B80C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3557</Words>
  <Characters>20276</Characters>
  <Lines>168</Lines>
  <Paragraphs>47</Paragraphs>
  <TotalTime>19</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2025-07-10T02:19:13Z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