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Arial"/>
          <w:b/>
          <w:bCs/>
          <w:sz w:val="20"/>
          <w:szCs w:val="20"/>
          <w:lang w:eastAsia="zh-CN"/>
        </w:rPr>
      </w:pPr>
      <w:r>
        <w:rPr>
          <w:rFonts w:hint="eastAsia" w:ascii="黑体" w:hAnsi="黑体" w:eastAsia="黑体" w:cs="Arial"/>
          <w:b/>
          <w:bCs/>
          <w:sz w:val="20"/>
          <w:szCs w:val="20"/>
        </w:rPr>
        <w:t>产品登记编码：</w:t>
      </w:r>
      <w:r>
        <w:rPr>
          <w:rFonts w:hint="eastAsia" w:ascii="黑体" w:hAnsi="黑体" w:eastAsia="黑体" w:cs="Arial"/>
          <w:b/>
          <w:bCs/>
          <w:sz w:val="20"/>
          <w:szCs w:val="20"/>
          <w:lang w:eastAsia="zh-CN"/>
        </w:rPr>
        <w:t>【</w:t>
      </w:r>
      <w:r>
        <w:rPr>
          <w:rFonts w:hint="eastAsia" w:ascii="黑体" w:hAnsi="黑体" w:eastAsia="黑体" w:cs="Arial"/>
          <w:b/>
          <w:bCs/>
          <w:color w:val="auto"/>
          <w:sz w:val="20"/>
          <w:szCs w:val="20"/>
          <w:highlight w:val="none"/>
          <w:lang w:eastAsia="zh-CN"/>
        </w:rPr>
        <w:t>Z7007124000082</w:t>
      </w:r>
      <w:r>
        <w:rPr>
          <w:rFonts w:hint="eastAsia" w:ascii="黑体" w:hAnsi="黑体" w:eastAsia="黑体" w:cs="Arial"/>
          <w:b/>
          <w:bCs/>
          <w:sz w:val="20"/>
          <w:szCs w:val="20"/>
          <w:lang w:val="en-US" w:eastAsia="zh-CN"/>
        </w:rPr>
        <w:t>】</w:t>
      </w:r>
      <w:r>
        <w:rPr>
          <w:rFonts w:ascii="黑体" w:hAnsi="黑体" w:eastAsia="黑体" w:cs="Arial"/>
          <w:b/>
          <w:bCs/>
          <w:sz w:val="20"/>
          <w:szCs w:val="20"/>
        </w:rPr>
        <w:t xml:space="preserve">                          </w:t>
      </w:r>
      <w:r>
        <w:rPr>
          <w:rFonts w:hint="eastAsia" w:ascii="黑体" w:hAnsi="黑体" w:eastAsia="黑体" w:cs="Arial"/>
          <w:b/>
          <w:bCs/>
          <w:sz w:val="20"/>
          <w:szCs w:val="20"/>
          <w:lang w:val="en-US" w:eastAsia="zh-CN"/>
        </w:rPr>
        <w:t xml:space="preserve">  </w:t>
      </w:r>
      <w:r>
        <w:rPr>
          <w:rFonts w:ascii="黑体" w:hAnsi="黑体" w:eastAsia="黑体" w:cs="Arial"/>
          <w:b/>
          <w:bCs/>
          <w:sz w:val="20"/>
          <w:szCs w:val="20"/>
        </w:rPr>
        <w:t xml:space="preserve"> </w:t>
      </w:r>
      <w:r>
        <w:rPr>
          <w:rFonts w:hint="eastAsia" w:ascii="黑体" w:hAnsi="黑体" w:eastAsia="黑体" w:cs="Arial"/>
          <w:b/>
          <w:bCs/>
          <w:sz w:val="20"/>
          <w:szCs w:val="20"/>
        </w:rPr>
        <w:t>版本号：</w:t>
      </w:r>
      <w:r>
        <w:rPr>
          <w:rFonts w:hint="eastAsia" w:ascii="黑体" w:hAnsi="黑体" w:eastAsia="黑体" w:cs="Arial"/>
          <w:b/>
          <w:bCs/>
          <w:sz w:val="20"/>
          <w:szCs w:val="20"/>
          <w:lang w:eastAsia="zh-CN"/>
        </w:rPr>
        <w:t>【</w:t>
      </w:r>
      <w:r>
        <w:rPr>
          <w:rFonts w:hint="eastAsia" w:ascii="黑体" w:hAnsi="黑体" w:eastAsia="黑体" w:cs="Arial"/>
          <w:b/>
          <w:bCs/>
          <w:color w:val="auto"/>
          <w:sz w:val="20"/>
          <w:szCs w:val="20"/>
          <w:lang w:val="en-US" w:eastAsia="zh-CN"/>
        </w:rPr>
        <w:t>YXL</w:t>
      </w:r>
      <w:r>
        <w:rPr>
          <w:rFonts w:ascii="黑体" w:hAnsi="黑体" w:eastAsia="黑体" w:cs="Arial"/>
          <w:b/>
          <w:bCs/>
          <w:color w:val="auto"/>
          <w:sz w:val="20"/>
          <w:szCs w:val="20"/>
        </w:rPr>
        <w:t>.202</w:t>
      </w:r>
      <w:r>
        <w:rPr>
          <w:rFonts w:hint="eastAsia" w:ascii="黑体" w:hAnsi="黑体" w:eastAsia="黑体" w:cs="Arial"/>
          <w:b/>
          <w:bCs/>
          <w:color w:val="auto"/>
          <w:sz w:val="20"/>
          <w:szCs w:val="20"/>
          <w:lang w:val="en-US" w:eastAsia="zh-CN"/>
        </w:rPr>
        <w:t>3</w:t>
      </w:r>
      <w:r>
        <w:rPr>
          <w:rFonts w:ascii="黑体" w:hAnsi="黑体" w:eastAsia="黑体" w:cs="Arial"/>
          <w:b/>
          <w:bCs/>
          <w:color w:val="auto"/>
          <w:sz w:val="20"/>
          <w:szCs w:val="20"/>
        </w:rPr>
        <w:t>.01</w:t>
      </w:r>
      <w:r>
        <w:rPr>
          <w:rFonts w:hint="eastAsia" w:ascii="黑体" w:hAnsi="黑体" w:eastAsia="黑体" w:cs="Arial"/>
          <w:b/>
          <w:bCs/>
          <w:sz w:val="20"/>
          <w:szCs w:val="20"/>
          <w:lang w:eastAsia="zh-CN"/>
        </w:rPr>
        <w:t>】</w:t>
      </w:r>
    </w:p>
    <w:p>
      <w:pPr>
        <w:ind w:firstLine="720"/>
        <w:jc w:val="center"/>
        <w:rPr>
          <w:rFonts w:ascii="黑体" w:hAnsi="黑体" w:eastAsia="黑体"/>
          <w:b/>
          <w:bCs/>
          <w:sz w:val="36"/>
        </w:rPr>
      </w:pPr>
    </w:p>
    <w:p>
      <w:pPr>
        <w:pStyle w:val="2"/>
        <w:spacing w:after="0" w:line="360" w:lineRule="auto"/>
        <w:jc w:val="center"/>
        <w:rPr>
          <w:rFonts w:ascii="黑体" w:hAnsi="黑体" w:eastAsia="黑体" w:cs="黑体"/>
          <w:color w:val="auto"/>
          <w:sz w:val="36"/>
          <w:szCs w:val="36"/>
        </w:rPr>
      </w:pPr>
      <w:r>
        <w:rPr>
          <w:rFonts w:hint="eastAsia" w:ascii="黑体" w:hAnsi="黑体" w:eastAsia="黑体" w:cs="黑体"/>
          <w:sz w:val="32"/>
          <w:szCs w:val="32"/>
        </w:rPr>
        <w:t>上银理财</w:t>
      </w:r>
      <w:r>
        <w:rPr>
          <w:rFonts w:hint="eastAsia" w:ascii="黑体" w:hAnsi="黑体" w:eastAsia="黑体" w:cs="黑体"/>
          <w:sz w:val="32"/>
          <w:szCs w:val="32"/>
          <w:lang w:eastAsia="zh-CN"/>
        </w:rPr>
        <w:t>【</w:t>
      </w:r>
      <w:r>
        <w:rPr>
          <w:rFonts w:hint="eastAsia" w:ascii="黑体" w:hAnsi="黑体" w:eastAsia="黑体" w:cs="黑体"/>
          <w:color w:val="auto"/>
          <w:sz w:val="32"/>
          <w:szCs w:val="32"/>
          <w:lang w:val="en-US" w:eastAsia="zh-CN"/>
        </w:rPr>
        <w:t>“易享利”系列开放式（3个月持有期）</w:t>
      </w:r>
      <w:r>
        <w:rPr>
          <w:rFonts w:hint="eastAsia" w:ascii="黑体" w:hAnsi="黑体" w:eastAsia="黑体" w:cs="黑体"/>
          <w:color w:val="auto"/>
          <w:sz w:val="32"/>
          <w:szCs w:val="32"/>
          <w:lang w:eastAsia="zh-CN"/>
        </w:rPr>
        <w:t>】</w:t>
      </w:r>
      <w:r>
        <w:rPr>
          <w:rFonts w:hint="eastAsia" w:ascii="黑体" w:hAnsi="黑体" w:eastAsia="黑体" w:cs="黑体"/>
          <w:color w:val="auto"/>
          <w:sz w:val="32"/>
          <w:szCs w:val="32"/>
        </w:rPr>
        <w:t>理财产品</w:t>
      </w:r>
    </w:p>
    <w:p>
      <w:pPr>
        <w:ind w:firstLine="0"/>
        <w:jc w:val="center"/>
        <w:outlineLvl w:val="0"/>
        <w:rPr>
          <w:rFonts w:hint="eastAsia" w:ascii="黑体" w:hAnsi="黑体" w:eastAsia="黑体" w:cs="黑体"/>
          <w:b/>
          <w:bCs/>
          <w:color w:val="auto"/>
          <w:kern w:val="44"/>
          <w:sz w:val="32"/>
          <w:szCs w:val="32"/>
        </w:rPr>
      </w:pPr>
      <w:r>
        <w:rPr>
          <w:rFonts w:hint="eastAsia" w:ascii="黑体" w:hAnsi="黑体" w:eastAsia="黑体" w:cs="黑体"/>
          <w:b/>
          <w:bCs/>
          <w:color w:val="auto"/>
          <w:kern w:val="44"/>
          <w:sz w:val="32"/>
          <w:szCs w:val="32"/>
        </w:rPr>
        <w:t>风险揭示书</w:t>
      </w:r>
    </w:p>
    <w:p>
      <w:pPr>
        <w:ind w:firstLine="720"/>
        <w:jc w:val="center"/>
        <w:outlineLvl w:val="0"/>
        <w:rPr>
          <w:rFonts w:ascii="黑体" w:hAnsi="黑体" w:eastAsia="黑体"/>
          <w:b/>
          <w:bCs/>
          <w:sz w:val="28"/>
        </w:rPr>
      </w:pPr>
      <w:r>
        <w:rPr>
          <w:rFonts w:hint="eastAsia" w:ascii="黑体" w:hAnsi="黑体" w:eastAsia="黑体"/>
          <w:b/>
          <w:bCs/>
          <w:color w:val="auto"/>
          <w:sz w:val="28"/>
        </w:rPr>
        <w:t>（产品代码</w:t>
      </w:r>
      <w:r>
        <w:rPr>
          <w:rFonts w:ascii="黑体" w:hAnsi="黑体" w:eastAsia="黑体"/>
          <w:b/>
          <w:bCs/>
          <w:color w:val="auto"/>
          <w:sz w:val="28"/>
        </w:rPr>
        <w:t>：</w:t>
      </w:r>
      <w:r>
        <w:rPr>
          <w:rFonts w:hint="eastAsia" w:ascii="黑体" w:hAnsi="黑体" w:eastAsia="黑体"/>
          <w:b/>
          <w:bCs/>
          <w:color w:val="auto"/>
          <w:sz w:val="28"/>
          <w:lang w:eastAsia="zh-CN"/>
        </w:rPr>
        <w:t>【WPEK24M0305</w:t>
      </w:r>
      <w:r>
        <w:rPr>
          <w:rFonts w:hint="eastAsia" w:ascii="黑体" w:hAnsi="黑体" w:eastAsia="黑体"/>
          <w:b/>
          <w:bCs/>
          <w:sz w:val="28"/>
          <w:lang w:val="en-US" w:eastAsia="zh-CN"/>
        </w:rPr>
        <w:t>】</w:t>
      </w:r>
      <w:r>
        <w:rPr>
          <w:rFonts w:hint="eastAsia" w:ascii="黑体" w:hAnsi="黑体" w:eastAsia="黑体"/>
          <w:b/>
          <w:bCs/>
          <w:sz w:val="28"/>
        </w:rPr>
        <w:t>）</w:t>
      </w:r>
    </w:p>
    <w:p>
      <w:pPr>
        <w:snapToGrid w:val="0"/>
        <w:spacing w:line="360" w:lineRule="auto"/>
        <w:rPr>
          <w:rFonts w:ascii="楷体_GB2312" w:hAnsi="宋体" w:eastAsia="楷体_GB2312"/>
          <w:b/>
          <w:bCs/>
          <w:szCs w:val="21"/>
        </w:rPr>
      </w:pPr>
      <w:r>
        <w:rPr>
          <w:rFonts w:hint="eastAsia" w:ascii="楷体_GB2312" w:hAnsi="宋体" w:eastAsia="楷体_GB2312"/>
          <w:b/>
          <w:bCs/>
          <w:szCs w:val="21"/>
        </w:rPr>
        <w:t>尊敬的客户：</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由于理财资金管理运用过程中，可能会面临多种风险因素，因此，根据金融监管部门相关监管规定的要求，在您选择购买本</w:t>
      </w:r>
      <w:r>
        <w:rPr>
          <w:rFonts w:ascii="楷体_GB2312" w:hAnsi="宋体" w:eastAsia="楷体_GB2312"/>
          <w:b/>
          <w:bCs/>
          <w:szCs w:val="21"/>
        </w:rPr>
        <w:t>理财产品</w:t>
      </w:r>
      <w:r>
        <w:rPr>
          <w:rFonts w:hint="eastAsia" w:ascii="楷体_GB2312" w:hAnsi="宋体" w:eastAsia="楷体_GB2312"/>
          <w:b/>
          <w:bCs/>
          <w:szCs w:val="21"/>
        </w:rPr>
        <w:t>前，请仔细阅读以下重要内容：</w:t>
      </w:r>
    </w:p>
    <w:p>
      <w:pPr>
        <w:snapToGrid w:val="0"/>
        <w:spacing w:line="360" w:lineRule="auto"/>
        <w:ind w:firstLine="413" w:firstLineChars="196"/>
        <w:outlineLvl w:val="0"/>
        <w:rPr>
          <w:rFonts w:ascii="楷体_GB2312" w:hAnsi="宋体" w:eastAsia="楷体_GB2312"/>
          <w:b/>
          <w:bCs/>
          <w:szCs w:val="21"/>
        </w:rPr>
      </w:pPr>
      <w:r>
        <w:rPr>
          <w:rFonts w:hint="eastAsia" w:ascii="楷体_GB2312" w:hAnsi="宋体" w:eastAsia="楷体_GB2312"/>
          <w:b/>
          <w:bCs/>
          <w:szCs w:val="21"/>
        </w:rPr>
        <w:t>一、风险揭示</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理财非存款、产品有风险、投资须谨慎。</w:t>
      </w:r>
      <w:r>
        <w:rPr>
          <w:rFonts w:ascii="楷体_GB2312" w:hAnsi="宋体" w:eastAsia="楷体_GB2312"/>
          <w:b/>
          <w:bCs/>
          <w:szCs w:val="21"/>
        </w:rPr>
        <w:t>理财产品</w:t>
      </w:r>
      <w:r>
        <w:rPr>
          <w:rFonts w:hint="eastAsia" w:ascii="楷体_GB2312" w:hAnsi="宋体" w:eastAsia="楷体_GB2312"/>
          <w:b/>
          <w:bCs/>
          <w:szCs w:val="21"/>
        </w:rPr>
        <w:t>管理人承诺以诚实信用、勤勉尽责的原则管理和运用</w:t>
      </w:r>
      <w:r>
        <w:rPr>
          <w:rFonts w:ascii="楷体_GB2312" w:hAnsi="宋体" w:eastAsia="楷体_GB2312"/>
          <w:b/>
          <w:bCs/>
          <w:szCs w:val="21"/>
        </w:rPr>
        <w:t>理财产品</w:t>
      </w:r>
      <w:r>
        <w:rPr>
          <w:rFonts w:hint="eastAsia" w:ascii="楷体_GB2312" w:hAnsi="宋体" w:eastAsia="楷体_GB2312"/>
          <w:b/>
          <w:bCs/>
          <w:szCs w:val="21"/>
        </w:rPr>
        <w:t>资产，但不保证</w:t>
      </w:r>
      <w:r>
        <w:rPr>
          <w:rFonts w:ascii="楷体_GB2312" w:hAnsi="宋体" w:eastAsia="楷体_GB2312"/>
          <w:b/>
          <w:bCs/>
          <w:szCs w:val="21"/>
        </w:rPr>
        <w:t>理财产品</w:t>
      </w:r>
      <w:r>
        <w:rPr>
          <w:rFonts w:hint="eastAsia" w:ascii="楷体_GB2312" w:hAnsi="宋体" w:eastAsia="楷体_GB2312"/>
          <w:b/>
          <w:bCs/>
          <w:szCs w:val="21"/>
        </w:rPr>
        <w:t>一定盈利，也不保证本金安全和最低收益。本《风险揭示书》旨在揭示本</w:t>
      </w:r>
      <w:r>
        <w:rPr>
          <w:rFonts w:ascii="楷体_GB2312" w:hAnsi="宋体" w:eastAsia="楷体_GB2312"/>
          <w:b/>
          <w:bCs/>
          <w:szCs w:val="21"/>
        </w:rPr>
        <w:t>理财产品</w:t>
      </w:r>
      <w:r>
        <w:rPr>
          <w:rFonts w:hint="eastAsia" w:ascii="楷体_GB2312" w:hAnsi="宋体" w:eastAsia="楷体_GB2312"/>
          <w:b/>
          <w:bCs/>
          <w:szCs w:val="21"/>
        </w:rPr>
        <w:t>可能面临的各种风险，投资者应当认真阅读本《风险揭示书》，充分认识以下风险：</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（一）本金及理财收益风险：本</w:t>
      </w:r>
      <w:r>
        <w:rPr>
          <w:rFonts w:ascii="楷体_GB2312" w:hAnsi="宋体" w:eastAsia="楷体_GB2312"/>
          <w:b/>
          <w:bCs/>
          <w:szCs w:val="21"/>
        </w:rPr>
        <w:t>理财产品</w:t>
      </w:r>
      <w:r>
        <w:rPr>
          <w:rFonts w:hint="eastAsia" w:ascii="楷体_GB2312" w:hAnsi="宋体" w:eastAsia="楷体_GB2312"/>
          <w:b/>
          <w:bCs/>
          <w:szCs w:val="21"/>
        </w:rPr>
        <w:t>不保障本金且不保证理财收益。投资者的本金和理财收益（如有，下同）可能会因</w:t>
      </w:r>
      <w:r>
        <w:rPr>
          <w:rFonts w:ascii="楷体_GB2312" w:hAnsi="宋体" w:eastAsia="楷体_GB2312"/>
          <w:b/>
          <w:bCs/>
          <w:szCs w:val="21"/>
        </w:rPr>
        <w:t>理财产品</w:t>
      </w:r>
      <w:r>
        <w:rPr>
          <w:rFonts w:hint="eastAsia" w:ascii="楷体_GB2312" w:hAnsi="宋体" w:eastAsia="楷体_GB2312"/>
          <w:b/>
          <w:bCs/>
          <w:szCs w:val="21"/>
        </w:rPr>
        <w:t>所投资的资产的运作情况、市场变动而蒙受重大损失。投资者应充分认识投资风险，谨慎投资。本</w:t>
      </w:r>
      <w:r>
        <w:rPr>
          <w:rFonts w:ascii="楷体_GB2312" w:hAnsi="宋体" w:eastAsia="楷体_GB2312"/>
          <w:b/>
          <w:bCs/>
          <w:szCs w:val="21"/>
        </w:rPr>
        <w:t>理财产品</w:t>
      </w:r>
      <w:r>
        <w:rPr>
          <w:rFonts w:hint="eastAsia" w:ascii="楷体_GB2312" w:hAnsi="宋体" w:eastAsia="楷体_GB2312"/>
          <w:b/>
          <w:bCs/>
          <w:szCs w:val="21"/>
        </w:rPr>
        <w:t>收益来源于</w:t>
      </w:r>
      <w:r>
        <w:rPr>
          <w:rFonts w:ascii="楷体_GB2312" w:hAnsi="宋体" w:eastAsia="楷体_GB2312"/>
          <w:b/>
          <w:bCs/>
          <w:szCs w:val="21"/>
        </w:rPr>
        <w:t>理财产品</w:t>
      </w:r>
      <w:r>
        <w:rPr>
          <w:rFonts w:hint="eastAsia" w:ascii="楷体_GB2312" w:hAnsi="宋体" w:eastAsia="楷体_GB2312"/>
          <w:b/>
          <w:bCs/>
          <w:szCs w:val="21"/>
        </w:rPr>
        <w:t>所投资资产组合的收益分配、出让或其他方式处分及</w:t>
      </w:r>
      <w:r>
        <w:rPr>
          <w:rFonts w:ascii="楷体_GB2312" w:hAnsi="宋体" w:eastAsia="楷体_GB2312"/>
          <w:b/>
          <w:bCs/>
          <w:szCs w:val="21"/>
        </w:rPr>
        <w:t>/</w:t>
      </w:r>
      <w:r>
        <w:rPr>
          <w:rFonts w:hint="eastAsia" w:ascii="楷体_GB2312" w:hAnsi="宋体" w:eastAsia="楷体_GB2312"/>
          <w:b/>
          <w:bCs/>
          <w:szCs w:val="21"/>
        </w:rPr>
        <w:t>或持有到期的收入。如资产组合内的底层债券、债权等资产发生市场风险、违约风险和流动性风险，由此产生的理财本金及理财收益损失的风险由投资者自行承担；如资产组合无法正常处置的，则由此产生的本金及理财收益损失的风险由投资者自行承担。在发生资产违约且无法正常处置等最不利情况下投资者将可能损失全部本金。</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（二）信用风险：本</w:t>
      </w:r>
      <w:r>
        <w:rPr>
          <w:rFonts w:ascii="楷体_GB2312" w:hAnsi="宋体" w:eastAsia="楷体_GB2312"/>
          <w:b/>
          <w:bCs/>
          <w:szCs w:val="21"/>
        </w:rPr>
        <w:t>理财产品</w:t>
      </w:r>
      <w:r>
        <w:rPr>
          <w:rFonts w:hint="eastAsia" w:ascii="楷体_GB2312" w:hAnsi="宋体" w:eastAsia="楷体_GB2312"/>
          <w:b/>
          <w:bCs/>
          <w:szCs w:val="21"/>
        </w:rPr>
        <w:t>部分资产可能投资于标准化债权资产</w:t>
      </w:r>
      <w:r>
        <w:rPr>
          <w:rFonts w:hint="default" w:ascii="楷体_GB2312" w:hAnsi="宋体" w:eastAsia="楷体_GB2312"/>
          <w:b/>
          <w:bCs/>
          <w:szCs w:val="21"/>
          <w:lang w:val="en-US"/>
        </w:rPr>
        <w:t>、权益类</w:t>
      </w:r>
      <w:r>
        <w:rPr>
          <w:rFonts w:hint="eastAsia" w:ascii="楷体_GB2312" w:hAnsi="宋体" w:eastAsia="楷体_GB2312"/>
          <w:b/>
          <w:bCs/>
          <w:szCs w:val="21"/>
        </w:rPr>
        <w:t>资产等，因此有可能由于发行主体或交易对手信用状况恶化导致交易违约，致使本</w:t>
      </w:r>
      <w:r>
        <w:rPr>
          <w:rFonts w:ascii="楷体_GB2312" w:hAnsi="宋体" w:eastAsia="楷体_GB2312"/>
          <w:b/>
          <w:bCs/>
          <w:szCs w:val="21"/>
        </w:rPr>
        <w:t>理财产品</w:t>
      </w:r>
      <w:r>
        <w:rPr>
          <w:rFonts w:hint="eastAsia" w:ascii="楷体_GB2312" w:hAnsi="宋体" w:eastAsia="楷体_GB2312"/>
          <w:b/>
          <w:bCs/>
          <w:szCs w:val="21"/>
        </w:rPr>
        <w:t>到期实际收益不足业绩比较基准，该种情况下，管理人将按照投资实际收益情况，并以资产变现实际收到的资金为限支付投资人收益，投资人将自行承担由此而导致的理财收益减少乃至本金损失的风险。本</w:t>
      </w:r>
      <w:r>
        <w:rPr>
          <w:rFonts w:ascii="楷体_GB2312" w:hAnsi="宋体" w:eastAsia="楷体_GB2312"/>
          <w:b/>
          <w:bCs/>
          <w:szCs w:val="21"/>
        </w:rPr>
        <w:t>理财产品</w:t>
      </w:r>
      <w:r>
        <w:rPr>
          <w:rFonts w:hint="eastAsia" w:ascii="楷体_GB2312" w:hAnsi="宋体" w:eastAsia="楷体_GB2312"/>
          <w:b/>
          <w:bCs/>
          <w:szCs w:val="21"/>
        </w:rPr>
        <w:t>运作过程中，投资管理人将密切关注投资组合信用风险变化，根据债务人等信用等级的调整及时调整投资组合，尽最大努力管理信用风险。</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三）市场风险：在理财产品合同约定的投资范围内，产品可能面临国家政策、经济周期、利率、汇率等因素发生变化。受以上情况及未来可能出现的其他重要市场因素变化的影响，本理财产品所投资的资产或资产组合价值可能出现波动，从而影响本理财产品的收益，则投资者可能面临本金和收益遭受部分甚至全部损失的风险。</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（四）管理人风险：由于管理人（包括本</w:t>
      </w:r>
      <w:r>
        <w:rPr>
          <w:rFonts w:ascii="楷体_GB2312" w:hAnsi="宋体" w:eastAsia="楷体_GB2312"/>
          <w:b/>
          <w:bCs/>
          <w:szCs w:val="21"/>
        </w:rPr>
        <w:t>理财产品</w:t>
      </w:r>
      <w:r>
        <w:rPr>
          <w:rFonts w:hint="eastAsia" w:ascii="楷体_GB2312" w:hAnsi="宋体" w:eastAsia="楷体_GB2312"/>
          <w:b/>
          <w:bCs/>
          <w:szCs w:val="21"/>
        </w:rPr>
        <w:t>的投资管理人、所投资的信托计划</w:t>
      </w:r>
      <w:r>
        <w:rPr>
          <w:rFonts w:ascii="楷体_GB2312" w:hAnsi="宋体" w:eastAsia="楷体_GB2312"/>
          <w:b/>
          <w:bCs/>
          <w:szCs w:val="21"/>
        </w:rPr>
        <w:t>/</w:t>
      </w:r>
      <w:r>
        <w:rPr>
          <w:rFonts w:hint="eastAsia" w:ascii="楷体_GB2312" w:hAnsi="宋体" w:eastAsia="楷体_GB2312"/>
          <w:b/>
          <w:bCs/>
          <w:szCs w:val="21"/>
        </w:rPr>
        <w:t>资管计划</w:t>
      </w:r>
      <w:r>
        <w:rPr>
          <w:rFonts w:ascii="楷体_GB2312" w:hAnsi="宋体" w:eastAsia="楷体_GB2312"/>
          <w:b/>
          <w:bCs/>
          <w:szCs w:val="21"/>
        </w:rPr>
        <w:t>/</w:t>
      </w:r>
      <w:r>
        <w:rPr>
          <w:rFonts w:hint="eastAsia" w:ascii="楷体_GB2312" w:hAnsi="宋体" w:eastAsia="楷体_GB2312"/>
          <w:b/>
          <w:bCs/>
          <w:szCs w:val="21"/>
        </w:rPr>
        <w:t>基金的受托人</w:t>
      </w:r>
      <w:r>
        <w:rPr>
          <w:rFonts w:ascii="楷体_GB2312" w:hAnsi="宋体" w:eastAsia="楷体_GB2312"/>
          <w:b/>
          <w:bCs/>
          <w:szCs w:val="21"/>
        </w:rPr>
        <w:t>/</w:t>
      </w:r>
      <w:r>
        <w:rPr>
          <w:rFonts w:hint="eastAsia" w:ascii="楷体_GB2312" w:hAnsi="宋体" w:eastAsia="楷体_GB2312"/>
          <w:b/>
          <w:bCs/>
          <w:szCs w:val="21"/>
        </w:rPr>
        <w:t>管理人（如有）、相关投资顾问（如有）等，下同）受经验、技能等因素的限制，会影响其对信息的获取和对经济形势、金融市场价格走势的判断，如管理人判断有误、获取信息不全、或对投资工具使用不当等，可能导致本</w:t>
      </w:r>
      <w:r>
        <w:rPr>
          <w:rFonts w:ascii="楷体_GB2312" w:hAnsi="宋体" w:eastAsia="楷体_GB2312"/>
          <w:b/>
          <w:bCs/>
          <w:szCs w:val="21"/>
        </w:rPr>
        <w:t>理财产品</w:t>
      </w:r>
      <w:r>
        <w:rPr>
          <w:rFonts w:hint="eastAsia" w:ascii="楷体_GB2312" w:hAnsi="宋体" w:eastAsia="楷体_GB2312"/>
          <w:b/>
          <w:bCs/>
          <w:szCs w:val="21"/>
        </w:rPr>
        <w:t>项下的理财资金遭受损失。如信托计划</w:t>
      </w:r>
      <w:r>
        <w:rPr>
          <w:rFonts w:ascii="楷体_GB2312" w:hAnsi="宋体" w:eastAsia="楷体_GB2312"/>
          <w:b/>
          <w:bCs/>
          <w:szCs w:val="21"/>
        </w:rPr>
        <w:t>/</w:t>
      </w:r>
      <w:r>
        <w:rPr>
          <w:rFonts w:hint="eastAsia" w:ascii="楷体_GB2312" w:hAnsi="宋体" w:eastAsia="楷体_GB2312"/>
          <w:b/>
          <w:bCs/>
          <w:szCs w:val="21"/>
        </w:rPr>
        <w:t>资管计划</w:t>
      </w:r>
      <w:r>
        <w:rPr>
          <w:rFonts w:ascii="楷体_GB2312" w:hAnsi="宋体" w:eastAsia="楷体_GB2312"/>
          <w:b/>
          <w:bCs/>
          <w:szCs w:val="21"/>
        </w:rPr>
        <w:t>/</w:t>
      </w:r>
      <w:r>
        <w:rPr>
          <w:rFonts w:hint="eastAsia" w:ascii="楷体_GB2312" w:hAnsi="宋体" w:eastAsia="楷体_GB2312"/>
          <w:b/>
          <w:bCs/>
          <w:szCs w:val="21"/>
        </w:rPr>
        <w:t>基金的受托人</w:t>
      </w:r>
      <w:r>
        <w:rPr>
          <w:rFonts w:ascii="楷体_GB2312" w:hAnsi="宋体" w:eastAsia="楷体_GB2312"/>
          <w:b/>
          <w:bCs/>
          <w:szCs w:val="21"/>
        </w:rPr>
        <w:t>/</w:t>
      </w:r>
      <w:r>
        <w:rPr>
          <w:rFonts w:hint="eastAsia" w:ascii="楷体_GB2312" w:hAnsi="宋体" w:eastAsia="楷体_GB2312"/>
          <w:b/>
          <w:bCs/>
          <w:szCs w:val="21"/>
        </w:rPr>
        <w:t>管理人（如有）、相关投资顾问（如有）、所投资基金或资管计划的代理</w:t>
      </w:r>
      <w:r>
        <w:rPr>
          <w:rFonts w:ascii="楷体_GB2312" w:hAnsi="宋体" w:eastAsia="楷体_GB2312"/>
          <w:b/>
          <w:bCs/>
          <w:szCs w:val="21"/>
        </w:rPr>
        <w:t>销售机构</w:t>
      </w:r>
      <w:r>
        <w:rPr>
          <w:rFonts w:hint="eastAsia" w:ascii="楷体_GB2312" w:hAnsi="宋体" w:eastAsia="楷体_GB2312"/>
          <w:b/>
          <w:bCs/>
          <w:szCs w:val="21"/>
        </w:rPr>
        <w:t>（如有）等及其内部作业、人员管理及系统操作不当或失误，或违背相关合同约定、未严格执行风险控制措施、处理事务不当等，可能导致本</w:t>
      </w:r>
      <w:r>
        <w:rPr>
          <w:rFonts w:ascii="楷体_GB2312" w:hAnsi="宋体" w:eastAsia="楷体_GB2312"/>
          <w:b/>
          <w:bCs/>
          <w:szCs w:val="21"/>
        </w:rPr>
        <w:t>理财产品</w:t>
      </w:r>
      <w:r>
        <w:rPr>
          <w:rFonts w:hint="eastAsia" w:ascii="楷体_GB2312" w:hAnsi="宋体" w:eastAsia="楷体_GB2312"/>
          <w:b/>
          <w:bCs/>
          <w:szCs w:val="21"/>
        </w:rPr>
        <w:t>项下的理财资金遭受损失。</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五）政策风险：本理财产品是针对当前的相关法规和政策设计的，如国家宏观政策以及市场相关法规政策等发生变化，可能影响本理财产品的受理、投资、偿还等的正常进行，导致本理财产品收益降低甚至本金损失。</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（六）</w:t>
      </w:r>
      <w:r>
        <w:rPr>
          <w:rFonts w:ascii="楷体_GB2312" w:hAnsi="宋体" w:eastAsia="楷体_GB2312"/>
          <w:b/>
          <w:bCs/>
          <w:szCs w:val="21"/>
        </w:rPr>
        <w:t>理财产品</w:t>
      </w:r>
      <w:r>
        <w:rPr>
          <w:rFonts w:hint="eastAsia" w:ascii="楷体_GB2312" w:hAnsi="宋体" w:eastAsia="楷体_GB2312"/>
          <w:b/>
          <w:bCs/>
          <w:szCs w:val="21"/>
        </w:rPr>
        <w:t>不成立风险：如自本</w:t>
      </w:r>
      <w:r>
        <w:rPr>
          <w:rFonts w:ascii="楷体_GB2312" w:hAnsi="宋体" w:eastAsia="楷体_GB2312"/>
          <w:b/>
          <w:bCs/>
          <w:szCs w:val="21"/>
        </w:rPr>
        <w:t>理财产品</w:t>
      </w:r>
      <w:r>
        <w:rPr>
          <w:rFonts w:hint="eastAsia" w:ascii="楷体_GB2312" w:hAnsi="宋体" w:eastAsia="楷体_GB2312"/>
          <w:b/>
          <w:bCs/>
          <w:szCs w:val="21"/>
        </w:rPr>
        <w:t>开始认购至</w:t>
      </w:r>
      <w:r>
        <w:rPr>
          <w:rFonts w:ascii="楷体_GB2312" w:hAnsi="宋体" w:eastAsia="楷体_GB2312"/>
          <w:b/>
          <w:bCs/>
          <w:szCs w:val="21"/>
        </w:rPr>
        <w:t>理财产品</w:t>
      </w:r>
      <w:r>
        <w:rPr>
          <w:rFonts w:hint="eastAsia" w:ascii="楷体_GB2312" w:hAnsi="宋体" w:eastAsia="楷体_GB2312"/>
          <w:b/>
          <w:bCs/>
          <w:szCs w:val="21"/>
        </w:rPr>
        <w:t>原定成立日之前，</w:t>
      </w:r>
      <w:r>
        <w:rPr>
          <w:rFonts w:ascii="楷体_GB2312" w:hAnsi="宋体" w:eastAsia="楷体_GB2312"/>
          <w:b/>
          <w:bCs/>
          <w:szCs w:val="21"/>
        </w:rPr>
        <w:t>理财产品</w:t>
      </w:r>
      <w:r>
        <w:rPr>
          <w:rFonts w:hint="eastAsia" w:ascii="楷体_GB2312" w:hAnsi="宋体" w:eastAsia="楷体_GB2312"/>
          <w:b/>
          <w:bCs/>
          <w:szCs w:val="21"/>
        </w:rPr>
        <w:t>认购总金额未达到最低发行规模（如有约定），或国家宏观政策以及市场相关法规政策发生变化，或市场发生剧烈波动，或出现其他使得本</w:t>
      </w:r>
      <w:r>
        <w:rPr>
          <w:rFonts w:ascii="楷体_GB2312" w:hAnsi="宋体" w:eastAsia="楷体_GB2312"/>
          <w:b/>
          <w:bCs/>
          <w:szCs w:val="21"/>
        </w:rPr>
        <w:t>理财产品</w:t>
      </w:r>
      <w:r>
        <w:rPr>
          <w:rFonts w:hint="eastAsia" w:ascii="楷体_GB2312" w:hAnsi="宋体" w:eastAsia="楷体_GB2312"/>
          <w:b/>
          <w:bCs/>
          <w:szCs w:val="21"/>
        </w:rPr>
        <w:t>无法正常成立或正常运作的情况，经管理人合理判断难以按照本</w:t>
      </w:r>
      <w:r>
        <w:rPr>
          <w:rFonts w:hint="eastAsia" w:ascii="楷体_GB2312" w:hAnsi="宋体" w:eastAsia="楷体_GB2312"/>
          <w:b/>
          <w:bCs/>
          <w:szCs w:val="21"/>
          <w:lang w:eastAsia="zh-CN"/>
        </w:rPr>
        <w:t>《</w:t>
      </w:r>
      <w:r>
        <w:rPr>
          <w:rFonts w:hint="eastAsia" w:ascii="楷体_GB2312" w:hAnsi="宋体" w:eastAsia="楷体_GB2312"/>
          <w:b/>
          <w:bCs/>
          <w:szCs w:val="21"/>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规定向投资者提供本</w:t>
      </w:r>
      <w:r>
        <w:rPr>
          <w:rFonts w:ascii="楷体_GB2312" w:hAnsi="宋体" w:eastAsia="楷体_GB2312"/>
          <w:b/>
          <w:bCs/>
          <w:szCs w:val="21"/>
        </w:rPr>
        <w:t>理财产品</w:t>
      </w:r>
      <w:r>
        <w:rPr>
          <w:rFonts w:hint="eastAsia" w:ascii="楷体_GB2312" w:hAnsi="宋体" w:eastAsia="楷体_GB2312"/>
          <w:b/>
          <w:bCs/>
          <w:szCs w:val="21"/>
        </w:rPr>
        <w:t>，管理人有权宣布本</w:t>
      </w:r>
      <w:r>
        <w:rPr>
          <w:rFonts w:ascii="楷体_GB2312" w:hAnsi="宋体" w:eastAsia="楷体_GB2312"/>
          <w:b/>
          <w:bCs/>
          <w:szCs w:val="21"/>
        </w:rPr>
        <w:t>理财产品</w:t>
      </w:r>
      <w:r>
        <w:rPr>
          <w:rFonts w:hint="eastAsia" w:ascii="楷体_GB2312" w:hAnsi="宋体" w:eastAsia="楷体_GB2312"/>
          <w:b/>
          <w:bCs/>
          <w:szCs w:val="21"/>
        </w:rPr>
        <w:t>不成立。</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（七）延期风险：如因</w:t>
      </w:r>
      <w:r>
        <w:rPr>
          <w:rFonts w:ascii="楷体_GB2312" w:hAnsi="宋体" w:eastAsia="楷体_GB2312"/>
          <w:b/>
          <w:bCs/>
          <w:szCs w:val="21"/>
        </w:rPr>
        <w:t>理财产品</w:t>
      </w:r>
      <w:r>
        <w:rPr>
          <w:rFonts w:hint="eastAsia" w:ascii="楷体_GB2312" w:hAnsi="宋体" w:eastAsia="楷体_GB2312"/>
          <w:b/>
          <w:bCs/>
          <w:szCs w:val="21"/>
        </w:rPr>
        <w:t>所投资的标的资产因市场风险、流动性风险、信用风险等原因造成</w:t>
      </w:r>
      <w:r>
        <w:rPr>
          <w:rFonts w:ascii="楷体_GB2312" w:hAnsi="宋体" w:eastAsia="楷体_GB2312"/>
          <w:b/>
          <w:bCs/>
          <w:szCs w:val="21"/>
        </w:rPr>
        <w:t>产品</w:t>
      </w:r>
      <w:r>
        <w:rPr>
          <w:rFonts w:hint="eastAsia" w:ascii="楷体_GB2312" w:hAnsi="宋体" w:eastAsia="楷体_GB2312"/>
          <w:b/>
          <w:bCs/>
          <w:szCs w:val="21"/>
        </w:rPr>
        <w:t>不能按时还本付息，理财期限将相应延长。如管理人延长</w:t>
      </w:r>
      <w:r>
        <w:rPr>
          <w:rFonts w:ascii="楷体_GB2312" w:hAnsi="宋体" w:eastAsia="楷体_GB2312"/>
          <w:b/>
          <w:bCs/>
          <w:szCs w:val="21"/>
        </w:rPr>
        <w:t>理财产品</w:t>
      </w:r>
      <w:r>
        <w:rPr>
          <w:rFonts w:hint="eastAsia" w:ascii="楷体_GB2312" w:hAnsi="宋体" w:eastAsia="楷体_GB2312"/>
          <w:b/>
          <w:bCs/>
          <w:szCs w:val="21"/>
        </w:rPr>
        <w:t>期限，将通过</w:t>
      </w:r>
      <w:r>
        <w:rPr>
          <w:rFonts w:hint="eastAsia" w:ascii="楷体_GB2312" w:hAnsi="宋体" w:eastAsia="楷体_GB2312"/>
          <w:b/>
          <w:bCs/>
          <w:szCs w:val="21"/>
          <w:lang w:eastAsia="zh-CN"/>
        </w:rPr>
        <w:t>《</w:t>
      </w:r>
      <w:r>
        <w:rPr>
          <w:rFonts w:ascii="楷体_GB2312" w:hAnsi="宋体" w:eastAsia="楷体_GB2312"/>
          <w:b/>
          <w:bCs/>
          <w:szCs w:val="21"/>
        </w:rPr>
        <w:t>产品</w:t>
      </w:r>
      <w:r>
        <w:rPr>
          <w:rFonts w:hint="eastAsia" w:ascii="楷体_GB2312" w:hAnsi="宋体" w:eastAsia="楷体_GB2312"/>
          <w:b/>
          <w:bCs/>
          <w:szCs w:val="21"/>
        </w:rPr>
        <w:t>说明书</w:t>
      </w:r>
      <w:r>
        <w:rPr>
          <w:rFonts w:hint="eastAsia" w:ascii="楷体_GB2312" w:hAnsi="宋体" w:eastAsia="楷体_GB2312"/>
          <w:b/>
          <w:bCs/>
          <w:szCs w:val="21"/>
          <w:lang w:eastAsia="zh-CN"/>
        </w:rPr>
        <w:t>》</w:t>
      </w:r>
      <w:r>
        <w:rPr>
          <w:rFonts w:hint="eastAsia" w:ascii="楷体_GB2312" w:hAnsi="宋体" w:eastAsia="楷体_GB2312"/>
          <w:b/>
          <w:bCs/>
          <w:szCs w:val="21"/>
        </w:rPr>
        <w:t>“信息披露”约定的信息披露渠道向投资者发布信息公告。</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（八）投资者资金流动性风险：本</w:t>
      </w:r>
      <w:r>
        <w:rPr>
          <w:rFonts w:ascii="楷体_GB2312" w:hAnsi="宋体" w:eastAsia="楷体_GB2312"/>
          <w:b/>
          <w:bCs/>
          <w:szCs w:val="21"/>
        </w:rPr>
        <w:t>理财产品</w:t>
      </w:r>
      <w:r>
        <w:rPr>
          <w:rFonts w:hint="eastAsia" w:ascii="楷体_GB2312" w:hAnsi="宋体" w:eastAsia="楷体_GB2312"/>
          <w:b/>
          <w:bCs/>
          <w:szCs w:val="21"/>
          <w:lang w:val="en-US" w:eastAsia="zh-CN"/>
        </w:rPr>
        <w:t>期限为【</w:t>
      </w:r>
      <w:r>
        <w:rPr>
          <w:rFonts w:hint="eastAsia" w:ascii="楷体_GB2312" w:hAnsi="宋体" w:eastAsia="楷体_GB2312"/>
          <w:b/>
          <w:bCs/>
          <w:color w:val="C00000"/>
          <w:szCs w:val="21"/>
          <w:lang w:val="en-US" w:eastAsia="zh-CN"/>
        </w:rPr>
        <w:t>10年</w:t>
      </w:r>
      <w:r>
        <w:rPr>
          <w:rFonts w:hint="eastAsia" w:ascii="楷体_GB2312" w:hAnsi="宋体" w:eastAsia="楷体_GB2312"/>
          <w:b/>
          <w:bCs/>
          <w:szCs w:val="21"/>
          <w:lang w:val="en-US" w:eastAsia="zh-CN"/>
        </w:rPr>
        <w:t>】</w:t>
      </w:r>
      <w:r>
        <w:rPr>
          <w:rFonts w:hint="eastAsia" w:ascii="楷体_GB2312" w:hAnsi="宋体" w:eastAsia="楷体_GB2312"/>
          <w:b/>
          <w:bCs/>
          <w:szCs w:val="21"/>
        </w:rPr>
        <w:t>，</w:t>
      </w:r>
      <w:r>
        <w:rPr>
          <w:rFonts w:hint="default" w:ascii="楷体_GB2312" w:hAnsi="宋体" w:eastAsia="楷体_GB2312"/>
          <w:b/>
          <w:bCs/>
          <w:szCs w:val="21"/>
          <w:lang w:val="en-US" w:eastAsia="zh-CN"/>
        </w:rPr>
        <w:t>在理财产品存续期内，除投资封闭期外每一自然日为产品开放日，</w:t>
      </w:r>
      <w:r>
        <w:rPr>
          <w:rFonts w:hint="eastAsia" w:ascii="楷体_GB2312" w:hAnsi="宋体" w:eastAsia="楷体_GB2312"/>
          <w:b/>
          <w:bCs/>
          <w:szCs w:val="21"/>
          <w:lang w:val="en-US" w:eastAsia="zh-CN"/>
        </w:rPr>
        <w:t>投资者可在</w:t>
      </w:r>
      <w:r>
        <w:rPr>
          <w:rFonts w:hint="default" w:ascii="楷体_GB2312" w:hAnsi="宋体" w:eastAsia="楷体_GB2312"/>
          <w:b/>
          <w:bCs/>
          <w:szCs w:val="21"/>
          <w:lang w:val="en-US" w:eastAsia="zh-CN"/>
        </w:rPr>
        <w:t>产品开放日</w:t>
      </w:r>
      <w:r>
        <w:rPr>
          <w:rFonts w:hint="eastAsia" w:ascii="楷体_GB2312" w:hAnsi="宋体" w:eastAsia="楷体_GB2312"/>
          <w:b/>
          <w:bCs/>
          <w:szCs w:val="21"/>
          <w:lang w:val="en-US" w:eastAsia="zh-CN"/>
        </w:rPr>
        <w:t>内办理</w:t>
      </w:r>
      <w:r>
        <w:rPr>
          <w:rFonts w:hint="default" w:ascii="楷体_GB2312" w:hAnsi="宋体" w:eastAsia="楷体_GB2312"/>
          <w:b/>
          <w:bCs/>
          <w:szCs w:val="21"/>
          <w:lang w:val="en-US" w:eastAsia="zh-CN"/>
        </w:rPr>
        <w:t>申购</w:t>
      </w:r>
      <w:r>
        <w:rPr>
          <w:rFonts w:hint="eastAsia" w:ascii="楷体_GB2312" w:hAnsi="宋体" w:eastAsia="楷体_GB2312"/>
          <w:b/>
          <w:bCs/>
          <w:szCs w:val="21"/>
          <w:lang w:val="en-US" w:eastAsia="zh-CN"/>
        </w:rPr>
        <w:t>，但</w:t>
      </w:r>
      <w:r>
        <w:rPr>
          <w:rFonts w:hint="eastAsia" w:ascii="楷体_GB2312" w:hAnsi="宋体" w:eastAsia="楷体_GB2312"/>
          <w:b/>
          <w:bCs/>
          <w:szCs w:val="21"/>
        </w:rPr>
        <w:t>只能在持有本</w:t>
      </w:r>
      <w:r>
        <w:rPr>
          <w:rFonts w:ascii="楷体_GB2312" w:hAnsi="宋体" w:eastAsia="楷体_GB2312"/>
          <w:b/>
          <w:bCs/>
          <w:szCs w:val="21"/>
        </w:rPr>
        <w:t>理财产品</w:t>
      </w:r>
      <w:r>
        <w:rPr>
          <w:rFonts w:hint="eastAsia" w:ascii="楷体_GB2312" w:hAnsi="宋体" w:eastAsia="楷体_GB2312"/>
          <w:b/>
          <w:bCs/>
          <w:szCs w:val="21"/>
        </w:rPr>
        <w:t>相应份额达到</w:t>
      </w:r>
      <w:r>
        <w:rPr>
          <w:rFonts w:hint="eastAsia" w:ascii="楷体_GB2312" w:hAnsi="宋体" w:eastAsia="楷体_GB2312"/>
          <w:b/>
          <w:bCs/>
          <w:szCs w:val="21"/>
          <w:u w:val="single"/>
          <w:lang w:eastAsia="zh-CN"/>
        </w:rPr>
        <w:t>【</w:t>
      </w:r>
      <w:r>
        <w:rPr>
          <w:rFonts w:hint="eastAsia" w:ascii="楷体_GB2312" w:hAnsi="宋体" w:eastAsia="楷体_GB2312"/>
          <w:b/>
          <w:bCs/>
          <w:color w:val="C00000"/>
          <w:szCs w:val="21"/>
          <w:u w:val="single"/>
          <w:lang w:val="en-US" w:eastAsia="zh-CN"/>
        </w:rPr>
        <w:t>90</w:t>
      </w:r>
      <w:r>
        <w:rPr>
          <w:rFonts w:hint="eastAsia" w:ascii="楷体_GB2312" w:hAnsi="宋体" w:eastAsia="楷体_GB2312"/>
          <w:b/>
          <w:bCs/>
          <w:color w:val="auto"/>
          <w:szCs w:val="21"/>
          <w:u w:val="single"/>
          <w:lang w:val="en-US" w:eastAsia="zh-CN"/>
        </w:rPr>
        <w:t>】</w:t>
      </w:r>
      <w:r>
        <w:rPr>
          <w:rFonts w:ascii="楷体_GB2312" w:hAnsi="宋体" w:eastAsia="楷体_GB2312"/>
          <w:b/>
          <w:bCs/>
          <w:color w:val="auto"/>
          <w:szCs w:val="21"/>
          <w:u w:val="single"/>
        </w:rPr>
        <w:t>个自然日</w:t>
      </w:r>
      <w:r>
        <w:rPr>
          <w:rFonts w:ascii="楷体_GB2312" w:hAnsi="宋体" w:eastAsia="楷体_GB2312"/>
          <w:b/>
          <w:bCs/>
          <w:szCs w:val="21"/>
        </w:rPr>
        <w:t>的最短持有期后</w:t>
      </w:r>
      <w:r>
        <w:rPr>
          <w:rFonts w:hint="eastAsia" w:ascii="楷体_GB2312" w:hAnsi="宋体" w:eastAsia="楷体_GB2312"/>
          <w:b/>
          <w:bCs/>
          <w:szCs w:val="21"/>
          <w:lang w:eastAsia="zh-CN"/>
        </w:rPr>
        <w:t>（</w:t>
      </w:r>
      <w:r>
        <w:rPr>
          <w:rStyle w:val="12"/>
          <w:rFonts w:ascii="楷体_GB2312" w:hAnsi="微软雅黑" w:eastAsia="楷体_GB2312" w:cs="楷体_GB2312"/>
          <w:i w:val="0"/>
          <w:iCs w:val="0"/>
          <w:caps w:val="0"/>
          <w:color w:val="000000"/>
          <w:spacing w:val="0"/>
          <w:sz w:val="21"/>
          <w:szCs w:val="21"/>
        </w:rPr>
        <w:t>由于</w:t>
      </w:r>
      <w:r>
        <w:rPr>
          <w:rStyle w:val="12"/>
          <w:rFonts w:hint="default" w:ascii="楷体_GB2312" w:hAnsi="微软雅黑" w:eastAsia="楷体_GB2312" w:cs="楷体_GB2312"/>
          <w:i w:val="0"/>
          <w:iCs w:val="0"/>
          <w:caps w:val="0"/>
          <w:color w:val="000000"/>
          <w:spacing w:val="0"/>
          <w:sz w:val="21"/>
          <w:szCs w:val="21"/>
        </w:rPr>
        <w:t>最短持有期结束日若为非交易日则自动顺延至下一交易日等原因，每个最短持有期实际上可能长于</w:t>
      </w:r>
      <w:r>
        <w:rPr>
          <w:rStyle w:val="12"/>
          <w:rFonts w:hint="eastAsia" w:ascii="楷体_GB2312" w:hAnsi="微软雅黑" w:eastAsia="楷体_GB2312" w:cs="楷体_GB2312"/>
          <w:i w:val="0"/>
          <w:iCs w:val="0"/>
          <w:caps w:val="0"/>
          <w:color w:val="000000"/>
          <w:spacing w:val="0"/>
          <w:sz w:val="21"/>
          <w:szCs w:val="21"/>
          <w:lang w:eastAsia="zh-CN"/>
        </w:rPr>
        <w:t>【</w:t>
      </w:r>
      <w:r>
        <w:rPr>
          <w:rStyle w:val="12"/>
          <w:rFonts w:hint="eastAsia" w:ascii="楷体_GB2312" w:hAnsi="微软雅黑" w:eastAsia="楷体_GB2312" w:cs="楷体_GB2312"/>
          <w:i w:val="0"/>
          <w:iCs w:val="0"/>
          <w:caps w:val="0"/>
          <w:color w:val="000000"/>
          <w:spacing w:val="0"/>
          <w:sz w:val="21"/>
          <w:szCs w:val="21"/>
          <w:lang w:val="en-US" w:eastAsia="zh-CN"/>
        </w:rPr>
        <w:t>90</w:t>
      </w:r>
      <w:r>
        <w:rPr>
          <w:rStyle w:val="12"/>
          <w:rFonts w:hint="eastAsia" w:ascii="楷体_GB2312" w:hAnsi="微软雅黑" w:eastAsia="楷体_GB2312" w:cs="楷体_GB2312"/>
          <w:i w:val="0"/>
          <w:iCs w:val="0"/>
          <w:caps w:val="0"/>
          <w:color w:val="000000"/>
          <w:spacing w:val="0"/>
          <w:sz w:val="21"/>
          <w:szCs w:val="21"/>
          <w:lang w:eastAsia="zh-CN"/>
        </w:rPr>
        <w:t>】</w:t>
      </w:r>
      <w:r>
        <w:rPr>
          <w:rStyle w:val="12"/>
          <w:rFonts w:hint="default" w:ascii="楷体_GB2312" w:hAnsi="微软雅黑" w:eastAsia="楷体_GB2312" w:cs="楷体_GB2312"/>
          <w:i w:val="0"/>
          <w:iCs w:val="0"/>
          <w:caps w:val="0"/>
          <w:color w:val="000000"/>
          <w:spacing w:val="0"/>
          <w:sz w:val="21"/>
          <w:szCs w:val="21"/>
        </w:rPr>
        <w:t>个自然日）</w:t>
      </w:r>
      <w:r>
        <w:rPr>
          <w:rFonts w:ascii="楷体_GB2312" w:hAnsi="宋体" w:eastAsia="楷体_GB2312"/>
          <w:b/>
          <w:bCs/>
          <w:szCs w:val="21"/>
        </w:rPr>
        <w:t>，</w:t>
      </w:r>
      <w:r>
        <w:rPr>
          <w:rFonts w:hint="eastAsia" w:ascii="楷体_GB2312" w:hAnsi="宋体" w:eastAsia="楷体_GB2312"/>
          <w:b/>
          <w:bCs/>
          <w:szCs w:val="21"/>
        </w:rPr>
        <w:t>才能</w:t>
      </w:r>
      <w:r>
        <w:rPr>
          <w:rFonts w:ascii="楷体_GB2312" w:hAnsi="宋体" w:eastAsia="楷体_GB2312"/>
          <w:b/>
          <w:bCs/>
          <w:szCs w:val="21"/>
        </w:rPr>
        <w:t>在</w:t>
      </w:r>
      <w:r>
        <w:rPr>
          <w:rFonts w:hint="eastAsia" w:ascii="楷体_GB2312" w:hAnsi="宋体" w:eastAsia="楷体_GB2312"/>
          <w:b/>
          <w:bCs/>
          <w:szCs w:val="21"/>
          <w:lang w:eastAsia="zh-CN"/>
        </w:rPr>
        <w:t>《</w:t>
      </w:r>
      <w:r>
        <w:rPr>
          <w:rFonts w:hint="eastAsia" w:ascii="楷体_GB2312" w:hAnsi="宋体" w:eastAsia="楷体_GB2312"/>
          <w:b/>
          <w:bCs/>
          <w:szCs w:val="21"/>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规定的开放日内办理赎回。在</w:t>
      </w:r>
      <w:r>
        <w:rPr>
          <w:rFonts w:ascii="楷体_GB2312" w:hAnsi="宋体" w:eastAsia="楷体_GB2312"/>
          <w:b/>
          <w:bCs/>
          <w:szCs w:val="21"/>
        </w:rPr>
        <w:t>理财产品</w:t>
      </w:r>
      <w:r>
        <w:rPr>
          <w:rFonts w:hint="eastAsia" w:ascii="楷体_GB2312" w:hAnsi="宋体" w:eastAsia="楷体_GB2312"/>
          <w:b/>
          <w:bCs/>
          <w:szCs w:val="21"/>
        </w:rPr>
        <w:t>存续期内，若</w:t>
      </w:r>
      <w:r>
        <w:rPr>
          <w:rFonts w:ascii="楷体_GB2312" w:hAnsi="宋体" w:eastAsia="楷体_GB2312"/>
          <w:b/>
          <w:bCs/>
          <w:szCs w:val="21"/>
        </w:rPr>
        <w:t>理财产品</w:t>
      </w:r>
      <w:r>
        <w:rPr>
          <w:rFonts w:hint="eastAsia" w:ascii="楷体_GB2312" w:hAnsi="宋体" w:eastAsia="楷体_GB2312"/>
          <w:b/>
          <w:bCs/>
          <w:szCs w:val="21"/>
        </w:rPr>
        <w:t>任一开放日净赎回</w:t>
      </w:r>
      <w:r>
        <w:rPr>
          <w:rFonts w:hint="eastAsia" w:ascii="楷体_GB2312" w:hAnsi="宋体" w:eastAsia="楷体_GB2312"/>
          <w:b/>
          <w:bCs/>
          <w:szCs w:val="21"/>
          <w:lang w:val="en-US" w:eastAsia="zh-CN"/>
        </w:rPr>
        <w:t>申请份</w:t>
      </w:r>
      <w:r>
        <w:rPr>
          <w:rFonts w:hint="eastAsia" w:ascii="楷体_GB2312" w:hAnsi="宋体" w:eastAsia="楷体_GB2312"/>
          <w:b/>
          <w:bCs/>
          <w:szCs w:val="21"/>
        </w:rPr>
        <w:t>额（赎回申请份额总数扣除申购申请份额总数）超过本</w:t>
      </w:r>
      <w:r>
        <w:rPr>
          <w:rFonts w:ascii="楷体_GB2312" w:hAnsi="宋体" w:eastAsia="楷体_GB2312"/>
          <w:b/>
          <w:bCs/>
          <w:szCs w:val="21"/>
        </w:rPr>
        <w:t>理财产品</w:t>
      </w:r>
      <w:r>
        <w:rPr>
          <w:rFonts w:hint="eastAsia" w:ascii="楷体_GB2312" w:hAnsi="宋体" w:eastAsia="楷体_GB2312"/>
          <w:b/>
          <w:bCs/>
          <w:szCs w:val="21"/>
        </w:rPr>
        <w:t>上一</w:t>
      </w:r>
      <w:r>
        <w:rPr>
          <w:rFonts w:hint="eastAsia" w:ascii="楷体_GB2312" w:hAnsi="宋体" w:eastAsia="楷体_GB2312"/>
          <w:b/>
          <w:bCs/>
          <w:szCs w:val="21"/>
          <w:lang w:val="en-US" w:eastAsia="zh-CN"/>
        </w:rPr>
        <w:t>交易日</w:t>
      </w:r>
      <w:r>
        <w:rPr>
          <w:rFonts w:hint="eastAsia" w:ascii="楷体_GB2312" w:hAnsi="宋体" w:eastAsia="楷体_GB2312"/>
          <w:b/>
          <w:bCs/>
          <w:szCs w:val="21"/>
        </w:rPr>
        <w:t>日终份额的</w:t>
      </w:r>
      <w:r>
        <w:rPr>
          <w:rFonts w:ascii="楷体_GB2312" w:hAnsi="宋体" w:eastAsia="楷体_GB2312"/>
          <w:b/>
          <w:bCs/>
          <w:color w:val="C00000"/>
          <w:szCs w:val="21"/>
          <w:u w:val="single"/>
        </w:rPr>
        <w:t>10%</w:t>
      </w:r>
      <w:r>
        <w:rPr>
          <w:rFonts w:hint="eastAsia" w:ascii="楷体_GB2312" w:hAnsi="宋体" w:eastAsia="楷体_GB2312"/>
          <w:b/>
          <w:bCs/>
          <w:szCs w:val="21"/>
        </w:rPr>
        <w:t>时，即为发生巨额赎回。出现巨额赎回时，管理人有权依照</w:t>
      </w:r>
      <w:r>
        <w:rPr>
          <w:rFonts w:ascii="楷体_GB2312" w:hAnsi="宋体" w:eastAsia="楷体_GB2312"/>
          <w:b/>
          <w:bCs/>
          <w:szCs w:val="21"/>
        </w:rPr>
        <w:t>理财产品</w:t>
      </w:r>
      <w:r>
        <w:rPr>
          <w:rFonts w:hint="eastAsia" w:ascii="楷体_GB2312" w:hAnsi="宋体" w:eastAsia="楷体_GB2312"/>
          <w:b/>
          <w:bCs/>
          <w:szCs w:val="21"/>
        </w:rPr>
        <w:t>当时的资产组合状况选择全额赎回、部分赎回或延缓支付，由此可能影响投资者的资金流动性安排，带来流动性风险。</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（九）提前终止风险：管理人有权但无义务在</w:t>
      </w:r>
      <w:r>
        <w:rPr>
          <w:rFonts w:ascii="楷体_GB2312" w:hAnsi="宋体" w:eastAsia="楷体_GB2312"/>
          <w:b/>
          <w:bCs/>
          <w:szCs w:val="21"/>
        </w:rPr>
        <w:t>理财产品</w:t>
      </w:r>
      <w:r>
        <w:rPr>
          <w:rFonts w:hint="eastAsia" w:ascii="楷体_GB2312" w:hAnsi="宋体" w:eastAsia="楷体_GB2312"/>
          <w:b/>
          <w:bCs/>
          <w:szCs w:val="21"/>
        </w:rPr>
        <w:t>到期日之前终止本</w:t>
      </w:r>
      <w:r>
        <w:rPr>
          <w:rFonts w:ascii="楷体_GB2312" w:hAnsi="宋体" w:eastAsia="楷体_GB2312"/>
          <w:b/>
          <w:bCs/>
          <w:szCs w:val="21"/>
        </w:rPr>
        <w:t>理财产品</w:t>
      </w:r>
      <w:r>
        <w:rPr>
          <w:rFonts w:hint="eastAsia" w:ascii="楷体_GB2312" w:hAnsi="宋体" w:eastAsia="楷体_GB2312"/>
          <w:b/>
          <w:bCs/>
          <w:szCs w:val="21"/>
        </w:rPr>
        <w:t>，如管理人在特定情况下在</w:t>
      </w:r>
      <w:r>
        <w:rPr>
          <w:rFonts w:ascii="楷体_GB2312" w:hAnsi="宋体" w:eastAsia="楷体_GB2312"/>
          <w:b/>
          <w:bCs/>
          <w:szCs w:val="21"/>
        </w:rPr>
        <w:t>理财产品</w:t>
      </w:r>
      <w:r>
        <w:rPr>
          <w:rFonts w:hint="eastAsia" w:ascii="楷体_GB2312" w:hAnsi="宋体" w:eastAsia="楷体_GB2312"/>
          <w:b/>
          <w:bCs/>
          <w:szCs w:val="21"/>
        </w:rPr>
        <w:t>预计到期日之前终止</w:t>
      </w:r>
      <w:r>
        <w:rPr>
          <w:rFonts w:ascii="楷体_GB2312" w:hAnsi="宋体" w:eastAsia="楷体_GB2312"/>
          <w:b/>
          <w:bCs/>
          <w:szCs w:val="21"/>
        </w:rPr>
        <w:t>理财产品</w:t>
      </w:r>
      <w:r>
        <w:rPr>
          <w:rFonts w:hint="eastAsia" w:ascii="楷体_GB2312" w:hAnsi="宋体" w:eastAsia="楷体_GB2312"/>
          <w:b/>
          <w:bCs/>
          <w:szCs w:val="21"/>
        </w:rPr>
        <w:t>，则该</w:t>
      </w:r>
      <w:r>
        <w:rPr>
          <w:rFonts w:ascii="楷体_GB2312" w:hAnsi="宋体" w:eastAsia="楷体_GB2312"/>
          <w:b/>
          <w:bCs/>
          <w:szCs w:val="21"/>
        </w:rPr>
        <w:t>理财产品</w:t>
      </w:r>
      <w:r>
        <w:rPr>
          <w:rFonts w:hint="eastAsia" w:ascii="楷体_GB2312" w:hAnsi="宋体" w:eastAsia="楷体_GB2312"/>
          <w:b/>
          <w:bCs/>
          <w:szCs w:val="21"/>
        </w:rPr>
        <w:t>的实际理财期可能短于预计存续期限。如果</w:t>
      </w:r>
      <w:r>
        <w:rPr>
          <w:rFonts w:ascii="楷体_GB2312" w:hAnsi="宋体" w:eastAsia="楷体_GB2312"/>
          <w:b/>
          <w:bCs/>
          <w:szCs w:val="21"/>
        </w:rPr>
        <w:t>理财产品</w:t>
      </w:r>
      <w:r>
        <w:rPr>
          <w:rFonts w:hint="eastAsia" w:ascii="楷体_GB2312" w:hAnsi="宋体" w:eastAsia="楷体_GB2312"/>
          <w:b/>
          <w:bCs/>
          <w:szCs w:val="21"/>
        </w:rPr>
        <w:t>提前到期，投资者将面临再投资机会风险。</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（十）信息传递风险：</w:t>
      </w:r>
      <w:r>
        <w:rPr>
          <w:rFonts w:hint="eastAsia" w:ascii="楷体_GB2312" w:hAnsi="宋体" w:eastAsia="楷体_GB2312"/>
          <w:b/>
          <w:bCs/>
          <w:szCs w:val="21"/>
          <w:u w:val="none"/>
        </w:rPr>
        <w:t>本理财</w:t>
      </w:r>
      <w:r>
        <w:rPr>
          <w:rFonts w:hint="eastAsia" w:ascii="楷体_GB2312" w:hAnsi="宋体" w:eastAsia="楷体_GB2312"/>
          <w:b/>
          <w:bCs/>
          <w:szCs w:val="21"/>
          <w:u w:val="none"/>
          <w:lang w:val="en-US" w:eastAsia="zh-CN"/>
        </w:rPr>
        <w:t>产品认购期和</w:t>
      </w:r>
      <w:r>
        <w:rPr>
          <w:rFonts w:hint="eastAsia" w:ascii="楷体_GB2312" w:hAnsi="宋体" w:eastAsia="楷体_GB2312"/>
          <w:b/>
          <w:bCs/>
          <w:szCs w:val="21"/>
          <w:u w:val="none"/>
        </w:rPr>
        <w:t>存续期间，</w:t>
      </w:r>
      <w:r>
        <w:rPr>
          <w:rFonts w:hint="eastAsia" w:ascii="楷体_GB2312" w:hAnsi="宋体" w:eastAsia="楷体_GB2312"/>
          <w:b/>
          <w:bCs/>
          <w:szCs w:val="21"/>
          <w:u w:val="none"/>
          <w:lang w:val="en-US" w:eastAsia="zh-CN"/>
        </w:rPr>
        <w:t>将通过产品管理人官方网站或</w:t>
      </w:r>
      <w:r>
        <w:rPr>
          <w:rFonts w:hint="eastAsia" w:ascii="楷体_GB2312" w:hAnsi="宋体" w:eastAsia="楷体_GB2312"/>
          <w:b/>
          <w:bCs/>
          <w:szCs w:val="21"/>
          <w:u w:val="none"/>
        </w:rPr>
        <w:t>销售机构的信息披露渠道（包括但不限于销售机构的营业网点、门户网站、电子销售渠道等）</w:t>
      </w:r>
      <w:r>
        <w:rPr>
          <w:rFonts w:hint="eastAsia" w:ascii="楷体_GB2312" w:hAnsi="宋体" w:eastAsia="楷体_GB2312"/>
          <w:b/>
          <w:bCs/>
          <w:szCs w:val="21"/>
          <w:u w:val="none"/>
          <w:lang w:val="en-US" w:eastAsia="zh-CN"/>
        </w:rPr>
        <w:t>进行</w:t>
      </w:r>
      <w:r>
        <w:rPr>
          <w:rFonts w:hint="eastAsia" w:ascii="楷体_GB2312" w:hAnsi="宋体" w:eastAsia="楷体_GB2312"/>
          <w:b/>
          <w:bCs/>
          <w:szCs w:val="21"/>
          <w:u w:val="none"/>
        </w:rPr>
        <w:t>本理财</w:t>
      </w:r>
      <w:r>
        <w:rPr>
          <w:rFonts w:hint="eastAsia" w:ascii="楷体_GB2312" w:hAnsi="宋体" w:eastAsia="楷体_GB2312"/>
          <w:b/>
          <w:bCs/>
          <w:szCs w:val="21"/>
          <w:u w:val="none"/>
          <w:lang w:val="en-US" w:eastAsia="zh-CN"/>
        </w:rPr>
        <w:t>产品</w:t>
      </w:r>
      <w:r>
        <w:rPr>
          <w:rFonts w:hint="eastAsia" w:ascii="楷体_GB2312" w:hAnsi="宋体" w:eastAsia="楷体_GB2312"/>
          <w:b/>
          <w:bCs/>
          <w:szCs w:val="21"/>
          <w:u w:val="none"/>
        </w:rPr>
        <w:t>的信息披露。</w:t>
      </w:r>
      <w:r>
        <w:rPr>
          <w:rFonts w:ascii="楷体_GB2312" w:hAnsi="宋体" w:eastAsia="楷体_GB2312"/>
          <w:b/>
          <w:bCs/>
          <w:szCs w:val="21"/>
          <w:u w:val="none"/>
        </w:rPr>
        <w:t>投资者应定期通过</w:t>
      </w:r>
      <w:r>
        <w:rPr>
          <w:rFonts w:hint="eastAsia" w:ascii="楷体_GB2312" w:hAnsi="宋体" w:eastAsia="楷体_GB2312"/>
          <w:b/>
          <w:bCs/>
          <w:szCs w:val="21"/>
          <w:u w:val="none"/>
        </w:rPr>
        <w:t>约定的</w:t>
      </w:r>
      <w:r>
        <w:rPr>
          <w:rFonts w:ascii="楷体_GB2312" w:hAnsi="宋体" w:eastAsia="楷体_GB2312"/>
          <w:b/>
          <w:bCs/>
          <w:szCs w:val="21"/>
          <w:u w:val="none"/>
        </w:rPr>
        <w:t>相关渠道获知有关本理财产品相关信息。</w:t>
      </w:r>
      <w:r>
        <w:rPr>
          <w:rFonts w:hint="eastAsia" w:ascii="楷体_GB2312" w:hAnsi="宋体" w:eastAsia="楷体_GB2312"/>
          <w:b/>
          <w:bCs/>
          <w:szCs w:val="21"/>
          <w:u w:val="none"/>
        </w:rPr>
        <w:t>若因客户未及时通过前述方式查询相关信息，或由于通讯故障、系统故障、</w:t>
      </w:r>
      <w:r>
        <w:rPr>
          <w:rFonts w:ascii="楷体_GB2312" w:hAnsi="宋体" w:eastAsia="楷体_GB2312"/>
          <w:b/>
          <w:bCs/>
          <w:szCs w:val="21"/>
          <w:u w:val="none"/>
        </w:rPr>
        <w:t>重大疫情</w:t>
      </w:r>
      <w:r>
        <w:rPr>
          <w:rFonts w:hint="eastAsia" w:ascii="楷体_GB2312" w:hAnsi="宋体" w:eastAsia="楷体_GB2312"/>
          <w:b/>
          <w:bCs/>
          <w:szCs w:val="21"/>
          <w:u w:val="none"/>
        </w:rPr>
        <w:t>或其他不可抗力等因素的影响，使得客户无法及时了解产品信息，不能及时了解理财产品的盈亏状况，并可能将丧失提前退出及再投资的机会，由此导致的风险和责任由客户自行承担。另外，客户预留在</w:t>
      </w:r>
      <w:r>
        <w:rPr>
          <w:rFonts w:hint="eastAsia" w:ascii="楷体_GB2312" w:hAnsi="宋体" w:eastAsia="楷体_GB2312"/>
          <w:b/>
          <w:bCs/>
          <w:szCs w:val="21"/>
        </w:rPr>
        <w:t>管理人的有效联系方式发生变更的，应及时通知管理人，如客户未及时告知管理人联系方式变更的，管理人将可能在需要时无法与</w:t>
      </w:r>
      <w:r>
        <w:rPr>
          <w:rFonts w:ascii="楷体_GB2312" w:hAnsi="宋体" w:eastAsia="楷体_GB2312"/>
          <w:b/>
          <w:bCs/>
          <w:szCs w:val="21"/>
        </w:rPr>
        <w:t>客户</w:t>
      </w:r>
      <w:r>
        <w:rPr>
          <w:rFonts w:hint="eastAsia" w:ascii="楷体_GB2312" w:hAnsi="宋体" w:eastAsia="楷体_GB2312"/>
          <w:b/>
          <w:bCs/>
          <w:szCs w:val="21"/>
        </w:rPr>
        <w:t>及时取得联系，并可能会由此影响客户的投资决策，由此产生的责任和风险由客户自行承担。</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（十一）不可抗力及意外事件风险:由于不可抗力及/或国家政策变化、IT 系统故障、通讯系统故障、电力系统故障、金融危机、投资市场停止交易、重大疫情等非管理人所能控制的原因，可能对理财产品的产品成立、投资运作、资金返还、信息披露、公告通知造成影响，可能导致产品收益降低乃至本金遭受损失。对于由不可抗力及意外事件风险导致的损失，投资者须自行承担，管理人对此不承担责任。</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（十二）税收风险：</w:t>
      </w:r>
      <w:r>
        <w:rPr>
          <w:rFonts w:ascii="楷体_GB2312" w:hAnsi="宋体" w:eastAsia="楷体_GB2312"/>
          <w:b/>
          <w:bCs/>
          <w:szCs w:val="21"/>
        </w:rPr>
        <w:t>理财产品</w:t>
      </w:r>
      <w:r>
        <w:rPr>
          <w:rFonts w:hint="eastAsia" w:ascii="楷体_GB2312" w:hAnsi="宋体" w:eastAsia="楷体_GB2312"/>
          <w:b/>
          <w:bCs/>
          <w:szCs w:val="21"/>
        </w:rPr>
        <w:t>在资产管理、运营、处置过程中产生的收入，根据国家相关法律法规应缴纳增值税（含增值税附加税费，下同）及</w:t>
      </w:r>
      <w:r>
        <w:rPr>
          <w:rFonts w:ascii="楷体_GB2312" w:hAnsi="宋体" w:eastAsia="楷体_GB2312"/>
          <w:b/>
          <w:bCs/>
          <w:szCs w:val="21"/>
        </w:rPr>
        <w:t>/</w:t>
      </w:r>
      <w:r>
        <w:rPr>
          <w:rFonts w:hint="eastAsia" w:ascii="楷体_GB2312" w:hAnsi="宋体" w:eastAsia="楷体_GB2312"/>
          <w:b/>
          <w:bCs/>
          <w:szCs w:val="21"/>
        </w:rPr>
        <w:t>或其他税费的，即使本产品管理人被税务机关认定为纳税义务人，该等增值税及</w:t>
      </w:r>
      <w:r>
        <w:rPr>
          <w:rFonts w:ascii="楷体_GB2312" w:hAnsi="宋体" w:eastAsia="楷体_GB2312"/>
          <w:b/>
          <w:bCs/>
          <w:szCs w:val="21"/>
        </w:rPr>
        <w:t>/</w:t>
      </w:r>
      <w:r>
        <w:rPr>
          <w:rFonts w:hint="eastAsia" w:ascii="楷体_GB2312" w:hAnsi="宋体" w:eastAsia="楷体_GB2312"/>
          <w:b/>
          <w:bCs/>
          <w:szCs w:val="21"/>
        </w:rPr>
        <w:t>或其他税费仍属于应由</w:t>
      </w:r>
      <w:r>
        <w:rPr>
          <w:rFonts w:ascii="楷体_GB2312" w:hAnsi="宋体" w:eastAsia="楷体_GB2312"/>
          <w:b/>
          <w:bCs/>
          <w:szCs w:val="21"/>
        </w:rPr>
        <w:t>理财产品</w:t>
      </w:r>
      <w:r>
        <w:rPr>
          <w:rFonts w:hint="eastAsia" w:ascii="楷体_GB2312" w:hAnsi="宋体" w:eastAsia="楷体_GB2312"/>
          <w:b/>
          <w:bCs/>
          <w:szCs w:val="21"/>
        </w:rPr>
        <w:t>承担的</w:t>
      </w:r>
      <w:r>
        <w:rPr>
          <w:rFonts w:ascii="楷体_GB2312" w:hAnsi="宋体" w:eastAsia="楷体_GB2312"/>
          <w:b/>
          <w:bCs/>
          <w:szCs w:val="21"/>
        </w:rPr>
        <w:t>理财产品</w:t>
      </w:r>
      <w:r>
        <w:rPr>
          <w:rFonts w:hint="eastAsia" w:ascii="楷体_GB2312" w:hAnsi="宋体" w:eastAsia="楷体_GB2312"/>
          <w:b/>
          <w:bCs/>
          <w:szCs w:val="21"/>
        </w:rPr>
        <w:t>税费，由本产品管理人申报和缴纳。该等税款将直接从</w:t>
      </w:r>
      <w:r>
        <w:rPr>
          <w:rFonts w:ascii="楷体_GB2312" w:hAnsi="宋体" w:eastAsia="楷体_GB2312"/>
          <w:b/>
          <w:bCs/>
          <w:szCs w:val="21"/>
        </w:rPr>
        <w:t>理财产品</w:t>
      </w:r>
      <w:r>
        <w:rPr>
          <w:rFonts w:hint="eastAsia" w:ascii="楷体_GB2312" w:hAnsi="宋体" w:eastAsia="楷体_GB2312"/>
          <w:b/>
          <w:bCs/>
          <w:szCs w:val="21"/>
        </w:rPr>
        <w:t>中扣付缴纳，本</w:t>
      </w:r>
      <w:r>
        <w:rPr>
          <w:rFonts w:ascii="楷体_GB2312" w:hAnsi="宋体" w:eastAsia="楷体_GB2312"/>
          <w:b/>
          <w:bCs/>
          <w:szCs w:val="21"/>
        </w:rPr>
        <w:t>理财产品</w:t>
      </w:r>
      <w:r>
        <w:rPr>
          <w:rFonts w:hint="eastAsia" w:ascii="楷体_GB2312" w:hAnsi="宋体" w:eastAsia="楷体_GB2312"/>
          <w:b/>
          <w:bCs/>
          <w:szCs w:val="21"/>
        </w:rPr>
        <w:t>将因为前述增值税等税负承担导致计划税费支出增加、</w:t>
      </w:r>
      <w:r>
        <w:rPr>
          <w:rFonts w:ascii="楷体_GB2312" w:hAnsi="宋体" w:eastAsia="楷体_GB2312"/>
          <w:b/>
          <w:bCs/>
          <w:szCs w:val="21"/>
        </w:rPr>
        <w:t>理财产品</w:t>
      </w:r>
      <w:r>
        <w:rPr>
          <w:rFonts w:hint="eastAsia" w:ascii="楷体_GB2312" w:hAnsi="宋体" w:eastAsia="楷体_GB2312"/>
          <w:b/>
          <w:bCs/>
          <w:szCs w:val="21"/>
          <w:lang w:val="en-US" w:eastAsia="zh-CN"/>
        </w:rPr>
        <w:t>资产</w:t>
      </w:r>
      <w:r>
        <w:rPr>
          <w:rFonts w:hint="eastAsia" w:ascii="楷体_GB2312" w:hAnsi="宋体" w:eastAsia="楷体_GB2312"/>
          <w:b/>
          <w:bCs/>
          <w:szCs w:val="21"/>
        </w:rPr>
        <w:t>净值或实际收益降低，从而降低产品投资人的收益水平。</w:t>
      </w:r>
    </w:p>
    <w:p>
      <w:pPr>
        <w:snapToGrid w:val="0"/>
        <w:spacing w:line="360" w:lineRule="auto"/>
        <w:ind w:firstLine="422" w:firstLineChars="200"/>
        <w:rPr>
          <w:rFonts w:hint="eastAsia" w:ascii="楷体_GB2312" w:hAnsi="宋体" w:eastAsia="楷体_GB2312"/>
          <w:b/>
          <w:bCs/>
          <w:szCs w:val="21"/>
        </w:rPr>
      </w:pPr>
      <w:r>
        <w:rPr>
          <w:rFonts w:hint="eastAsia" w:ascii="楷体_GB2312" w:hAnsi="宋体" w:eastAsia="楷体_GB2312"/>
          <w:b/>
          <w:bCs/>
          <w:szCs w:val="21"/>
        </w:rPr>
        <w:t>（十三）估值风险：本理财产品按《产品说明书》的估值方法进行估值，理财产品估值与实际变现价值可能发生偏离，投资者应知晓该风险。管理人估值仅作为参考，管理人不承担第三方再次使用该估值引发的其他风险。</w:t>
      </w:r>
    </w:p>
    <w:p>
      <w:pPr>
        <w:snapToGrid w:val="0"/>
        <w:spacing w:line="360" w:lineRule="auto"/>
        <w:ind w:firstLine="422" w:firstLineChars="200"/>
        <w:rPr>
          <w:rFonts w:hint="eastAsia" w:ascii="楷体_GB2312" w:hAnsi="宋体" w:eastAsia="楷体_GB2312" w:cstheme="minorBidi"/>
          <w:b/>
          <w:bCs/>
          <w:sz w:val="21"/>
          <w:szCs w:val="21"/>
          <w:highlight w:val="none"/>
          <w:u w:val="none"/>
        </w:rPr>
      </w:pPr>
      <w:r>
        <w:rPr>
          <w:rFonts w:hint="eastAsia" w:ascii="楷体_GB2312" w:hAnsi="宋体" w:eastAsia="楷体_GB2312"/>
          <w:b/>
          <w:bCs/>
          <w:szCs w:val="21"/>
          <w:highlight w:val="none"/>
          <w:u w:val="none"/>
        </w:rPr>
        <w:t>（十</w:t>
      </w:r>
      <w:r>
        <w:rPr>
          <w:rFonts w:hint="eastAsia" w:ascii="楷体_GB2312" w:hAnsi="宋体" w:eastAsia="楷体_GB2312"/>
          <w:b/>
          <w:bCs/>
          <w:szCs w:val="21"/>
          <w:highlight w:val="none"/>
          <w:u w:val="none"/>
          <w:lang w:val="en-US" w:eastAsia="zh-CN"/>
        </w:rPr>
        <w:t>四</w:t>
      </w:r>
      <w:r>
        <w:rPr>
          <w:rFonts w:hint="eastAsia" w:ascii="楷体_GB2312" w:hAnsi="宋体" w:eastAsia="楷体_GB2312"/>
          <w:b/>
          <w:bCs/>
          <w:szCs w:val="21"/>
          <w:highlight w:val="none"/>
          <w:u w:val="none"/>
        </w:rPr>
        <w:t>）</w:t>
      </w:r>
      <w:r>
        <w:rPr>
          <w:rFonts w:hint="eastAsia" w:ascii="楷体_GB2312" w:hAnsi="宋体" w:eastAsia="楷体_GB2312"/>
          <w:b/>
          <w:bCs/>
          <w:szCs w:val="21"/>
          <w:highlight w:val="none"/>
          <w:u w:val="none"/>
          <w:lang w:val="en-US" w:eastAsia="zh-CN"/>
        </w:rPr>
        <w:t>代销</w:t>
      </w:r>
      <w:r>
        <w:rPr>
          <w:rFonts w:hint="eastAsia" w:ascii="楷体_GB2312" w:hAnsi="宋体" w:eastAsia="楷体_GB2312"/>
          <w:b/>
          <w:bCs/>
          <w:szCs w:val="21"/>
          <w:highlight w:val="none"/>
          <w:u w:val="none"/>
        </w:rPr>
        <w:t>风险</w:t>
      </w:r>
      <w:r>
        <w:rPr>
          <w:rFonts w:hint="eastAsia" w:ascii="楷体_GB2312" w:hAnsi="宋体" w:eastAsia="楷体_GB2312"/>
          <w:b/>
          <w:bCs/>
          <w:szCs w:val="21"/>
          <w:highlight w:val="none"/>
          <w:u w:val="none"/>
          <w:lang w:eastAsia="zh-CN"/>
        </w:rPr>
        <w:t>：</w:t>
      </w:r>
      <w:r>
        <w:rPr>
          <w:rFonts w:hint="eastAsia" w:ascii="楷体_GB2312" w:hAnsi="宋体" w:eastAsia="楷体_GB2312" w:cstheme="minorBidi"/>
          <w:b/>
          <w:bCs/>
          <w:sz w:val="21"/>
          <w:szCs w:val="21"/>
          <w:highlight w:val="none"/>
          <w:u w:val="none"/>
        </w:rPr>
        <w:t>本理财产品若通过非产品管理人自有渠道进行销售的属于代理销售，认购/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 决，但前述约定不免除因代理销售机构过错依法应由代理销售机构承担的责任。</w:t>
      </w:r>
    </w:p>
    <w:p>
      <w:pPr>
        <w:snapToGrid w:val="0"/>
        <w:spacing w:line="360" w:lineRule="auto"/>
        <w:ind w:firstLine="422" w:firstLineChars="200"/>
        <w:rPr>
          <w:rFonts w:hint="eastAsia" w:ascii="楷体_GB2312" w:hAnsi="宋体" w:eastAsia="楷体_GB2312"/>
          <w:b/>
          <w:bCs/>
          <w:szCs w:val="21"/>
          <w:highlight w:val="none"/>
          <w:u w:val="none"/>
          <w:lang w:val="en-US" w:eastAsia="zh-CN"/>
        </w:rPr>
      </w:pPr>
      <w:r>
        <w:rPr>
          <w:rFonts w:hint="eastAsia" w:ascii="楷体_GB2312" w:hAnsi="宋体" w:eastAsia="楷体_GB2312"/>
          <w:b/>
          <w:bCs/>
          <w:szCs w:val="21"/>
          <w:highlight w:val="none"/>
          <w:u w:val="none"/>
        </w:rPr>
        <w:t>（十</w:t>
      </w:r>
      <w:r>
        <w:rPr>
          <w:rFonts w:hint="eastAsia" w:ascii="楷体_GB2312" w:hAnsi="宋体" w:eastAsia="楷体_GB2312"/>
          <w:b/>
          <w:bCs/>
          <w:szCs w:val="21"/>
          <w:highlight w:val="none"/>
          <w:u w:val="none"/>
          <w:lang w:val="en-US" w:eastAsia="zh-CN"/>
        </w:rPr>
        <w:t>五</w:t>
      </w:r>
      <w:r>
        <w:rPr>
          <w:rFonts w:hint="eastAsia" w:ascii="楷体_GB2312" w:hAnsi="宋体" w:eastAsia="楷体_GB2312"/>
          <w:b/>
          <w:bCs/>
          <w:szCs w:val="21"/>
          <w:highlight w:val="none"/>
          <w:u w:val="none"/>
        </w:rPr>
        <w:t>）</w:t>
      </w:r>
      <w:r>
        <w:rPr>
          <w:rFonts w:hint="eastAsia" w:ascii="楷体_GB2312" w:eastAsia="楷体_GB2312"/>
          <w:b/>
          <w:bCs/>
          <w:color w:val="auto"/>
          <w:szCs w:val="21"/>
          <w:highlight w:val="none"/>
          <w:u w:val="none"/>
          <w:lang w:val="en-US" w:eastAsia="zh-CN"/>
        </w:rPr>
        <w:t>不同理财产品份额类别存在差异的风险：</w:t>
      </w:r>
      <w:r>
        <w:rPr>
          <w:rFonts w:hint="eastAsia" w:ascii="楷体_GB2312" w:hAnsi="宋体" w:eastAsia="楷体_GB2312" w:cstheme="minorBidi"/>
          <w:b/>
          <w:bCs/>
          <w:sz w:val="21"/>
          <w:szCs w:val="21"/>
          <w:highlight w:val="none"/>
          <w:u w:val="none"/>
        </w:rPr>
        <w:t>理财产品管理人可根据投资者购买理财产品的金额、</w:t>
      </w:r>
      <w:r>
        <w:rPr>
          <w:rFonts w:hint="eastAsia" w:ascii="楷体_GB2312" w:hAnsi="宋体" w:eastAsia="楷体_GB2312" w:cstheme="minorBidi"/>
          <w:b/>
          <w:bCs/>
          <w:sz w:val="21"/>
          <w:szCs w:val="21"/>
          <w:highlight w:val="none"/>
          <w:u w:val="none"/>
          <w:lang w:val="en-US" w:eastAsia="zh-CN"/>
        </w:rPr>
        <w:t>投资者类型、</w:t>
      </w:r>
      <w:r>
        <w:rPr>
          <w:rFonts w:hint="eastAsia" w:ascii="楷体_GB2312" w:hAnsi="宋体" w:eastAsia="楷体_GB2312" w:cstheme="minorBidi"/>
          <w:b/>
          <w:bCs/>
          <w:sz w:val="21"/>
          <w:szCs w:val="21"/>
          <w:highlight w:val="none"/>
          <w:u w:val="none"/>
        </w:rPr>
        <w:t>销售渠道等因素，对理财投资者所持有的理财产品设置不同理财产品份额类别。不同类别的理财产品份额</w:t>
      </w:r>
      <w:r>
        <w:rPr>
          <w:rFonts w:hint="eastAsia" w:ascii="楷体_GB2312" w:hAnsi="宋体" w:eastAsia="楷体_GB2312" w:cstheme="minorBidi"/>
          <w:b/>
          <w:bCs/>
          <w:sz w:val="21"/>
          <w:szCs w:val="21"/>
          <w:highlight w:val="none"/>
          <w:u w:val="none"/>
          <w:lang w:val="en-US" w:eastAsia="zh-CN"/>
        </w:rPr>
        <w:t>可能</w:t>
      </w:r>
      <w:r>
        <w:rPr>
          <w:rFonts w:hint="eastAsia" w:ascii="楷体_GB2312" w:hAnsi="宋体" w:eastAsia="楷体_GB2312" w:cstheme="minorBidi"/>
          <w:b/>
          <w:bCs/>
          <w:sz w:val="21"/>
          <w:szCs w:val="21"/>
          <w:highlight w:val="none"/>
          <w:u w:val="none"/>
        </w:rPr>
        <w:t>在</w:t>
      </w:r>
      <w:r>
        <w:rPr>
          <w:rFonts w:hint="eastAsia" w:ascii="楷体_GB2312" w:hAnsi="宋体" w:eastAsia="楷体_GB2312" w:cstheme="minorBidi"/>
          <w:b/>
          <w:bCs/>
          <w:sz w:val="21"/>
          <w:szCs w:val="21"/>
          <w:highlight w:val="none"/>
          <w:u w:val="none"/>
          <w:lang w:val="en-US" w:eastAsia="zh-CN"/>
        </w:rPr>
        <w:t>产品</w:t>
      </w:r>
      <w:r>
        <w:rPr>
          <w:rFonts w:hint="eastAsia" w:ascii="楷体_GB2312" w:hAnsi="宋体" w:eastAsia="楷体_GB2312" w:cstheme="minorBidi"/>
          <w:b/>
          <w:bCs/>
          <w:sz w:val="21"/>
          <w:szCs w:val="21"/>
          <w:highlight w:val="none"/>
          <w:u w:val="none"/>
        </w:rPr>
        <w:t>销售名称、销售代码、销售</w:t>
      </w:r>
      <w:r>
        <w:rPr>
          <w:rFonts w:hint="eastAsia" w:ascii="楷体_GB2312" w:hAnsi="宋体" w:eastAsia="楷体_GB2312" w:cstheme="minorBidi"/>
          <w:b/>
          <w:bCs/>
          <w:sz w:val="21"/>
          <w:szCs w:val="21"/>
          <w:highlight w:val="none"/>
          <w:u w:val="none"/>
          <w:lang w:val="en-US" w:eastAsia="zh-CN"/>
        </w:rPr>
        <w:t>机构</w:t>
      </w:r>
      <w:r>
        <w:rPr>
          <w:rFonts w:hint="eastAsia" w:ascii="楷体_GB2312" w:hAnsi="宋体" w:eastAsia="楷体_GB2312" w:cstheme="minorBidi"/>
          <w:b/>
          <w:bCs/>
          <w:sz w:val="21"/>
          <w:szCs w:val="21"/>
          <w:highlight w:val="none"/>
          <w:u w:val="none"/>
        </w:rPr>
        <w:t>、</w:t>
      </w:r>
      <w:r>
        <w:rPr>
          <w:rFonts w:hint="eastAsia" w:ascii="楷体_GB2312" w:hAnsi="宋体" w:eastAsia="楷体_GB2312" w:cstheme="minorBidi"/>
          <w:b/>
          <w:bCs/>
          <w:sz w:val="21"/>
          <w:szCs w:val="21"/>
          <w:highlight w:val="none"/>
          <w:u w:val="none"/>
          <w:lang w:val="en-US" w:eastAsia="zh-CN"/>
        </w:rPr>
        <w:t>发售对象、费率设置等</w:t>
      </w:r>
      <w:r>
        <w:rPr>
          <w:rFonts w:hint="eastAsia" w:ascii="楷体_GB2312" w:hAnsi="宋体" w:eastAsia="楷体_GB2312" w:cstheme="minorBidi"/>
          <w:b/>
          <w:bCs/>
          <w:sz w:val="21"/>
          <w:szCs w:val="21"/>
          <w:highlight w:val="none"/>
          <w:u w:val="none"/>
        </w:rPr>
        <w:t>方面存在差异。</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（十</w:t>
      </w:r>
      <w:r>
        <w:rPr>
          <w:rFonts w:hint="eastAsia" w:ascii="楷体_GB2312" w:hAnsi="宋体" w:eastAsia="楷体_GB2312"/>
          <w:b/>
          <w:bCs/>
          <w:szCs w:val="21"/>
          <w:lang w:val="en-US" w:eastAsia="zh-CN"/>
        </w:rPr>
        <w:t>六</w:t>
      </w:r>
      <w:r>
        <w:rPr>
          <w:rFonts w:hint="eastAsia" w:ascii="楷体_GB2312" w:hAnsi="宋体" w:eastAsia="楷体_GB2312"/>
          <w:b/>
          <w:bCs/>
          <w:szCs w:val="21"/>
        </w:rPr>
        <w:t>）《产品说明书》修改风险：如出于维持产品正常运营的需要且在不实质损害投资者利益的前提下，或因国家法律法规、监管规定发生变化，管理人有权在法律法规、监管规定允许的范围内对《产品说明书》进行修订。管理人决定对《产品说明书》进行修订的，</w:t>
      </w:r>
      <w:bookmarkStart w:id="0" w:name="_Hlk99539335"/>
      <w:r>
        <w:rPr>
          <w:rFonts w:hint="eastAsia" w:ascii="楷体_GB2312" w:hAnsi="宋体" w:eastAsia="楷体_GB2312"/>
          <w:b/>
          <w:bCs/>
          <w:szCs w:val="21"/>
        </w:rPr>
        <w:t>将提前</w:t>
      </w:r>
      <w:r>
        <w:rPr>
          <w:rFonts w:hint="eastAsia" w:ascii="楷体_GB2312" w:hAnsi="宋体" w:eastAsia="楷体_GB2312"/>
          <w:b/>
          <w:bCs/>
          <w:szCs w:val="21"/>
          <w:lang w:val="en-US" w:eastAsia="zh-CN"/>
        </w:rPr>
        <w:t>2</w:t>
      </w:r>
      <w:r>
        <w:rPr>
          <w:rFonts w:hint="eastAsia" w:ascii="楷体_GB2312" w:hAnsi="宋体" w:eastAsia="楷体_GB2312"/>
          <w:b/>
          <w:bCs/>
          <w:szCs w:val="21"/>
        </w:rPr>
        <w:t>个工作日根据</w:t>
      </w:r>
      <w:r>
        <w:rPr>
          <w:rFonts w:hint="eastAsia" w:ascii="楷体_GB2312" w:hAnsi="宋体" w:eastAsia="楷体_GB2312"/>
          <w:b/>
          <w:bCs/>
          <w:szCs w:val="21"/>
          <w:lang w:eastAsia="zh-CN"/>
        </w:rPr>
        <w:t>《</w:t>
      </w:r>
      <w:r>
        <w:rPr>
          <w:rFonts w:hint="eastAsia" w:ascii="楷体_GB2312" w:hAnsi="宋体" w:eastAsia="楷体_GB2312"/>
          <w:b/>
          <w:bCs/>
          <w:szCs w:val="21"/>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“信息披露”</w:t>
      </w:r>
      <w:r>
        <w:rPr>
          <w:rFonts w:ascii="楷体_GB2312" w:hAnsi="宋体" w:eastAsia="楷体_GB2312"/>
          <w:b/>
          <w:bCs/>
          <w:szCs w:val="21"/>
        </w:rPr>
        <w:t>约定的信息披露方式进行公告</w:t>
      </w:r>
      <w:r>
        <w:rPr>
          <w:rFonts w:hint="eastAsia" w:ascii="楷体_GB2312" w:hAnsi="宋体" w:eastAsia="楷体_GB2312"/>
          <w:b/>
          <w:bCs/>
          <w:szCs w:val="21"/>
        </w:rPr>
        <w:t>。</w:t>
      </w:r>
      <w:bookmarkEnd w:id="0"/>
      <w:r>
        <w:rPr>
          <w:rFonts w:hint="eastAsia" w:ascii="楷体_GB2312" w:hAnsi="宋体" w:eastAsia="楷体_GB2312"/>
          <w:b/>
          <w:bCs/>
          <w:szCs w:val="21"/>
        </w:rPr>
        <w:t>其中，对于投资者利益产生实质影响的事项（如对投资范围、投资品种、投资比例进行调整等），客户如对补充或修改后的</w:t>
      </w:r>
      <w:r>
        <w:rPr>
          <w:rFonts w:hint="eastAsia" w:ascii="楷体_GB2312" w:hAnsi="宋体" w:eastAsia="楷体_GB2312"/>
          <w:b/>
          <w:bCs/>
          <w:szCs w:val="21"/>
          <w:lang w:eastAsia="zh-CN"/>
        </w:rPr>
        <w:t>《</w:t>
      </w:r>
      <w:r>
        <w:rPr>
          <w:rFonts w:hint="eastAsia" w:ascii="楷体_GB2312" w:hAnsi="宋体" w:eastAsia="楷体_GB2312"/>
          <w:b/>
          <w:bCs/>
          <w:szCs w:val="21"/>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有</w:t>
      </w:r>
      <w:r>
        <w:rPr>
          <w:rFonts w:ascii="楷体_GB2312" w:hAnsi="宋体" w:eastAsia="楷体_GB2312"/>
          <w:b/>
          <w:bCs/>
          <w:szCs w:val="21"/>
        </w:rPr>
        <w:t>异议</w:t>
      </w:r>
      <w:r>
        <w:rPr>
          <w:rFonts w:hint="eastAsia" w:ascii="楷体_GB2312" w:hAnsi="宋体" w:eastAsia="楷体_GB2312"/>
          <w:b/>
          <w:bCs/>
          <w:szCs w:val="21"/>
        </w:rPr>
        <w:t>，可在公告</w:t>
      </w:r>
      <w:r>
        <w:rPr>
          <w:rFonts w:ascii="楷体_GB2312" w:hAnsi="宋体" w:eastAsia="楷体_GB2312"/>
          <w:b/>
          <w:bCs/>
          <w:szCs w:val="21"/>
        </w:rPr>
        <w:t>相</w:t>
      </w:r>
      <w:r>
        <w:rPr>
          <w:rFonts w:hint="eastAsia" w:ascii="楷体_GB2312" w:hAnsi="宋体" w:eastAsia="楷体_GB2312"/>
          <w:b/>
          <w:bCs/>
          <w:szCs w:val="21"/>
        </w:rPr>
        <w:t>应内容</w:t>
      </w:r>
      <w:r>
        <w:rPr>
          <w:rFonts w:ascii="楷体_GB2312" w:hAnsi="宋体" w:eastAsia="楷体_GB2312"/>
          <w:b/>
          <w:bCs/>
          <w:szCs w:val="21"/>
        </w:rPr>
        <w:t>的</w:t>
      </w:r>
      <w:r>
        <w:rPr>
          <w:rFonts w:hint="eastAsia" w:ascii="楷体_GB2312" w:hAnsi="宋体" w:eastAsia="楷体_GB2312"/>
          <w:b/>
          <w:bCs/>
          <w:szCs w:val="21"/>
        </w:rPr>
        <w:t>业务调整生效前赎回本</w:t>
      </w:r>
      <w:r>
        <w:rPr>
          <w:rFonts w:ascii="楷体_GB2312" w:hAnsi="宋体" w:eastAsia="楷体_GB2312"/>
          <w:b/>
          <w:bCs/>
          <w:szCs w:val="21"/>
        </w:rPr>
        <w:t>理财产品</w:t>
      </w:r>
      <w:r>
        <w:rPr>
          <w:rFonts w:hint="eastAsia" w:ascii="楷体_GB2312" w:hAnsi="宋体" w:eastAsia="楷体_GB2312"/>
          <w:b/>
          <w:bCs/>
          <w:szCs w:val="21"/>
        </w:rPr>
        <w:t>（此种情况下管理人将可能开放特殊赎回期间，具体以届时管理人的公告为准），逾期未赎回的视为同意。</w:t>
      </w:r>
    </w:p>
    <w:p>
      <w:pPr>
        <w:snapToGrid w:val="0"/>
        <w:spacing w:line="360" w:lineRule="auto"/>
        <w:ind w:firstLine="422" w:firstLineChars="200"/>
        <w:rPr>
          <w:rFonts w:hint="eastAsia" w:ascii="楷体_GB2312" w:hAnsi="宋体" w:eastAsia="楷体_GB2312"/>
          <w:b/>
          <w:bCs/>
          <w:szCs w:val="21"/>
        </w:rPr>
      </w:pPr>
      <w:r>
        <w:rPr>
          <w:rFonts w:hint="eastAsia" w:ascii="楷体_GB2312" w:hAnsi="宋体" w:eastAsia="楷体_GB2312"/>
          <w:b/>
          <w:bCs/>
          <w:szCs w:val="21"/>
        </w:rPr>
        <w:t>（十</w:t>
      </w:r>
      <w:r>
        <w:rPr>
          <w:rFonts w:hint="eastAsia" w:ascii="楷体_GB2312" w:hAnsi="宋体" w:eastAsia="楷体_GB2312"/>
          <w:b/>
          <w:bCs/>
          <w:szCs w:val="21"/>
          <w:lang w:val="en-US" w:eastAsia="zh-CN"/>
        </w:rPr>
        <w:t>七</w:t>
      </w:r>
      <w:r>
        <w:rPr>
          <w:rFonts w:hint="eastAsia" w:ascii="楷体_GB2312" w:hAnsi="宋体" w:eastAsia="楷体_GB2312"/>
          <w:b/>
          <w:bCs/>
          <w:szCs w:val="21"/>
        </w:rPr>
        <w:t>）设置建仓期的风险：本</w:t>
      </w:r>
      <w:r>
        <w:rPr>
          <w:rFonts w:ascii="楷体_GB2312" w:hAnsi="宋体" w:eastAsia="楷体_GB2312"/>
          <w:b/>
          <w:bCs/>
          <w:szCs w:val="21"/>
        </w:rPr>
        <w:t>理财产品</w:t>
      </w:r>
      <w:r>
        <w:rPr>
          <w:rFonts w:hint="eastAsia" w:ascii="楷体_GB2312" w:hAnsi="宋体" w:eastAsia="楷体_GB2312"/>
          <w:b/>
          <w:bCs/>
          <w:szCs w:val="21"/>
        </w:rPr>
        <w:t>可能</w:t>
      </w:r>
      <w:r>
        <w:rPr>
          <w:rFonts w:ascii="楷体_GB2312" w:hAnsi="宋体" w:eastAsia="楷体_GB2312"/>
          <w:b/>
          <w:bCs/>
          <w:szCs w:val="21"/>
        </w:rPr>
        <w:t>设立</w:t>
      </w:r>
      <w:r>
        <w:rPr>
          <w:rFonts w:hint="eastAsia" w:ascii="楷体_GB2312" w:hAnsi="宋体" w:eastAsia="楷体_GB2312"/>
          <w:b/>
          <w:bCs/>
          <w:szCs w:val="21"/>
        </w:rPr>
        <w:t>建仓期机制，建仓期</w:t>
      </w:r>
      <w:r>
        <w:rPr>
          <w:rFonts w:ascii="楷体_GB2312" w:hAnsi="宋体" w:eastAsia="楷体_GB2312"/>
          <w:b/>
          <w:bCs/>
          <w:szCs w:val="21"/>
        </w:rPr>
        <w:t>具体安排详见</w:t>
      </w:r>
      <w:r>
        <w:rPr>
          <w:rFonts w:hint="eastAsia" w:ascii="楷体_GB2312" w:hAnsi="宋体" w:eastAsia="楷体_GB2312"/>
          <w:b/>
          <w:bCs/>
          <w:szCs w:val="21"/>
        </w:rPr>
        <w:t>《</w:t>
      </w:r>
      <w:r>
        <w:rPr>
          <w:rFonts w:ascii="楷体_GB2312" w:hAnsi="宋体" w:eastAsia="楷体_GB2312"/>
          <w:b/>
          <w:bCs/>
          <w:szCs w:val="21"/>
        </w:rPr>
        <w:t>产品说明书</w:t>
      </w:r>
      <w:r>
        <w:rPr>
          <w:rFonts w:hint="eastAsia" w:ascii="楷体_GB2312" w:hAnsi="宋体" w:eastAsia="楷体_GB2312"/>
          <w:b/>
          <w:bCs/>
          <w:szCs w:val="21"/>
        </w:rPr>
        <w:t>》。在前述建仓期内，本</w:t>
      </w:r>
      <w:r>
        <w:rPr>
          <w:rFonts w:ascii="楷体_GB2312" w:hAnsi="宋体" w:eastAsia="楷体_GB2312"/>
          <w:b/>
          <w:bCs/>
          <w:szCs w:val="21"/>
        </w:rPr>
        <w:t>理财产品</w:t>
      </w:r>
      <w:r>
        <w:rPr>
          <w:rFonts w:hint="eastAsia" w:ascii="楷体_GB2312" w:hAnsi="宋体" w:eastAsia="楷体_GB2312"/>
          <w:b/>
          <w:bCs/>
          <w:szCs w:val="21"/>
        </w:rPr>
        <w:t>的投资比例可能无法满足本</w:t>
      </w:r>
      <w:r>
        <w:rPr>
          <w:rFonts w:ascii="楷体_GB2312" w:hAnsi="宋体" w:eastAsia="楷体_GB2312"/>
          <w:b/>
          <w:bCs/>
          <w:szCs w:val="21"/>
        </w:rPr>
        <w:t>理财产品</w:t>
      </w:r>
      <w:r>
        <w:rPr>
          <w:rFonts w:hint="eastAsia" w:ascii="楷体_GB2312" w:hAnsi="宋体" w:eastAsia="楷体_GB2312"/>
          <w:b/>
          <w:bCs/>
          <w:szCs w:val="21"/>
        </w:rPr>
        <w:t>约定的投资比例限制，从而可能对本</w:t>
      </w:r>
      <w:r>
        <w:rPr>
          <w:rFonts w:ascii="楷体_GB2312" w:hAnsi="宋体" w:eastAsia="楷体_GB2312"/>
          <w:b/>
          <w:bCs/>
          <w:szCs w:val="21"/>
        </w:rPr>
        <w:t>理财产品</w:t>
      </w:r>
      <w:r>
        <w:rPr>
          <w:rFonts w:hint="eastAsia" w:ascii="楷体_GB2312" w:hAnsi="宋体" w:eastAsia="楷体_GB2312"/>
          <w:b/>
          <w:bCs/>
          <w:szCs w:val="21"/>
        </w:rPr>
        <w:t>的投资收益产生相应影响。</w:t>
      </w:r>
    </w:p>
    <w:p>
      <w:pPr>
        <w:snapToGrid w:val="0"/>
        <w:spacing w:line="360" w:lineRule="auto"/>
        <w:ind w:firstLine="422" w:firstLineChars="200"/>
        <w:rPr>
          <w:rFonts w:hint="eastAsia" w:ascii="楷体_GB2312" w:hAnsi="宋体" w:eastAsia="楷体_GB2312"/>
          <w:b/>
          <w:bCs/>
          <w:szCs w:val="21"/>
          <w:lang w:val="en-US" w:eastAsia="zh-CN"/>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十八）特定投资标的风险</w:t>
      </w:r>
    </w:p>
    <w:p>
      <w:pPr>
        <w:snapToGrid w:val="0"/>
        <w:spacing w:line="360" w:lineRule="auto"/>
        <w:ind w:firstLine="422" w:firstLineChars="200"/>
        <w:rPr>
          <w:rFonts w:hint="default" w:ascii="楷体_GB2312" w:hAnsi="宋体" w:eastAsia="楷体_GB2312"/>
          <w:b/>
          <w:bCs/>
          <w:szCs w:val="21"/>
          <w:lang w:val="en-US" w:eastAsia="zh-CN"/>
        </w:rPr>
      </w:pPr>
      <w:r>
        <w:rPr>
          <w:rFonts w:hint="default" w:ascii="楷体_GB2312" w:hAnsi="宋体" w:eastAsia="楷体_GB2312"/>
          <w:b/>
          <w:bCs/>
          <w:szCs w:val="21"/>
          <w:lang w:val="en-US" w:eastAsia="zh-CN"/>
        </w:rPr>
        <w:t>1.货币市场工具投资风险：</w:t>
      </w:r>
    </w:p>
    <w:p>
      <w:pPr>
        <w:snapToGrid w:val="0"/>
        <w:spacing w:line="360" w:lineRule="auto"/>
        <w:ind w:firstLine="422" w:firstLineChars="200"/>
        <w:rPr>
          <w:rFonts w:hint="default" w:ascii="楷体_GB2312" w:hAnsi="宋体" w:eastAsia="楷体_GB2312"/>
          <w:b/>
          <w:bCs/>
          <w:szCs w:val="21"/>
          <w:lang w:val="en-US" w:eastAsia="zh-CN"/>
        </w:rPr>
      </w:pPr>
      <w:r>
        <w:rPr>
          <w:rFonts w:hint="default" w:ascii="楷体_GB2312" w:hAnsi="宋体" w:eastAsia="楷体_GB2312"/>
          <w:b/>
          <w:bCs/>
          <w:szCs w:val="21"/>
          <w:lang w:val="en-US" w:eastAsia="zh-CN"/>
        </w:rPr>
        <w:t>（1）本理财产品作为资金借出方参与货币市场工具交易时，交易对手可能无法及时偿还全部或部分本金和/或收益，导致理财产品收益下降甚至本金损失。</w:t>
      </w:r>
    </w:p>
    <w:p>
      <w:pPr>
        <w:snapToGrid w:val="0"/>
        <w:spacing w:line="360" w:lineRule="auto"/>
        <w:ind w:firstLine="422" w:firstLineChars="200"/>
        <w:rPr>
          <w:rFonts w:hint="default" w:ascii="楷体_GB2312" w:hAnsi="宋体" w:eastAsia="楷体_GB2312"/>
          <w:b/>
          <w:bCs/>
          <w:szCs w:val="21"/>
          <w:lang w:val="en-US" w:eastAsia="zh-CN"/>
        </w:rPr>
      </w:pPr>
      <w:r>
        <w:rPr>
          <w:rFonts w:hint="default" w:ascii="楷体_GB2312" w:hAnsi="宋体" w:eastAsia="楷体_GB2312"/>
          <w:b/>
          <w:bCs/>
          <w:szCs w:val="21"/>
          <w:lang w:val="en-US" w:eastAsia="zh-CN"/>
        </w:rPr>
        <w:t>（2）本理财产品作为资金借入方参与货币市场工具交易时，交易利率可能大于债券投资收益，进而导致理财产品收益下降甚至本金损失。</w:t>
      </w:r>
    </w:p>
    <w:p>
      <w:pPr>
        <w:snapToGrid w:val="0"/>
        <w:spacing w:line="360" w:lineRule="auto"/>
        <w:ind w:firstLine="422" w:firstLineChars="200"/>
        <w:rPr>
          <w:rFonts w:hint="default" w:ascii="楷体_GB2312" w:hAnsi="宋体" w:eastAsia="楷体_GB2312"/>
          <w:b/>
          <w:bCs/>
          <w:szCs w:val="21"/>
          <w:lang w:val="en-US" w:eastAsia="zh-CN"/>
        </w:rPr>
      </w:pPr>
      <w:r>
        <w:rPr>
          <w:rFonts w:hint="default" w:ascii="楷体_GB2312" w:hAnsi="宋体" w:eastAsia="楷体_GB2312"/>
          <w:b/>
          <w:bCs/>
          <w:szCs w:val="21"/>
          <w:lang w:val="en-US" w:eastAsia="zh-CN"/>
        </w:rPr>
        <w:t>（3）本理财产品作为资金借入方参与货币市场工具交易，将增大产品投资总量，放大投资组合风险。资金借入比例越高，风险暴露程度越高，理财产品收益下降甚至本金损失的可能性越大。</w:t>
      </w:r>
    </w:p>
    <w:p>
      <w:pPr>
        <w:snapToGrid w:val="0"/>
        <w:spacing w:line="360" w:lineRule="auto"/>
        <w:ind w:firstLine="422" w:firstLineChars="200"/>
        <w:rPr>
          <w:rFonts w:hint="default" w:ascii="楷体_GB2312" w:hAnsi="宋体" w:eastAsia="楷体_GB2312"/>
          <w:b/>
          <w:bCs/>
          <w:szCs w:val="21"/>
          <w:lang w:val="en-US" w:eastAsia="zh-CN"/>
        </w:rPr>
      </w:pPr>
      <w:r>
        <w:rPr>
          <w:rFonts w:hint="default" w:ascii="楷体_GB2312" w:hAnsi="宋体" w:eastAsia="楷体_GB2312"/>
          <w:b/>
          <w:bCs/>
          <w:szCs w:val="21"/>
          <w:lang w:val="en-US" w:eastAsia="zh-CN"/>
        </w:rPr>
        <w:t>2．标准化债权资产投资风险：国家政策、经济周期、利率、汇率等因素可能发生的变化导致的市场风险；债券发行人的经营状况、信用质量降低、或资产支持证券项下的基础资产现金流未能及时完整取得等可能发生的变化导致的信用风险；非公开定向债务融资工具、非公开发行公司债可能的流通和转让限制导致的流动性风险等。</w:t>
      </w:r>
    </w:p>
    <w:p>
      <w:pPr>
        <w:snapToGrid w:val="0"/>
        <w:spacing w:line="360" w:lineRule="auto"/>
        <w:ind w:firstLine="422" w:firstLineChars="200"/>
        <w:rPr>
          <w:rFonts w:hint="default" w:ascii="楷体_GB2312" w:hAnsi="宋体" w:eastAsia="楷体_GB2312"/>
          <w:b/>
          <w:bCs/>
          <w:szCs w:val="21"/>
          <w:lang w:val="en-US" w:eastAsia="zh-CN"/>
        </w:rPr>
      </w:pPr>
      <w:r>
        <w:rPr>
          <w:rFonts w:hint="default" w:ascii="楷体_GB2312" w:hAnsi="宋体" w:eastAsia="楷体_GB2312"/>
          <w:b/>
          <w:bCs/>
          <w:szCs w:val="21"/>
          <w:lang w:val="en-US" w:eastAsia="zh-CN"/>
        </w:rPr>
        <w:t>3. 权益类资产投资风险：股票市场波动会影响本理财产品所投资的股票价格，如股票市场下跌将导致本理财产品投资的股票价格下跌，进而导致本理财产品收益下降甚至本金损失。上市公司可能由于经济周期、行业竞争、市场前景、管理能力、盈利模式、财务状况等变化发生经营不善，甚至可能发生盈利增速不及预期、净利润由盈转亏、破产清算、被兼并收购、违反监管规定等状况，可能导致股票的价格下跌，甚至导致无法立刻卖出或因上市公司违反相关规定而导致退市，从而使理财产品收益下降甚至本金损失。股票定向增发、上市公司优先股等可能的流通和转让限制导致的流动性风险等。</w:t>
      </w:r>
    </w:p>
    <w:p>
      <w:pPr>
        <w:snapToGrid w:val="0"/>
        <w:spacing w:line="360" w:lineRule="auto"/>
        <w:ind w:firstLine="422" w:firstLineChars="200"/>
        <w:rPr>
          <w:rFonts w:hint="default" w:ascii="楷体_GB2312" w:hAnsi="宋体" w:eastAsia="楷体_GB2312"/>
          <w:b/>
          <w:bCs/>
          <w:szCs w:val="21"/>
          <w:lang w:val="en-US" w:eastAsia="zh-CN"/>
        </w:rPr>
      </w:pPr>
      <w:r>
        <w:rPr>
          <w:rFonts w:hint="default" w:ascii="楷体_GB2312" w:hAnsi="宋体" w:eastAsia="楷体_GB2312"/>
          <w:b/>
          <w:bCs/>
          <w:szCs w:val="21"/>
          <w:lang w:val="en-US" w:eastAsia="zh-CN"/>
        </w:rPr>
        <w:t xml:space="preserve">4. 资产管理产品投资风险：本理财产品投资其他资产管理产品，或通过其他资产管理产品投资时，可能因相关受托人违反法律法规和/或合同约定、未尽职或发生其他情形，造成本理财产品所投资的资产管理产品的财产损失，进而导致本理财产品收益下降甚至本金损失。 </w:t>
      </w:r>
    </w:p>
    <w:p>
      <w:pPr>
        <w:snapToGrid w:val="0"/>
        <w:spacing w:line="360" w:lineRule="auto"/>
        <w:ind w:firstLine="422" w:firstLineChars="200"/>
        <w:outlineLvl w:val="0"/>
        <w:rPr>
          <w:rFonts w:ascii="楷体_GB2312" w:hAnsi="宋体" w:eastAsia="楷体_GB2312"/>
          <w:b/>
          <w:bCs/>
          <w:szCs w:val="21"/>
        </w:rPr>
      </w:pPr>
      <w:r>
        <w:rPr>
          <w:rFonts w:hint="eastAsia" w:ascii="楷体_GB2312" w:hAnsi="宋体" w:eastAsia="楷体_GB2312"/>
          <w:b/>
          <w:bCs/>
          <w:szCs w:val="21"/>
        </w:rPr>
        <w:t>二、客户提示</w:t>
      </w:r>
    </w:p>
    <w:p>
      <w:pPr>
        <w:snapToGrid w:val="0"/>
        <w:spacing w:line="360" w:lineRule="auto"/>
        <w:ind w:firstLine="413" w:firstLineChars="196"/>
        <w:rPr>
          <w:rFonts w:ascii="楷体_GB2312" w:hAnsi="宋体" w:eastAsia="楷体_GB2312"/>
          <w:b/>
          <w:bCs/>
          <w:szCs w:val="21"/>
          <w:u w:val="single"/>
        </w:rPr>
      </w:pPr>
      <w:r>
        <w:rPr>
          <w:rFonts w:hint="eastAsia" w:ascii="楷体_GB2312" w:hAnsi="宋体" w:eastAsia="楷体_GB2312"/>
          <w:b/>
          <w:bCs/>
          <w:szCs w:val="21"/>
        </w:rPr>
        <w:t>（一）</w:t>
      </w:r>
      <w:r>
        <w:rPr>
          <w:rFonts w:hint="eastAsia" w:ascii="楷体_GB2312" w:hAnsi="宋体" w:eastAsia="楷体_GB2312"/>
          <w:b/>
          <w:bCs/>
          <w:szCs w:val="21"/>
          <w:u w:val="single"/>
        </w:rPr>
        <w:t>理财非存款、产品有风险、投资</w:t>
      </w:r>
      <w:r>
        <w:rPr>
          <w:rFonts w:hint="eastAsia" w:ascii="楷体_GB2312" w:hAnsi="宋体" w:eastAsia="楷体_GB2312"/>
          <w:b/>
          <w:bCs/>
          <w:szCs w:val="21"/>
          <w:u w:val="single"/>
          <w:lang w:val="en-US" w:eastAsia="zh-CN"/>
        </w:rPr>
        <w:t>须</w:t>
      </w:r>
      <w:r>
        <w:rPr>
          <w:rFonts w:hint="eastAsia" w:ascii="楷体_GB2312" w:hAnsi="宋体" w:eastAsia="楷体_GB2312"/>
          <w:b/>
          <w:bCs/>
          <w:szCs w:val="21"/>
          <w:u w:val="single"/>
        </w:rPr>
        <w:t>谨慎。</w:t>
      </w:r>
    </w:p>
    <w:p>
      <w:pPr>
        <w:snapToGrid w:val="0"/>
        <w:spacing w:line="360" w:lineRule="auto"/>
        <w:ind w:firstLine="413" w:firstLineChars="196"/>
        <w:rPr>
          <w:rFonts w:ascii="楷体_GB2312" w:hAnsi="宋体" w:eastAsia="楷体_GB2312"/>
          <w:b/>
          <w:bCs/>
          <w:szCs w:val="21"/>
        </w:rPr>
      </w:pPr>
      <w:r>
        <w:rPr>
          <w:rFonts w:hint="eastAsia" w:ascii="楷体_GB2312" w:hAnsi="宋体" w:eastAsia="楷体_GB2312"/>
          <w:b/>
          <w:bCs/>
          <w:szCs w:val="21"/>
        </w:rPr>
        <w:t>（二）</w:t>
      </w:r>
      <w:r>
        <w:rPr>
          <w:rFonts w:hint="eastAsia" w:ascii="楷体_GB2312" w:hAnsi="宋体" w:eastAsia="楷体_GB2312" w:cs="宋体"/>
          <w:b/>
          <w:bCs/>
          <w:color w:val="000000"/>
          <w:kern w:val="0"/>
          <w:szCs w:val="21"/>
        </w:rPr>
        <w:t>理财产品过往业绩不代表其未来表现，不等于理财产品实际收益。</w:t>
      </w:r>
    </w:p>
    <w:p>
      <w:pPr>
        <w:snapToGrid w:val="0"/>
        <w:spacing w:line="360" w:lineRule="auto"/>
        <w:ind w:firstLine="413" w:firstLineChars="196"/>
        <w:rPr>
          <w:rFonts w:ascii="楷体_GB2312" w:hAnsi="宋体" w:eastAsia="楷体_GB2312"/>
          <w:b/>
          <w:bCs/>
          <w:szCs w:val="21"/>
        </w:rPr>
      </w:pPr>
      <w:r>
        <w:rPr>
          <w:rFonts w:hint="eastAsia" w:ascii="楷体_GB2312" w:hAnsi="宋体" w:eastAsia="楷体_GB2312"/>
          <w:b/>
          <w:bCs/>
          <w:szCs w:val="21"/>
        </w:rPr>
        <w:t>（三）请您在购买本理财产品前仔细阅读本理财产品</w:t>
      </w:r>
      <w:r>
        <w:rPr>
          <w:rFonts w:hint="eastAsia" w:ascii="楷体_GB2312" w:hAnsi="宋体" w:eastAsia="楷体_GB2312"/>
          <w:b/>
          <w:bCs/>
          <w:szCs w:val="21"/>
          <w:lang w:eastAsia="zh-CN"/>
        </w:rPr>
        <w:t>《</w:t>
      </w:r>
      <w:r>
        <w:rPr>
          <w:rFonts w:hint="eastAsia" w:ascii="楷体_GB2312" w:hAnsi="宋体" w:eastAsia="楷体_GB2312"/>
          <w:b/>
          <w:bCs/>
          <w:szCs w:val="21"/>
        </w:rPr>
        <w:t>风险揭示书</w:t>
      </w:r>
      <w:r>
        <w:rPr>
          <w:rFonts w:hint="eastAsia" w:ascii="楷体_GB2312" w:hAnsi="宋体" w:eastAsia="楷体_GB2312"/>
          <w:b/>
          <w:bCs/>
          <w:szCs w:val="21"/>
          <w:lang w:eastAsia="zh-CN"/>
        </w:rPr>
        <w:t>》</w:t>
      </w:r>
      <w:r>
        <w:rPr>
          <w:rFonts w:hint="eastAsia" w:ascii="楷体_GB2312" w:hAnsi="宋体" w:eastAsia="楷体_GB2312"/>
          <w:b/>
          <w:bCs/>
          <w:szCs w:val="21"/>
        </w:rPr>
        <w:t>、</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及</w:t>
      </w:r>
      <w:r>
        <w:rPr>
          <w:rFonts w:hint="eastAsia" w:ascii="楷体_GB2312" w:hAnsi="宋体" w:eastAsia="楷体_GB2312"/>
          <w:b/>
          <w:bCs/>
          <w:szCs w:val="21"/>
          <w:lang w:eastAsia="zh-CN"/>
        </w:rPr>
        <w:t>《</w:t>
      </w:r>
      <w:r>
        <w:rPr>
          <w:rFonts w:ascii="楷体_GB2312" w:hAnsi="宋体" w:eastAsia="楷体_GB2312"/>
          <w:b/>
          <w:bCs/>
          <w:szCs w:val="21"/>
        </w:rPr>
        <w:t>销售</w:t>
      </w:r>
      <w:r>
        <w:rPr>
          <w:rFonts w:hint="eastAsia" w:ascii="楷体_GB2312" w:hAnsi="宋体" w:eastAsia="楷体_GB2312"/>
          <w:b/>
          <w:bCs/>
          <w:szCs w:val="21"/>
          <w:lang w:eastAsia="zh-CN"/>
        </w:rPr>
        <w:t>（</w:t>
      </w:r>
      <w:r>
        <w:rPr>
          <w:rFonts w:hint="eastAsia" w:ascii="楷体_GB2312" w:hAnsi="宋体" w:eastAsia="楷体_GB2312"/>
          <w:b/>
          <w:bCs/>
          <w:szCs w:val="21"/>
        </w:rPr>
        <w:t>代理销售</w:t>
      </w:r>
      <w:r>
        <w:rPr>
          <w:rFonts w:hint="eastAsia" w:ascii="楷体_GB2312" w:hAnsi="宋体" w:eastAsia="楷体_GB2312"/>
          <w:b/>
          <w:bCs/>
          <w:szCs w:val="21"/>
          <w:lang w:eastAsia="zh-CN"/>
        </w:rPr>
        <w:t>）</w:t>
      </w:r>
      <w:r>
        <w:rPr>
          <w:rFonts w:ascii="楷体_GB2312" w:hAnsi="宋体" w:eastAsia="楷体_GB2312"/>
          <w:b/>
          <w:bCs/>
          <w:szCs w:val="21"/>
        </w:rPr>
        <w:t>协议书</w:t>
      </w:r>
      <w:r>
        <w:rPr>
          <w:rFonts w:hint="eastAsia" w:ascii="楷体_GB2312" w:hAnsi="宋体" w:eastAsia="楷体_GB2312"/>
          <w:b/>
          <w:bCs/>
          <w:szCs w:val="21"/>
          <w:lang w:eastAsia="zh-CN"/>
        </w:rPr>
        <w:t>》</w:t>
      </w:r>
      <w:r>
        <w:rPr>
          <w:rFonts w:ascii="楷体_GB2312" w:hAnsi="宋体" w:eastAsia="楷体_GB2312"/>
          <w:b/>
          <w:bCs/>
          <w:szCs w:val="21"/>
        </w:rPr>
        <w:t>、</w:t>
      </w:r>
      <w:r>
        <w:rPr>
          <w:rFonts w:hint="eastAsia" w:ascii="楷体_GB2312" w:hAnsi="宋体" w:eastAsia="楷体_GB2312"/>
          <w:b/>
          <w:bCs/>
          <w:szCs w:val="21"/>
          <w:lang w:eastAsia="zh-CN"/>
        </w:rPr>
        <w:t>《</w:t>
      </w:r>
      <w:r>
        <w:rPr>
          <w:rFonts w:ascii="楷体_GB2312" w:hAnsi="宋体" w:eastAsia="楷体_GB2312"/>
          <w:b/>
          <w:bCs/>
          <w:szCs w:val="21"/>
        </w:rPr>
        <w:t>投资协议书</w:t>
      </w:r>
      <w:r>
        <w:rPr>
          <w:rFonts w:hint="eastAsia" w:ascii="楷体_GB2312" w:hAnsi="宋体" w:eastAsia="楷体_GB2312"/>
          <w:b/>
          <w:bCs/>
          <w:szCs w:val="21"/>
          <w:lang w:eastAsia="zh-CN"/>
        </w:rPr>
        <w:t>》</w:t>
      </w:r>
      <w:r>
        <w:rPr>
          <w:rFonts w:ascii="楷体_GB2312" w:hAnsi="宋体" w:eastAsia="楷体_GB2312"/>
          <w:b/>
          <w:bCs/>
          <w:szCs w:val="21"/>
        </w:rPr>
        <w:t>和</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投资者</w:t>
      </w:r>
      <w:r>
        <w:rPr>
          <w:rFonts w:ascii="楷体_GB2312" w:hAnsi="宋体" w:eastAsia="楷体_GB2312"/>
          <w:b/>
          <w:bCs/>
          <w:szCs w:val="21"/>
        </w:rPr>
        <w:t>权益须知</w:t>
      </w:r>
      <w:r>
        <w:rPr>
          <w:rFonts w:hint="eastAsia" w:ascii="楷体_GB2312" w:hAnsi="宋体" w:eastAsia="楷体_GB2312"/>
          <w:b/>
          <w:bCs/>
          <w:szCs w:val="21"/>
          <w:lang w:eastAsia="zh-CN"/>
        </w:rPr>
        <w:t>》</w:t>
      </w:r>
      <w:r>
        <w:rPr>
          <w:rFonts w:hint="eastAsia" w:ascii="楷体_GB2312" w:hAnsi="宋体" w:eastAsia="楷体_GB2312"/>
          <w:b/>
          <w:bCs/>
          <w:szCs w:val="21"/>
        </w:rPr>
        <w:t>的全部内容，同时向上银理财有限责任</w:t>
      </w:r>
      <w:r>
        <w:rPr>
          <w:rFonts w:ascii="楷体_GB2312" w:hAnsi="宋体" w:eastAsia="楷体_GB2312"/>
          <w:b/>
          <w:bCs/>
          <w:szCs w:val="21"/>
        </w:rPr>
        <w:t>公司</w:t>
      </w:r>
      <w:r>
        <w:rPr>
          <w:rFonts w:hint="eastAsia" w:ascii="楷体_GB2312" w:hAnsi="宋体" w:eastAsia="楷体_GB2312"/>
          <w:b/>
          <w:bCs/>
          <w:szCs w:val="21"/>
        </w:rPr>
        <w:t>（以下简称“管理人”）或</w:t>
      </w:r>
      <w:r>
        <w:rPr>
          <w:rFonts w:ascii="楷体_GB2312" w:hAnsi="宋体" w:eastAsia="楷体_GB2312"/>
          <w:b/>
          <w:bCs/>
          <w:szCs w:val="21"/>
        </w:rPr>
        <w:t>销售机构</w:t>
      </w:r>
      <w:r>
        <w:rPr>
          <w:rFonts w:hint="eastAsia" w:ascii="楷体_GB2312" w:hAnsi="宋体" w:eastAsia="楷体_GB2312"/>
          <w:b/>
          <w:bCs/>
          <w:szCs w:val="21"/>
        </w:rPr>
        <w:t>了解本理财产品的其它相关信息，详细了解产品的具体情况，并独立作出是否购买本理财产品的决定。</w:t>
      </w:r>
    </w:p>
    <w:p>
      <w:pPr>
        <w:snapToGrid w:val="0"/>
        <w:spacing w:line="360" w:lineRule="auto"/>
        <w:ind w:firstLine="413" w:firstLineChars="196"/>
        <w:rPr>
          <w:rFonts w:ascii="楷体_GB2312" w:hAnsi="宋体" w:eastAsia="楷体_GB2312"/>
          <w:b/>
          <w:bCs/>
          <w:szCs w:val="21"/>
          <w:highlight w:val="none"/>
        </w:rPr>
      </w:pPr>
      <w:r>
        <w:rPr>
          <w:rFonts w:hint="eastAsia" w:ascii="楷体_GB2312" w:hAnsi="宋体" w:eastAsia="楷体_GB2312"/>
          <w:b/>
          <w:bCs/>
          <w:szCs w:val="21"/>
        </w:rPr>
        <w:t>（四）请您在购买本理财产品前进行客户风险承受能力评估，如影响您风险承受能力的因素发生变化，请及</w:t>
      </w:r>
      <w:r>
        <w:rPr>
          <w:rFonts w:hint="eastAsia" w:ascii="楷体_GB2312" w:hAnsi="宋体" w:eastAsia="楷体_GB2312"/>
          <w:b/>
          <w:bCs/>
          <w:szCs w:val="21"/>
          <w:highlight w:val="none"/>
        </w:rPr>
        <w:t>时重新完成风险承受能力评估。</w:t>
      </w:r>
    </w:p>
    <w:p>
      <w:pPr>
        <w:snapToGrid w:val="0"/>
        <w:spacing w:line="360" w:lineRule="auto"/>
        <w:ind w:firstLine="413" w:firstLineChars="196"/>
        <w:rPr>
          <w:rFonts w:hint="eastAsia" w:ascii="楷体_GB2312" w:hAnsi="宋体" w:eastAsia="楷体_GB2312"/>
          <w:b/>
          <w:bCs/>
          <w:szCs w:val="21"/>
          <w:highlight w:val="none"/>
        </w:rPr>
      </w:pPr>
      <w:r>
        <w:rPr>
          <w:rFonts w:hint="eastAsia" w:ascii="楷体_GB2312" w:hAnsi="宋体" w:eastAsia="楷体_GB2312"/>
          <w:b/>
          <w:bCs/>
          <w:szCs w:val="21"/>
          <w:highlight w:val="none"/>
        </w:rPr>
        <w:t>（五）本理财产品为</w:t>
      </w:r>
      <w:r>
        <w:rPr>
          <w:rFonts w:hint="eastAsia" w:ascii="楷体_GB2312" w:hAnsi="宋体" w:eastAsia="楷体_GB2312"/>
          <w:b/>
          <w:bCs/>
          <w:szCs w:val="21"/>
          <w:highlight w:val="none"/>
          <w:lang w:eastAsia="zh-CN"/>
        </w:rPr>
        <w:t>【</w:t>
      </w:r>
      <w:r>
        <w:rPr>
          <w:rFonts w:hint="eastAsia" w:ascii="楷体_GB2312" w:hAnsi="宋体" w:eastAsia="楷体_GB2312"/>
          <w:b/>
          <w:bCs/>
          <w:color w:val="auto"/>
          <w:szCs w:val="21"/>
          <w:highlight w:val="none"/>
        </w:rPr>
        <w:t>固定收益类</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rPr>
        <w:t>理财产品，</w:t>
      </w:r>
      <w:r>
        <w:rPr>
          <w:rFonts w:hint="eastAsia" w:ascii="楷体_GB2312" w:hAnsi="宋体" w:eastAsia="楷体_GB2312"/>
          <w:b/>
          <w:bCs/>
          <w:szCs w:val="21"/>
          <w:highlight w:val="none"/>
          <w:lang w:val="en-US" w:eastAsia="zh-CN"/>
        </w:rPr>
        <w:t>产品</w:t>
      </w:r>
      <w:r>
        <w:rPr>
          <w:rFonts w:hint="eastAsia" w:ascii="楷体_GB2312" w:hAnsi="宋体" w:eastAsia="楷体_GB2312"/>
          <w:b/>
          <w:bCs/>
          <w:szCs w:val="21"/>
          <w:highlight w:val="none"/>
        </w:rPr>
        <w:t>期限为</w:t>
      </w:r>
      <w:r>
        <w:rPr>
          <w:rFonts w:hint="eastAsia" w:ascii="楷体_GB2312" w:hAnsi="宋体" w:eastAsia="楷体_GB2312"/>
          <w:b/>
          <w:bCs/>
          <w:szCs w:val="21"/>
          <w:highlight w:val="none"/>
          <w:u w:val="single"/>
          <w:lang w:eastAsia="zh-CN"/>
        </w:rPr>
        <w:t>【</w:t>
      </w:r>
      <w:r>
        <w:rPr>
          <w:rFonts w:hint="eastAsia" w:ascii="楷体_GB2312" w:hAnsi="宋体" w:eastAsia="楷体_GB2312"/>
          <w:b/>
          <w:bCs/>
          <w:color w:val="C00000"/>
          <w:szCs w:val="21"/>
          <w:highlight w:val="none"/>
          <w:u w:val="single"/>
          <w:lang w:val="en-US" w:eastAsia="zh-CN"/>
        </w:rPr>
        <w:t>10</w:t>
      </w:r>
      <w:r>
        <w:rPr>
          <w:rFonts w:hint="eastAsia" w:ascii="楷体_GB2312" w:hAnsi="宋体" w:eastAsia="楷体_GB2312"/>
          <w:b/>
          <w:bCs/>
          <w:color w:val="C00000"/>
          <w:szCs w:val="21"/>
          <w:highlight w:val="none"/>
          <w:u w:val="single"/>
        </w:rPr>
        <w:t>年</w:t>
      </w:r>
      <w:r>
        <w:rPr>
          <w:rFonts w:hint="eastAsia" w:ascii="楷体_GB2312" w:hAnsi="宋体" w:eastAsia="楷体_GB2312"/>
          <w:b/>
          <w:bCs/>
          <w:color w:val="auto"/>
          <w:szCs w:val="21"/>
          <w:highlight w:val="none"/>
          <w:u w:val="single"/>
          <w:lang w:eastAsia="zh-CN"/>
        </w:rPr>
        <w:t>】</w:t>
      </w:r>
      <w:r>
        <w:rPr>
          <w:rFonts w:hint="eastAsia" w:ascii="楷体_GB2312" w:hAnsi="宋体" w:eastAsia="楷体_GB2312"/>
          <w:b/>
          <w:bCs/>
          <w:szCs w:val="21"/>
          <w:highlight w:val="none"/>
        </w:rPr>
        <w:t>（实际产品期限将受限于管理人提前终止条款，详见</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rPr>
        <w:t>产品说明书</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rPr>
        <w:t>）。本产品的产品风险评级为</w:t>
      </w:r>
      <w:r>
        <w:rPr>
          <w:rFonts w:hint="eastAsia" w:ascii="楷体_GB2312" w:hAnsi="宋体" w:eastAsia="楷体_GB2312"/>
          <w:b/>
          <w:bCs/>
          <w:szCs w:val="21"/>
          <w:highlight w:val="none"/>
          <w:lang w:eastAsia="zh-CN"/>
        </w:rPr>
        <w:t>【</w:t>
      </w:r>
      <w:r>
        <w:rPr>
          <w:rFonts w:hint="eastAsia" w:ascii="楷体_GB2312" w:hAnsi="宋体" w:eastAsia="楷体_GB2312"/>
          <w:b/>
          <w:bCs/>
          <w:color w:val="C00000"/>
          <w:szCs w:val="21"/>
          <w:highlight w:val="none"/>
        </w:rPr>
        <w:t>中低风险（二级风险）</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rPr>
        <w:t>，本评级为上银理财内部评级，仅供参考，评级分类参见</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rPr>
        <w:t>产品说明书</w:t>
      </w:r>
      <w:r>
        <w:rPr>
          <w:rFonts w:hint="eastAsia" w:ascii="楷体_GB2312" w:hAnsi="宋体" w:eastAsia="楷体_GB2312"/>
          <w:b/>
          <w:bCs/>
          <w:szCs w:val="21"/>
          <w:highlight w:val="none"/>
          <w:lang w:eastAsia="zh-CN"/>
        </w:rPr>
        <w:t>》。</w:t>
      </w:r>
      <w:r>
        <w:rPr>
          <w:rFonts w:hint="eastAsia" w:ascii="楷体" w:hAnsi="楷体" w:eastAsia="楷体" w:cs="楷体"/>
          <w:b/>
          <w:bCs/>
          <w:szCs w:val="21"/>
          <w:highlight w:val="none"/>
          <w:u w:val="none"/>
          <w:lang w:eastAsia="zh-CN"/>
        </w:rPr>
        <w:t>对于在本公司直销渠道购买的产品，产品评级以本公司的评级结果为准。</w:t>
      </w:r>
      <w:r>
        <w:rPr>
          <w:rFonts w:hint="eastAsia" w:ascii="楷体_GB2312" w:hAnsi="宋体" w:eastAsia="楷体_GB2312"/>
          <w:b/>
          <w:bCs/>
          <w:szCs w:val="21"/>
          <w:highlight w:val="none"/>
          <w:lang w:val="en-US" w:eastAsia="zh-CN"/>
        </w:rPr>
        <w:t>产品</w:t>
      </w:r>
      <w:r>
        <w:rPr>
          <w:rFonts w:hint="eastAsia" w:ascii="楷体_GB2312" w:hAnsi="宋体" w:eastAsia="楷体_GB2312"/>
          <w:b/>
          <w:bCs/>
          <w:szCs w:val="21"/>
          <w:highlight w:val="none"/>
        </w:rPr>
        <w:t>通过代理销售机构销售的，代理销售机构将根据代理销售机构的方式和方法，独立、审慎地对代理销售的本理财产品进行销售评级，销售评级与管理人评级结果不一致的，代理销售机构将采用对应较高风险等级的评级结果并予以披露，本理财产品的最终评级以代理销售机构最终披露的评级结果为准。</w:t>
      </w:r>
    </w:p>
    <w:p>
      <w:pPr>
        <w:snapToGrid w:val="0"/>
        <w:spacing w:line="360" w:lineRule="auto"/>
        <w:ind w:firstLine="413" w:firstLineChars="196"/>
        <w:rPr>
          <w:rFonts w:hint="eastAsia" w:ascii="楷体_GB2312" w:hAnsi="宋体" w:eastAsia="楷体_GB2312"/>
          <w:b/>
          <w:bCs/>
          <w:szCs w:val="21"/>
          <w:highlight w:val="none"/>
          <w:lang w:val="en-US" w:eastAsia="zh-CN"/>
        </w:rPr>
      </w:pPr>
      <w:r>
        <w:rPr>
          <w:rFonts w:hint="eastAsia" w:ascii="楷体_GB2312" w:hAnsi="宋体" w:eastAsia="楷体_GB2312"/>
          <w:b/>
          <w:bCs/>
          <w:szCs w:val="21"/>
          <w:highlight w:val="none"/>
        </w:rPr>
        <w:t>本产品适合</w:t>
      </w:r>
      <w:r>
        <w:rPr>
          <w:rFonts w:hint="eastAsia" w:ascii="楷体_GB2312" w:hAnsi="宋体" w:eastAsia="楷体_GB2312"/>
          <w:b/>
          <w:bCs/>
          <w:szCs w:val="21"/>
          <w:highlight w:val="none"/>
          <w:lang w:val="en-US" w:eastAsia="zh-CN"/>
        </w:rPr>
        <w:t>以下类型投资者：</w:t>
      </w:r>
    </w:p>
    <w:p>
      <w:pPr>
        <w:ind w:firstLine="843" w:firstLineChars="400"/>
        <w:rPr>
          <w:rFonts w:hint="eastAsia" w:ascii="楷体" w:hAnsi="楷体" w:eastAsia="楷体"/>
          <w:b/>
          <w:bCs/>
          <w:color w:val="auto"/>
          <w:lang w:val="en-US" w:eastAsia="zh-CN"/>
        </w:rPr>
      </w:pPr>
      <w:r>
        <w:rPr>
          <w:rFonts w:hint="default" w:ascii="楷体" w:hAnsi="楷体" w:eastAsia="楷体"/>
          <w:b/>
          <w:bCs/>
          <w:lang w:val="en-US" w:eastAsia="zh-CN"/>
        </w:rPr>
        <w:sym w:font="Wingdings 2" w:char="0052"/>
      </w:r>
      <w:r>
        <w:rPr>
          <w:rFonts w:hint="eastAsia" w:ascii="楷体" w:hAnsi="楷体" w:eastAsia="楷体"/>
          <w:b/>
          <w:bCs/>
          <w:lang w:val="en-US" w:eastAsia="zh-CN"/>
        </w:rPr>
        <w:t xml:space="preserve"> 个人投资者（</w:t>
      </w:r>
      <w:r>
        <w:rPr>
          <w:rFonts w:hint="eastAsia" w:ascii="楷体" w:hAnsi="楷体" w:eastAsia="楷体"/>
          <w:b/>
          <w:bCs/>
          <w:color w:val="auto"/>
          <w:lang w:val="en-US" w:eastAsia="zh-CN"/>
        </w:rPr>
        <w:t>客户</w:t>
      </w:r>
      <w:r>
        <w:rPr>
          <w:rFonts w:hint="eastAsia" w:ascii="楷体" w:hAnsi="楷体" w:eastAsia="楷体"/>
          <w:b/>
          <w:bCs/>
          <w:color w:val="auto"/>
        </w:rPr>
        <w:t>风险承受能力评级</w:t>
      </w:r>
      <w:r>
        <w:rPr>
          <w:rFonts w:hint="eastAsia" w:ascii="楷体" w:hAnsi="楷体" w:eastAsia="楷体"/>
          <w:b/>
          <w:bCs/>
          <w:color w:val="auto"/>
          <w:lang w:val="en-US" w:eastAsia="zh-CN"/>
        </w:rPr>
        <w:t>为【</w:t>
      </w:r>
      <w:r>
        <w:rPr>
          <w:rFonts w:hint="eastAsia" w:ascii="楷体_GB2312" w:hAnsi="宋体" w:eastAsia="楷体_GB2312"/>
          <w:b/>
          <w:bCs/>
          <w:color w:val="auto"/>
          <w:szCs w:val="21"/>
          <w:highlight w:val="none"/>
        </w:rPr>
        <w:t>稳健型</w:t>
      </w:r>
      <w:r>
        <w:rPr>
          <w:rFonts w:ascii="楷体_GB2312" w:hAnsi="宋体" w:eastAsia="楷体_GB2312"/>
          <w:b/>
          <w:bCs/>
          <w:color w:val="auto"/>
          <w:szCs w:val="21"/>
          <w:highlight w:val="none"/>
        </w:rPr>
        <w:t>、</w:t>
      </w:r>
      <w:r>
        <w:rPr>
          <w:rFonts w:hint="eastAsia" w:ascii="楷体_GB2312" w:hAnsi="宋体" w:eastAsia="楷体_GB2312"/>
          <w:b/>
          <w:bCs/>
          <w:color w:val="auto"/>
          <w:szCs w:val="21"/>
          <w:highlight w:val="none"/>
        </w:rPr>
        <w:t>平衡型、成长型</w:t>
      </w:r>
      <w:r>
        <w:rPr>
          <w:rFonts w:hint="eastAsia" w:ascii="楷体_GB2312" w:hAnsi="宋体" w:eastAsia="楷体_GB2312"/>
          <w:b/>
          <w:bCs/>
          <w:color w:val="auto"/>
          <w:szCs w:val="21"/>
          <w:highlight w:val="none"/>
          <w:lang w:eastAsia="zh-CN"/>
        </w:rPr>
        <w:t>、</w:t>
      </w:r>
      <w:r>
        <w:rPr>
          <w:rFonts w:hint="eastAsia" w:ascii="楷体_GB2312" w:hAnsi="宋体" w:eastAsia="楷体_GB2312"/>
          <w:b/>
          <w:bCs/>
          <w:color w:val="auto"/>
          <w:szCs w:val="21"/>
          <w:highlight w:val="none"/>
        </w:rPr>
        <w:t>进取型</w:t>
      </w:r>
      <w:r>
        <w:rPr>
          <w:rFonts w:hint="eastAsia" w:ascii="楷体" w:hAnsi="楷体" w:eastAsia="楷体"/>
          <w:b/>
          <w:bCs/>
          <w:color w:val="auto"/>
          <w:lang w:val="en-US" w:eastAsia="zh-CN"/>
        </w:rPr>
        <w:t>】）</w:t>
      </w:r>
    </w:p>
    <w:p>
      <w:pPr>
        <w:snapToGrid w:val="0"/>
        <w:spacing w:line="360" w:lineRule="auto"/>
        <w:ind w:firstLine="835" w:firstLineChars="396"/>
        <w:rPr>
          <w:rFonts w:ascii="楷体_GB2312" w:hAnsi="宋体" w:eastAsia="楷体_GB2312"/>
          <w:b/>
          <w:bCs/>
          <w:color w:val="auto"/>
          <w:szCs w:val="21"/>
          <w:highlight w:val="none"/>
        </w:rPr>
      </w:pPr>
      <w:r>
        <w:rPr>
          <w:rFonts w:hint="default" w:ascii="楷体" w:hAnsi="楷体" w:eastAsia="楷体"/>
          <w:b/>
          <w:bCs/>
          <w:color w:val="auto"/>
          <w:lang w:val="en-US" w:eastAsia="zh-CN"/>
        </w:rPr>
        <w:sym w:font="Wingdings 2" w:char="0052"/>
      </w:r>
      <w:r>
        <w:rPr>
          <w:rFonts w:hint="eastAsia" w:ascii="楷体" w:hAnsi="楷体" w:eastAsia="楷体"/>
          <w:b/>
          <w:bCs/>
          <w:color w:val="auto"/>
          <w:lang w:val="en-US" w:eastAsia="zh-CN"/>
        </w:rPr>
        <w:t xml:space="preserve"> 机构投资者</w:t>
      </w:r>
    </w:p>
    <w:p>
      <w:pPr>
        <w:snapToGrid w:val="0"/>
        <w:spacing w:line="360" w:lineRule="auto"/>
        <w:ind w:firstLine="422" w:firstLineChars="200"/>
        <w:rPr>
          <w:rFonts w:ascii="楷体_GB2312" w:hAnsi="宋体" w:eastAsia="楷体_GB2312"/>
          <w:b/>
          <w:bCs/>
          <w:color w:val="auto"/>
          <w:szCs w:val="21"/>
        </w:rPr>
      </w:pPr>
      <w:r>
        <w:rPr>
          <w:rFonts w:hint="eastAsia" w:ascii="楷体_GB2312" w:hAnsi="宋体" w:eastAsia="楷体_GB2312"/>
          <w:b/>
          <w:bCs/>
          <w:color w:val="auto"/>
          <w:szCs w:val="21"/>
          <w:highlight w:val="none"/>
        </w:rPr>
        <w:t>（六）本理财产品为</w:t>
      </w:r>
      <w:r>
        <w:rPr>
          <w:rFonts w:hint="eastAsia" w:ascii="楷体_GB2312" w:hAnsi="宋体" w:eastAsia="楷体_GB2312"/>
          <w:b/>
          <w:bCs/>
          <w:color w:val="auto"/>
          <w:szCs w:val="21"/>
          <w:highlight w:val="none"/>
          <w:lang w:eastAsia="zh-CN"/>
        </w:rPr>
        <w:t>【</w:t>
      </w:r>
      <w:r>
        <w:rPr>
          <w:rFonts w:hint="eastAsia" w:ascii="楷体_GB2312" w:hAnsi="宋体" w:eastAsia="楷体_GB2312"/>
          <w:b/>
          <w:bCs/>
          <w:color w:val="auto"/>
          <w:szCs w:val="21"/>
          <w:highlight w:val="none"/>
        </w:rPr>
        <w:t>非保本浮动收益型</w:t>
      </w:r>
      <w:r>
        <w:rPr>
          <w:rFonts w:hint="eastAsia" w:ascii="楷体_GB2312" w:hAnsi="宋体" w:eastAsia="楷体_GB2312"/>
          <w:b/>
          <w:bCs/>
          <w:color w:val="auto"/>
          <w:szCs w:val="21"/>
          <w:highlight w:val="none"/>
          <w:lang w:eastAsia="zh-CN"/>
        </w:rPr>
        <w:t>】</w:t>
      </w:r>
      <w:r>
        <w:rPr>
          <w:rFonts w:hint="eastAsia" w:ascii="楷体_GB2312" w:hAnsi="宋体" w:eastAsia="楷体_GB2312"/>
          <w:b/>
          <w:bCs/>
          <w:color w:val="auto"/>
          <w:szCs w:val="21"/>
          <w:highlight w:val="none"/>
        </w:rPr>
        <w:t>理财产品，不保证本金和收益，您的本金可能会因市场变动及上述风险因素而蒙受损失，您应充分认识投资风险，谨慎投资</w:t>
      </w:r>
      <w:r>
        <w:rPr>
          <w:rFonts w:hint="eastAsia" w:ascii="楷体_GB2312" w:hAnsi="宋体" w:eastAsia="楷体_GB2312"/>
          <w:b/>
          <w:bCs/>
          <w:color w:val="auto"/>
          <w:szCs w:val="21"/>
        </w:rPr>
        <w:t>。</w:t>
      </w:r>
    </w:p>
    <w:p>
      <w:pPr>
        <w:snapToGrid w:val="0"/>
        <w:spacing w:line="360" w:lineRule="auto"/>
        <w:ind w:firstLine="422" w:firstLineChars="200"/>
        <w:rPr>
          <w:rFonts w:ascii="楷体_GB2312" w:hAnsi="宋体"/>
          <w:b/>
          <w:color w:val="000000"/>
          <w:kern w:val="0"/>
        </w:rPr>
      </w:pPr>
      <w:bookmarkStart w:id="1" w:name="OLE_LINK2"/>
      <w:r>
        <w:rPr>
          <w:rFonts w:hint="eastAsia" w:ascii="楷体_GB2312" w:hAnsi="宋体" w:eastAsia="楷体_GB2312" w:cs="宋体"/>
          <w:b/>
          <w:bCs/>
          <w:color w:val="auto"/>
          <w:kern w:val="0"/>
          <w:szCs w:val="21"/>
        </w:rPr>
        <w:t>（七）</w:t>
      </w:r>
      <w:bookmarkEnd w:id="1"/>
      <w:r>
        <w:rPr>
          <w:rFonts w:ascii="楷体_GB2312" w:hAnsi="宋体" w:eastAsia="楷体_GB2312" w:cs="宋体"/>
          <w:b/>
          <w:bCs/>
          <w:color w:val="auto"/>
          <w:kern w:val="0"/>
          <w:szCs w:val="21"/>
        </w:rPr>
        <w:t>产品管理人在此特别披露：</w:t>
      </w:r>
      <w:r>
        <w:rPr>
          <w:rFonts w:hint="eastAsia" w:ascii="楷体_GB2312" w:hAnsi="宋体" w:eastAsia="楷体_GB2312" w:cs="宋体"/>
          <w:b/>
          <w:bCs/>
          <w:color w:val="auto"/>
          <w:kern w:val="0"/>
          <w:szCs w:val="21"/>
        </w:rPr>
        <w:t>管理人</w:t>
      </w:r>
      <w:r>
        <w:rPr>
          <w:rFonts w:ascii="楷体_GB2312" w:hAnsi="宋体" w:eastAsia="楷体_GB2312" w:cs="宋体"/>
          <w:b/>
          <w:bCs/>
          <w:color w:val="auto"/>
          <w:kern w:val="0"/>
          <w:szCs w:val="21"/>
        </w:rPr>
        <w:t>委托</w:t>
      </w:r>
      <w:r>
        <w:rPr>
          <w:rFonts w:hint="eastAsia" w:ascii="楷体_GB2312" w:hAnsi="宋体" w:eastAsia="楷体_GB2312" w:cs="宋体"/>
          <w:b/>
          <w:bCs/>
          <w:color w:val="auto"/>
          <w:kern w:val="0"/>
          <w:szCs w:val="21"/>
          <w:lang w:eastAsia="zh-CN"/>
        </w:rPr>
        <w:t>【</w:t>
      </w:r>
      <w:r>
        <w:rPr>
          <w:rFonts w:ascii="楷体_GB2312" w:hAnsi="宋体" w:eastAsia="楷体_GB2312" w:cs="宋体"/>
          <w:b/>
          <w:bCs/>
          <w:color w:val="auto"/>
          <w:kern w:val="0"/>
          <w:szCs w:val="21"/>
        </w:rPr>
        <w:t>上海银行股份有限公司（以下简称“上海银行”）</w:t>
      </w:r>
      <w:r>
        <w:rPr>
          <w:rFonts w:hint="eastAsia" w:ascii="楷体_GB2312" w:hAnsi="宋体" w:eastAsia="楷体_GB2312" w:cs="宋体"/>
          <w:b/>
          <w:bCs/>
          <w:color w:val="auto"/>
          <w:kern w:val="0"/>
          <w:szCs w:val="21"/>
          <w:lang w:eastAsia="zh-CN"/>
        </w:rPr>
        <w:t>】</w:t>
      </w:r>
      <w:r>
        <w:rPr>
          <w:rFonts w:hint="eastAsia" w:ascii="楷体_GB2312" w:hAnsi="宋体" w:eastAsia="楷体_GB2312" w:cs="宋体"/>
          <w:b/>
          <w:bCs/>
          <w:color w:val="auto"/>
          <w:kern w:val="0"/>
          <w:szCs w:val="21"/>
        </w:rPr>
        <w:t>作为本</w:t>
      </w:r>
      <w:r>
        <w:rPr>
          <w:rFonts w:ascii="楷体_GB2312" w:hAnsi="宋体" w:eastAsia="楷体_GB2312" w:cs="宋体"/>
          <w:b/>
          <w:bCs/>
          <w:color w:val="auto"/>
          <w:kern w:val="0"/>
          <w:szCs w:val="21"/>
        </w:rPr>
        <w:t>产品的托管</w:t>
      </w:r>
      <w:r>
        <w:rPr>
          <w:rFonts w:hint="eastAsia" w:ascii="楷体_GB2312" w:hAnsi="宋体" w:eastAsia="楷体_GB2312" w:cs="宋体"/>
          <w:b/>
          <w:bCs/>
          <w:color w:val="auto"/>
          <w:kern w:val="0"/>
          <w:szCs w:val="21"/>
        </w:rPr>
        <w:t>机构</w:t>
      </w:r>
      <w:r>
        <w:rPr>
          <w:rFonts w:ascii="楷体_GB2312" w:hAnsi="宋体" w:eastAsia="楷体_GB2312" w:cs="宋体"/>
          <w:b/>
          <w:bCs/>
          <w:color w:val="auto"/>
          <w:kern w:val="0"/>
          <w:szCs w:val="21"/>
        </w:rPr>
        <w:t>。</w:t>
      </w:r>
      <w:r>
        <w:rPr>
          <w:rFonts w:hint="eastAsia" w:ascii="楷体_GB2312" w:hAnsi="宋体" w:eastAsia="楷体_GB2312" w:cs="宋体"/>
          <w:b/>
          <w:bCs/>
          <w:color w:val="auto"/>
          <w:kern w:val="0"/>
          <w:szCs w:val="21"/>
        </w:rPr>
        <w:t>管理人系由</w:t>
      </w:r>
      <w:r>
        <w:rPr>
          <w:rFonts w:ascii="楷体_GB2312" w:hAnsi="宋体" w:eastAsia="楷体_GB2312" w:cs="宋体"/>
          <w:b/>
          <w:bCs/>
          <w:color w:val="auto"/>
          <w:kern w:val="0"/>
          <w:szCs w:val="21"/>
        </w:rPr>
        <w:t>上海银行</w:t>
      </w:r>
      <w:r>
        <w:rPr>
          <w:rFonts w:ascii="楷体_GB2312" w:hAnsi="宋体" w:eastAsia="楷体_GB2312" w:cs="宋体"/>
          <w:b/>
          <w:bCs/>
          <w:color w:val="000000"/>
          <w:kern w:val="0"/>
          <w:szCs w:val="21"/>
        </w:rPr>
        <w:t>设立的全资理财子公司，因此，</w:t>
      </w:r>
      <w:r>
        <w:rPr>
          <w:rFonts w:hint="eastAsia" w:ascii="楷体_GB2312" w:hAnsi="宋体" w:eastAsia="楷体_GB2312" w:cs="宋体"/>
          <w:b/>
          <w:bCs/>
          <w:color w:val="000000"/>
          <w:kern w:val="0"/>
          <w:szCs w:val="21"/>
        </w:rPr>
        <w:t>上海银行</w:t>
      </w:r>
      <w:r>
        <w:rPr>
          <w:rFonts w:ascii="楷体_GB2312" w:hAnsi="宋体" w:eastAsia="楷体_GB2312" w:cs="宋体"/>
          <w:b/>
          <w:bCs/>
          <w:color w:val="000000"/>
          <w:kern w:val="0"/>
          <w:szCs w:val="21"/>
        </w:rPr>
        <w:t>属于管理人的关联方</w:t>
      </w:r>
      <w:r>
        <w:rPr>
          <w:rFonts w:hint="eastAsia" w:ascii="楷体_GB2312" w:hAnsi="宋体" w:eastAsia="楷体_GB2312" w:cs="宋体"/>
          <w:b/>
          <w:bCs/>
          <w:color w:val="000000"/>
          <w:kern w:val="0"/>
          <w:szCs w:val="21"/>
        </w:rPr>
        <w:t>。尽管</w:t>
      </w:r>
      <w:r>
        <w:rPr>
          <w:rFonts w:ascii="楷体_GB2312" w:hAnsi="宋体" w:eastAsia="楷体_GB2312" w:cs="宋体"/>
          <w:b/>
          <w:bCs/>
          <w:color w:val="000000"/>
          <w:kern w:val="0"/>
          <w:szCs w:val="21"/>
        </w:rPr>
        <w:t>管理人将严格遵守法律、行政法规和金融监管部门的</w:t>
      </w:r>
      <w:r>
        <w:rPr>
          <w:rFonts w:hint="eastAsia" w:ascii="楷体_GB2312" w:hAnsi="宋体" w:eastAsia="楷体_GB2312" w:cs="宋体"/>
          <w:b/>
          <w:bCs/>
          <w:color w:val="000000"/>
          <w:kern w:val="0"/>
          <w:szCs w:val="21"/>
        </w:rPr>
        <w:t>规定</w:t>
      </w:r>
      <w:r>
        <w:rPr>
          <w:rFonts w:ascii="楷体_GB2312" w:hAnsi="宋体" w:eastAsia="楷体_GB2312" w:cs="宋体"/>
          <w:b/>
          <w:bCs/>
          <w:color w:val="000000"/>
          <w:kern w:val="0"/>
          <w:szCs w:val="21"/>
        </w:rPr>
        <w:t>对关联</w:t>
      </w:r>
      <w:r>
        <w:rPr>
          <w:rFonts w:hint="eastAsia" w:ascii="楷体_GB2312" w:hAnsi="宋体" w:eastAsia="楷体_GB2312" w:cs="宋体"/>
          <w:b/>
          <w:bCs/>
          <w:color w:val="000000"/>
          <w:kern w:val="0"/>
          <w:szCs w:val="21"/>
        </w:rPr>
        <w:t>交易</w:t>
      </w:r>
      <w:r>
        <w:rPr>
          <w:rFonts w:ascii="楷体_GB2312" w:hAnsi="宋体" w:eastAsia="楷体_GB2312" w:cs="宋体"/>
          <w:b/>
          <w:bCs/>
          <w:color w:val="000000"/>
          <w:kern w:val="0"/>
          <w:szCs w:val="21"/>
        </w:rPr>
        <w:t>进行审批、备案并进行充分</w:t>
      </w:r>
      <w:r>
        <w:rPr>
          <w:rFonts w:hint="eastAsia" w:ascii="楷体_GB2312" w:hAnsi="宋体" w:eastAsia="楷体_GB2312" w:cs="宋体"/>
          <w:b/>
          <w:bCs/>
          <w:color w:val="000000"/>
          <w:kern w:val="0"/>
          <w:szCs w:val="21"/>
        </w:rPr>
        <w:t>披露</w:t>
      </w:r>
      <w:r>
        <w:rPr>
          <w:rFonts w:ascii="楷体_GB2312" w:hAnsi="宋体" w:eastAsia="楷体_GB2312" w:cs="宋体"/>
          <w:b/>
          <w:bCs/>
          <w:color w:val="000000"/>
          <w:kern w:val="0"/>
          <w:szCs w:val="21"/>
        </w:rPr>
        <w:t>，不</w:t>
      </w:r>
      <w:r>
        <w:rPr>
          <w:rFonts w:hint="eastAsia" w:ascii="楷体_GB2312" w:hAnsi="宋体" w:eastAsia="楷体_GB2312" w:cs="宋体"/>
          <w:b/>
          <w:bCs/>
          <w:color w:val="000000"/>
          <w:kern w:val="0"/>
          <w:szCs w:val="21"/>
        </w:rPr>
        <w:t>会</w:t>
      </w:r>
      <w:r>
        <w:rPr>
          <w:rFonts w:ascii="楷体_GB2312" w:hAnsi="宋体" w:eastAsia="楷体_GB2312" w:cs="宋体"/>
          <w:b/>
          <w:bCs/>
          <w:color w:val="000000"/>
          <w:kern w:val="0"/>
          <w:szCs w:val="21"/>
        </w:rPr>
        <w:t>以本理财</w:t>
      </w:r>
      <w:r>
        <w:rPr>
          <w:rFonts w:hint="eastAsia" w:ascii="楷体_GB2312" w:hAnsi="宋体" w:eastAsia="楷体_GB2312" w:cs="宋体"/>
          <w:b/>
          <w:bCs/>
          <w:color w:val="000000"/>
          <w:kern w:val="0"/>
          <w:szCs w:val="21"/>
        </w:rPr>
        <w:t>产品</w:t>
      </w:r>
      <w:r>
        <w:rPr>
          <w:rFonts w:ascii="楷体_GB2312" w:hAnsi="宋体" w:eastAsia="楷体_GB2312" w:cs="宋体"/>
          <w:b/>
          <w:bCs/>
          <w:color w:val="000000"/>
          <w:kern w:val="0"/>
          <w:szCs w:val="21"/>
        </w:rPr>
        <w:t>与关联方进行不正当交易、利益输送等违反相关监管规定的行为，以尽力降低关联交易风险，但</w:t>
      </w:r>
      <w:r>
        <w:rPr>
          <w:rFonts w:hint="eastAsia" w:ascii="楷体_GB2312" w:hAnsi="宋体" w:eastAsia="楷体_GB2312" w:cs="宋体"/>
          <w:b/>
          <w:bCs/>
          <w:color w:val="000000"/>
          <w:kern w:val="0"/>
          <w:szCs w:val="21"/>
        </w:rPr>
        <w:t>仍存在</w:t>
      </w:r>
      <w:r>
        <w:rPr>
          <w:rFonts w:ascii="楷体_GB2312" w:hAnsi="宋体" w:eastAsia="楷体_GB2312" w:cs="宋体"/>
          <w:b/>
          <w:bCs/>
          <w:color w:val="000000"/>
          <w:kern w:val="0"/>
          <w:szCs w:val="21"/>
        </w:rPr>
        <w:t>无法完全排除关联</w:t>
      </w:r>
      <w:r>
        <w:rPr>
          <w:rFonts w:hint="eastAsia" w:ascii="楷体_GB2312" w:hAnsi="宋体" w:eastAsia="楷体_GB2312" w:cs="宋体"/>
          <w:b/>
          <w:bCs/>
          <w:color w:val="000000"/>
          <w:kern w:val="0"/>
          <w:szCs w:val="21"/>
        </w:rPr>
        <w:t>交易</w:t>
      </w:r>
      <w:r>
        <w:rPr>
          <w:rFonts w:ascii="楷体_GB2312" w:hAnsi="宋体" w:eastAsia="楷体_GB2312" w:cs="宋体"/>
          <w:b/>
          <w:bCs/>
          <w:color w:val="000000"/>
          <w:kern w:val="0"/>
          <w:szCs w:val="21"/>
        </w:rPr>
        <w:t>可能导致</w:t>
      </w:r>
      <w:r>
        <w:rPr>
          <w:rFonts w:hint="eastAsia" w:ascii="楷体_GB2312" w:hAnsi="宋体" w:eastAsia="楷体_GB2312" w:cs="宋体"/>
          <w:b/>
          <w:bCs/>
          <w:color w:val="000000"/>
          <w:kern w:val="0"/>
          <w:szCs w:val="21"/>
        </w:rPr>
        <w:t>的</w:t>
      </w:r>
      <w:r>
        <w:rPr>
          <w:rFonts w:ascii="楷体_GB2312" w:hAnsi="宋体" w:eastAsia="楷体_GB2312" w:cs="宋体"/>
          <w:b/>
          <w:bCs/>
          <w:color w:val="000000"/>
          <w:kern w:val="0"/>
          <w:szCs w:val="21"/>
        </w:rPr>
        <w:t>不利影响和投资风险。</w:t>
      </w:r>
    </w:p>
    <w:p>
      <w:pPr>
        <w:snapToGrid w:val="0"/>
        <w:spacing w:line="360" w:lineRule="auto"/>
        <w:ind w:firstLine="422" w:firstLineChars="200"/>
        <w:rPr>
          <w:rFonts w:ascii="楷体_GB2312" w:hAnsi="宋体" w:eastAsia="楷体_GB2312" w:cs="宋体"/>
          <w:b/>
          <w:bCs/>
          <w:color w:val="000000"/>
          <w:kern w:val="0"/>
          <w:szCs w:val="21"/>
        </w:rPr>
      </w:pPr>
      <w:r>
        <w:rPr>
          <w:rFonts w:hint="eastAsia" w:ascii="楷体_GB2312" w:hAnsi="宋体" w:eastAsia="楷体_GB2312" w:cs="宋体"/>
          <w:b/>
          <w:bCs/>
          <w:color w:val="000000"/>
          <w:kern w:val="0"/>
          <w:szCs w:val="21"/>
        </w:rPr>
        <w:t>（八）在购买本理财产品后，请您随时关注本理财产品的信息披露情况，及时获取相关信息。</w:t>
      </w:r>
    </w:p>
    <w:p>
      <w:pPr>
        <w:snapToGrid w:val="0"/>
        <w:spacing w:line="360" w:lineRule="auto"/>
        <w:ind w:firstLine="413" w:firstLineChars="196"/>
        <w:rPr>
          <w:rFonts w:ascii="楷体_GB2312" w:hAnsi="宋体" w:eastAsia="楷体_GB2312"/>
          <w:b/>
          <w:bCs/>
          <w:szCs w:val="21"/>
        </w:rPr>
      </w:pPr>
      <w:r>
        <w:rPr>
          <w:rFonts w:hint="eastAsia" w:ascii="楷体_GB2312" w:hAnsi="宋体" w:eastAsia="楷体_GB2312"/>
          <w:b/>
          <w:bCs/>
          <w:szCs w:val="21"/>
        </w:rPr>
        <w:t>（九）</w:t>
      </w:r>
      <w:r>
        <w:rPr>
          <w:rFonts w:ascii="楷体_GB2312" w:hAnsi="宋体" w:eastAsia="楷体_GB2312"/>
          <w:b/>
          <w:bCs/>
          <w:szCs w:val="21"/>
        </w:rPr>
        <w:t>本《风险揭示书》及相应《投资协议书》、《产品说明书》将共同构成</w:t>
      </w:r>
      <w:r>
        <w:rPr>
          <w:rFonts w:hint="eastAsia" w:ascii="楷体_GB2312" w:hAnsi="宋体" w:eastAsia="楷体_GB2312"/>
          <w:b/>
          <w:bCs/>
          <w:szCs w:val="21"/>
        </w:rPr>
        <w:t>贵我</w:t>
      </w:r>
      <w:r>
        <w:rPr>
          <w:rFonts w:ascii="楷体_GB2312" w:hAnsi="宋体" w:eastAsia="楷体_GB2312"/>
          <w:b/>
          <w:bCs/>
          <w:szCs w:val="21"/>
        </w:rPr>
        <w:t>双方理财合同的有效组成部分，本《风险揭示书》中用语的定义与《产品说明书》中的用语定义一致</w:t>
      </w:r>
      <w:r>
        <w:rPr>
          <w:rFonts w:hint="eastAsia" w:ascii="楷体_GB2312" w:hAnsi="宋体" w:eastAsia="楷体_GB2312"/>
          <w:b/>
          <w:bCs/>
          <w:szCs w:val="21"/>
        </w:rPr>
        <w:t>。</w:t>
      </w:r>
      <w:r>
        <w:rPr>
          <w:rFonts w:ascii="楷体_GB2312" w:hAnsi="宋体" w:eastAsia="楷体_GB2312"/>
          <w:b/>
          <w:bCs/>
          <w:szCs w:val="21"/>
        </w:rPr>
        <w:t>投资者签署</w:t>
      </w:r>
      <w:r>
        <w:rPr>
          <w:rFonts w:hint="eastAsia" w:ascii="楷体_GB2312" w:hAnsi="宋体" w:eastAsia="楷体_GB2312"/>
          <w:b/>
          <w:bCs/>
          <w:szCs w:val="21"/>
        </w:rPr>
        <w:t>上述</w:t>
      </w:r>
      <w:r>
        <w:rPr>
          <w:rFonts w:ascii="楷体_GB2312" w:hAnsi="宋体" w:eastAsia="楷体_GB2312"/>
          <w:b/>
          <w:bCs/>
          <w:szCs w:val="21"/>
        </w:rPr>
        <w:t>合同文本并将资金委托给</w:t>
      </w:r>
      <w:r>
        <w:rPr>
          <w:rFonts w:hint="eastAsia" w:ascii="楷体_GB2312" w:hAnsi="宋体" w:eastAsia="楷体_GB2312"/>
          <w:b/>
          <w:bCs/>
          <w:szCs w:val="21"/>
        </w:rPr>
        <w:t>上银</w:t>
      </w:r>
      <w:r>
        <w:rPr>
          <w:rFonts w:ascii="楷体_GB2312" w:hAnsi="宋体" w:eastAsia="楷体_GB2312"/>
          <w:b/>
          <w:bCs/>
          <w:szCs w:val="21"/>
        </w:rPr>
        <w:t>理财运作是投资者真实的意思表示，投资者已知悉并理解理财</w:t>
      </w:r>
      <w:r>
        <w:rPr>
          <w:rFonts w:hint="eastAsia" w:ascii="楷体_GB2312" w:hAnsi="宋体" w:eastAsia="楷体_GB2312"/>
          <w:b/>
          <w:bCs/>
          <w:szCs w:val="21"/>
        </w:rPr>
        <w:t>产品</w:t>
      </w:r>
      <w:r>
        <w:rPr>
          <w:rFonts w:ascii="楷体_GB2312" w:hAnsi="宋体" w:eastAsia="楷体_GB2312"/>
          <w:b/>
          <w:bCs/>
          <w:szCs w:val="21"/>
        </w:rPr>
        <w:t>的全部风险，并自愿承担由此带来的一切后果。</w:t>
      </w:r>
      <w:r>
        <w:rPr>
          <w:rFonts w:hint="eastAsia" w:ascii="楷体_GB2312" w:hAnsi="宋体" w:eastAsia="楷体_GB2312"/>
          <w:b/>
          <w:bCs/>
          <w:szCs w:val="21"/>
        </w:rPr>
        <w:t>在您签署本理财产品相关协议前，请仔细阅读上述文件，并向管理人或</w:t>
      </w:r>
      <w:r>
        <w:rPr>
          <w:rFonts w:ascii="楷体_GB2312" w:hAnsi="宋体" w:eastAsia="楷体_GB2312"/>
          <w:b/>
          <w:bCs/>
          <w:szCs w:val="21"/>
        </w:rPr>
        <w:t>销售机构</w:t>
      </w:r>
      <w:r>
        <w:rPr>
          <w:rFonts w:hint="eastAsia" w:ascii="楷体_GB2312" w:hAnsi="宋体" w:eastAsia="楷体_GB2312"/>
          <w:b/>
          <w:bCs/>
          <w:szCs w:val="21"/>
        </w:rPr>
        <w:t>了解理财产品具体情况，独立作出认购</w:t>
      </w:r>
      <w:r>
        <w:rPr>
          <w:rFonts w:hint="eastAsia" w:ascii="楷体_GB2312" w:hAnsi="宋体" w:eastAsia="楷体_GB2312"/>
          <w:b/>
          <w:bCs/>
          <w:szCs w:val="21"/>
          <w:lang w:val="en-US" w:eastAsia="zh-CN"/>
        </w:rPr>
        <w:t>/申购</w:t>
      </w:r>
      <w:r>
        <w:rPr>
          <w:rFonts w:hint="eastAsia" w:ascii="楷体_GB2312" w:hAnsi="宋体" w:eastAsia="楷体_GB2312"/>
          <w:b/>
          <w:bCs/>
          <w:szCs w:val="21"/>
        </w:rPr>
        <w:t>决定。</w:t>
      </w:r>
    </w:p>
    <w:p>
      <w:pPr>
        <w:snapToGrid w:val="0"/>
        <w:spacing w:line="360" w:lineRule="auto"/>
        <w:ind w:firstLine="413" w:firstLineChars="196"/>
        <w:outlineLvl w:val="0"/>
        <w:rPr>
          <w:rFonts w:ascii="楷体_GB2312" w:hAnsi="宋体" w:eastAsia="楷体_GB2312"/>
          <w:b/>
          <w:bCs/>
          <w:szCs w:val="21"/>
        </w:rPr>
      </w:pPr>
      <w:r>
        <w:rPr>
          <w:rFonts w:hint="eastAsia" w:ascii="楷体_GB2312" w:hAnsi="宋体" w:eastAsia="楷体_GB2312"/>
          <w:b/>
          <w:bCs/>
          <w:szCs w:val="21"/>
        </w:rPr>
        <w:t>三、最不利投资情形下风险示例</w:t>
      </w:r>
    </w:p>
    <w:p>
      <w:pPr>
        <w:snapToGrid w:val="0"/>
        <w:spacing w:line="360" w:lineRule="auto"/>
        <w:ind w:firstLine="413" w:firstLineChars="196"/>
        <w:rPr>
          <w:rFonts w:ascii="楷体_GB2312" w:hAnsi="宋体" w:eastAsia="楷体_GB2312"/>
          <w:b/>
          <w:bCs/>
          <w:szCs w:val="21"/>
        </w:rPr>
      </w:pPr>
      <w:r>
        <w:rPr>
          <w:rFonts w:hint="eastAsia" w:ascii="楷体_GB2312" w:hAnsi="宋体" w:eastAsia="楷体_GB2312"/>
          <w:b/>
          <w:bCs/>
          <w:szCs w:val="21"/>
        </w:rPr>
        <w:t>最不利投资情形风险指在非政策风险、不可抗力风险、客户违约、产品投资运作中出现风险等最不利的情况下，客户到期可兑付金额有可能为零。</w:t>
      </w:r>
    </w:p>
    <w:p>
      <w:pPr>
        <w:snapToGrid w:val="0"/>
        <w:spacing w:line="360" w:lineRule="auto"/>
        <w:ind w:firstLine="413" w:firstLineChars="196"/>
        <w:rPr>
          <w:rFonts w:hint="eastAsia" w:ascii="楷体_GB2312" w:hAnsi="宋体" w:eastAsia="楷体_GB2312" w:cs="宋体"/>
          <w:b/>
          <w:bCs/>
          <w:color w:val="000000"/>
          <w:kern w:val="0"/>
          <w:szCs w:val="21"/>
          <w:u w:val="single"/>
        </w:rPr>
      </w:pPr>
      <w:r>
        <w:rPr>
          <w:rFonts w:hint="eastAsia" w:ascii="楷体_GB2312" w:hAnsi="宋体" w:eastAsia="楷体_GB2312" w:cs="宋体"/>
          <w:b/>
          <w:bCs/>
          <w:color w:val="000000"/>
          <w:kern w:val="0"/>
          <w:szCs w:val="21"/>
          <w:u w:val="single"/>
        </w:rPr>
        <w:t>管理人郑重提示：在购买理财产品前，您应确保自己完全明白该项投资的性质和所涉及的风险，详细了解和审慎评估该理财产品的资金投资方向、风险类型及收益等基本情况，在慎重考虑后自行决定购买与自身风险承受能力和资产管理需求相匹配的理财产品。</w:t>
      </w:r>
    </w:p>
    <w:p>
      <w:pPr>
        <w:snapToGrid w:val="0"/>
        <w:spacing w:line="360" w:lineRule="auto"/>
        <w:ind w:firstLine="413" w:firstLineChars="196"/>
        <w:rPr>
          <w:rFonts w:hint="eastAsia" w:ascii="楷体_GB2312" w:hAnsi="宋体" w:eastAsia="楷体_GB2312" w:cs="宋体"/>
          <w:b/>
          <w:bCs/>
          <w:color w:val="000000"/>
          <w:kern w:val="0"/>
          <w:szCs w:val="21"/>
          <w:u w:val="single"/>
        </w:rPr>
      </w:pPr>
    </w:p>
    <w:p>
      <w:pPr>
        <w:ind w:firstLine="0" w:firstLineChars="0"/>
        <w:jc w:val="right"/>
        <w:rPr>
          <w:rFonts w:hint="eastAsia" w:ascii="楷体_GB2312" w:hAnsi="宋体" w:eastAsia="楷体_GB2312"/>
          <w:b/>
          <w:bCs/>
          <w:szCs w:val="21"/>
        </w:rPr>
      </w:pPr>
      <w:r>
        <w:rPr>
          <w:rFonts w:hint="eastAsia" w:ascii="楷体_GB2312" w:hAnsi="宋体" w:eastAsia="楷体_GB2312"/>
          <w:b/>
          <w:bCs/>
          <w:szCs w:val="21"/>
        </w:rPr>
        <w:t>提示方：上银理财有限责任公司</w:t>
      </w:r>
    </w:p>
    <w:p>
      <w:pPr>
        <w:ind w:firstLine="0" w:firstLineChars="0"/>
        <w:jc w:val="left"/>
        <w:rPr>
          <w:rFonts w:hint="eastAsia" w:ascii="楷体_GB2312" w:hAnsi="宋体" w:eastAsia="楷体_GB2312"/>
          <w:b/>
          <w:bCs/>
          <w:szCs w:val="21"/>
        </w:rPr>
      </w:pPr>
      <w:r>
        <w:rPr>
          <w:rFonts w:hint="eastAsia" w:ascii="楷体_GB2312" w:hAnsi="宋体" w:eastAsia="楷体_GB2312"/>
          <w:b/>
          <w:bCs/>
          <w:szCs w:val="21"/>
        </w:rPr>
        <w:br w:type="page"/>
      </w:r>
    </w:p>
    <w:p>
      <w:pPr>
        <w:ind w:firstLine="422" w:firstLineChars="200"/>
        <w:jc w:val="center"/>
        <w:outlineLvl w:val="0"/>
        <w:rPr>
          <w:rFonts w:ascii="楷体" w:hAnsi="楷体" w:eastAsia="楷体"/>
          <w:b/>
          <w:bCs/>
        </w:rPr>
      </w:pPr>
      <w:r>
        <w:rPr>
          <w:rFonts w:hint="eastAsia" w:ascii="楷体" w:hAnsi="楷体" w:eastAsia="楷体"/>
          <w:b/>
          <w:bCs/>
        </w:rPr>
        <w:t>客户确认栏</w:t>
      </w:r>
    </w:p>
    <w:p>
      <w:pPr>
        <w:ind w:firstLine="422" w:firstLineChars="200"/>
        <w:rPr>
          <w:rFonts w:ascii="楷体" w:hAnsi="楷体" w:eastAsia="楷体"/>
          <w:b/>
          <w:bCs/>
        </w:rPr>
      </w:pPr>
    </w:p>
    <w:p>
      <w:pPr>
        <w:snapToGrid w:val="0"/>
        <w:spacing w:line="360" w:lineRule="auto"/>
        <w:ind w:firstLine="413" w:firstLineChars="196"/>
        <w:rPr>
          <w:rFonts w:ascii="楷体_GB2312" w:hAnsi="宋体" w:eastAsia="楷体_GB2312"/>
          <w:b/>
          <w:bCs/>
          <w:szCs w:val="21"/>
        </w:rPr>
      </w:pPr>
      <w:r>
        <w:rPr>
          <w:rFonts w:hint="eastAsia" w:ascii="楷体_GB2312" w:hAnsi="宋体" w:eastAsia="楷体_GB2312"/>
          <w:b/>
          <w:bCs/>
          <w:szCs w:val="21"/>
        </w:rPr>
        <w:t>本人</w:t>
      </w:r>
      <w:r>
        <w:rPr>
          <w:rFonts w:ascii="楷体_GB2312" w:hAnsi="宋体" w:eastAsia="楷体_GB2312"/>
          <w:b/>
          <w:bCs/>
          <w:szCs w:val="21"/>
        </w:rPr>
        <w:t>/</w:t>
      </w:r>
      <w:r>
        <w:rPr>
          <w:rFonts w:hint="eastAsia" w:ascii="楷体_GB2312" w:hAnsi="宋体" w:eastAsia="楷体_GB2312"/>
          <w:b/>
          <w:bCs/>
          <w:szCs w:val="21"/>
        </w:rPr>
        <w:t>本机构确认本</w:t>
      </w:r>
      <w:r>
        <w:rPr>
          <w:rFonts w:ascii="楷体_GB2312" w:hAnsi="宋体" w:eastAsia="楷体_GB2312"/>
          <w:b/>
          <w:bCs/>
          <w:szCs w:val="21"/>
        </w:rPr>
        <w:t>理财产品</w:t>
      </w:r>
      <w:r>
        <w:rPr>
          <w:rFonts w:hint="eastAsia" w:ascii="楷体_GB2312" w:hAnsi="宋体" w:eastAsia="楷体_GB2312"/>
          <w:b/>
          <w:bCs/>
          <w:szCs w:val="21"/>
        </w:rPr>
        <w:t>完全适合本人</w:t>
      </w:r>
      <w:r>
        <w:rPr>
          <w:rFonts w:ascii="楷体_GB2312" w:hAnsi="宋体" w:eastAsia="楷体_GB2312"/>
          <w:b/>
          <w:bCs/>
          <w:szCs w:val="21"/>
        </w:rPr>
        <w:t>/</w:t>
      </w:r>
      <w:r>
        <w:rPr>
          <w:rFonts w:hint="eastAsia" w:ascii="楷体_GB2312" w:hAnsi="宋体" w:eastAsia="楷体_GB2312"/>
          <w:b/>
          <w:bCs/>
          <w:szCs w:val="21"/>
        </w:rPr>
        <w:t>本机构的投资目标，投资预期以及风险承受能力及投资经验。本人</w:t>
      </w:r>
      <w:r>
        <w:rPr>
          <w:rFonts w:ascii="楷体_GB2312" w:hAnsi="宋体" w:eastAsia="楷体_GB2312"/>
          <w:b/>
          <w:bCs/>
          <w:szCs w:val="21"/>
        </w:rPr>
        <w:t>/</w:t>
      </w:r>
      <w:r>
        <w:rPr>
          <w:rFonts w:hint="eastAsia" w:ascii="楷体_GB2312" w:hAnsi="宋体" w:eastAsia="楷体_GB2312"/>
          <w:b/>
          <w:bCs/>
          <w:szCs w:val="21"/>
        </w:rPr>
        <w:t>本机构购买</w:t>
      </w:r>
      <w:r>
        <w:rPr>
          <w:rFonts w:ascii="楷体_GB2312" w:hAnsi="宋体" w:eastAsia="楷体_GB2312"/>
          <w:b/>
          <w:bCs/>
          <w:szCs w:val="21"/>
        </w:rPr>
        <w:t>理财产品</w:t>
      </w:r>
      <w:r>
        <w:rPr>
          <w:rFonts w:hint="eastAsia" w:ascii="楷体_GB2312" w:hAnsi="宋体" w:eastAsia="楷体_GB2312"/>
          <w:b/>
          <w:bCs/>
          <w:szCs w:val="21"/>
        </w:rPr>
        <w:t>的资金为合法自有资金，不存在使用贷款、发行债券等筹集的非自有资金投资资产管理产品的情形，本人</w:t>
      </w:r>
      <w:r>
        <w:rPr>
          <w:rFonts w:ascii="楷体_GB2312" w:hAnsi="宋体" w:eastAsia="楷体_GB2312"/>
          <w:b/>
          <w:bCs/>
          <w:szCs w:val="21"/>
        </w:rPr>
        <w:t>/</w:t>
      </w:r>
      <w:r>
        <w:rPr>
          <w:rFonts w:hint="eastAsia" w:ascii="楷体_GB2312" w:hAnsi="宋体" w:eastAsia="楷体_GB2312"/>
          <w:b/>
          <w:bCs/>
          <w:szCs w:val="21"/>
        </w:rPr>
        <w:t>本机构承诺投资理财产品使用的资金来源合法合规，并且系为合法之目的投资本理财产品，而非为洗钱等违法犯罪之目的，本人</w:t>
      </w:r>
      <w:r>
        <w:rPr>
          <w:rFonts w:ascii="楷体_GB2312" w:hAnsi="宋体" w:eastAsia="楷体_GB2312"/>
          <w:b/>
          <w:bCs/>
          <w:szCs w:val="21"/>
        </w:rPr>
        <w:t>/</w:t>
      </w:r>
      <w:r>
        <w:rPr>
          <w:rFonts w:hint="eastAsia" w:ascii="楷体_GB2312" w:hAnsi="宋体" w:eastAsia="楷体_GB2312"/>
          <w:b/>
          <w:bCs/>
          <w:szCs w:val="21"/>
        </w:rPr>
        <w:t>本机构将配合</w:t>
      </w:r>
      <w:r>
        <w:rPr>
          <w:rFonts w:ascii="楷体_GB2312" w:hAnsi="宋体" w:eastAsia="楷体_GB2312"/>
          <w:b/>
          <w:bCs/>
          <w:szCs w:val="21"/>
        </w:rPr>
        <w:t>销售机构</w:t>
      </w:r>
      <w:r>
        <w:rPr>
          <w:rFonts w:hint="eastAsia" w:ascii="楷体_GB2312" w:hAnsi="宋体" w:eastAsia="楷体_GB2312"/>
          <w:b/>
          <w:bCs/>
          <w:szCs w:val="21"/>
        </w:rPr>
        <w:t>及理财产品管理人开展客户身份识别及反洗钱、反恐怖融资以及非居民金融账户涉税信息尽职调查活动，及时、真实、准确、完整提供身份信息及资金来源等信息。本人</w:t>
      </w:r>
      <w:r>
        <w:rPr>
          <w:rFonts w:ascii="楷体_GB2312" w:hAnsi="宋体" w:eastAsia="楷体_GB2312"/>
          <w:b/>
          <w:bCs/>
          <w:szCs w:val="21"/>
        </w:rPr>
        <w:t>/</w:t>
      </w:r>
      <w:r>
        <w:rPr>
          <w:rFonts w:hint="eastAsia" w:ascii="楷体_GB2312" w:hAnsi="宋体" w:eastAsia="楷体_GB2312"/>
          <w:b/>
          <w:bCs/>
          <w:szCs w:val="21"/>
        </w:rPr>
        <w:t>本机构确认</w:t>
      </w:r>
      <w:r>
        <w:rPr>
          <w:rFonts w:ascii="楷体_GB2312" w:hAnsi="宋体" w:eastAsia="楷体_GB2312"/>
          <w:b/>
          <w:bCs/>
          <w:szCs w:val="21"/>
        </w:rPr>
        <w:t>销售机构</w:t>
      </w:r>
      <w:r>
        <w:rPr>
          <w:rFonts w:hint="eastAsia" w:ascii="楷体_GB2312" w:hAnsi="宋体" w:eastAsia="楷体_GB2312"/>
          <w:b/>
          <w:bCs/>
          <w:szCs w:val="21"/>
        </w:rPr>
        <w:t>相关业务人员对于说明书中有关免除、限制管理人责任的条款，和管理人单方面拥有某些权利的条款已向本人</w:t>
      </w:r>
      <w:r>
        <w:rPr>
          <w:rFonts w:ascii="楷体_GB2312" w:hAnsi="宋体" w:eastAsia="楷体_GB2312"/>
          <w:b/>
          <w:bCs/>
          <w:szCs w:val="21"/>
        </w:rPr>
        <w:t>/</w:t>
      </w:r>
      <w:r>
        <w:rPr>
          <w:rFonts w:hint="eastAsia" w:ascii="楷体_GB2312" w:hAnsi="宋体" w:eastAsia="楷体_GB2312"/>
          <w:b/>
          <w:bCs/>
          <w:szCs w:val="21"/>
        </w:rPr>
        <w:t>本机构予以说明。</w:t>
      </w:r>
    </w:p>
    <w:p>
      <w:pPr>
        <w:ind w:firstLine="422" w:firstLineChars="200"/>
        <w:rPr>
          <w:rFonts w:ascii="楷体" w:hAnsi="楷体" w:eastAsia="楷体"/>
          <w:b/>
          <w:bCs/>
        </w:rPr>
      </w:pPr>
    </w:p>
    <w:p>
      <w:pPr>
        <w:ind w:firstLine="422" w:firstLineChars="200"/>
        <w:rPr>
          <w:rFonts w:ascii="楷体" w:hAnsi="楷体" w:eastAsia="楷体"/>
          <w:b/>
          <w:bCs/>
        </w:rPr>
      </w:pPr>
      <w:r>
        <w:rPr>
          <w:rFonts w:hint="eastAsia" w:ascii="楷体" w:hAnsi="楷体" w:eastAsia="楷体"/>
          <w:b/>
          <w:bCs/>
        </w:rPr>
        <w:t>本人/本机构</w:t>
      </w:r>
      <w:r>
        <w:rPr>
          <w:rFonts w:ascii="楷体" w:hAnsi="楷体" w:eastAsia="楷体"/>
          <w:b/>
          <w:bCs/>
        </w:rPr>
        <w:t>同时</w:t>
      </w:r>
      <w:r>
        <w:rPr>
          <w:rFonts w:hint="eastAsia" w:ascii="楷体" w:hAnsi="楷体" w:eastAsia="楷体"/>
          <w:b/>
          <w:bCs/>
        </w:rPr>
        <w:t>确认如下：</w:t>
      </w:r>
    </w:p>
    <w:p>
      <w:pPr>
        <w:ind w:firstLine="422" w:firstLineChars="200"/>
        <w:rPr>
          <w:rFonts w:ascii="楷体" w:hAnsi="楷体" w:eastAsia="楷体"/>
          <w:b/>
          <w:bCs/>
        </w:rPr>
      </w:pPr>
    </w:p>
    <w:p>
      <w:pPr>
        <w:ind w:firstLine="422" w:firstLineChars="200"/>
        <w:rPr>
          <w:rFonts w:ascii="楷体" w:hAnsi="楷体" w:eastAsia="楷体"/>
          <w:b/>
          <w:bCs/>
        </w:rPr>
      </w:pPr>
      <w:r>
        <w:rPr>
          <w:rFonts w:hint="eastAsia" w:ascii="楷体" w:hAnsi="楷体" w:eastAsia="楷体"/>
          <w:b/>
          <w:bCs/>
        </w:rPr>
        <w:t>※客户风险承受能力评级：（必须由客户填写）</w:t>
      </w:r>
    </w:p>
    <w:p>
      <w:pPr>
        <w:ind w:firstLine="422" w:firstLineChars="200"/>
        <w:rPr>
          <w:rFonts w:ascii="楷体" w:hAnsi="楷体" w:eastAsia="楷体"/>
          <w:b/>
          <w:bCs/>
        </w:rPr>
      </w:pPr>
      <w:r>
        <w:rPr>
          <w:rFonts w:hint="eastAsia" w:ascii="楷体" w:hAnsi="楷体" w:eastAsia="楷体"/>
          <w:b/>
          <w:bCs/>
          <w:u w:val="single"/>
        </w:rPr>
        <w:t xml:space="preserve">                             </w:t>
      </w:r>
      <w:r>
        <w:rPr>
          <w:rFonts w:hint="eastAsia" w:ascii="楷体" w:hAnsi="楷体" w:eastAsia="楷体"/>
          <w:b/>
          <w:bCs/>
        </w:rPr>
        <w:t>（保守型 / 稳健型 / 平衡型 / 成长型 / 进取型）</w:t>
      </w:r>
    </w:p>
    <w:p>
      <w:pPr>
        <w:ind w:firstLine="422" w:firstLineChars="200"/>
        <w:rPr>
          <w:rFonts w:ascii="楷体" w:hAnsi="楷体" w:eastAsia="楷体"/>
          <w:b/>
          <w:bCs/>
        </w:rPr>
      </w:pPr>
    </w:p>
    <w:p>
      <w:pPr>
        <w:ind w:firstLine="422" w:firstLineChars="200"/>
        <w:rPr>
          <w:rFonts w:ascii="楷体" w:hAnsi="楷体" w:eastAsia="楷体"/>
          <w:b/>
          <w:bCs/>
        </w:rPr>
      </w:pPr>
      <w:r>
        <w:rPr>
          <w:rFonts w:hint="eastAsia" w:ascii="楷体" w:hAnsi="楷体" w:eastAsia="楷体"/>
          <w:b/>
          <w:bCs/>
        </w:rPr>
        <w:t>※客户声明并抄录以下内容：</w:t>
      </w:r>
    </w:p>
    <w:p>
      <w:pPr>
        <w:ind w:firstLine="422" w:firstLineChars="200"/>
        <w:rPr>
          <w:rFonts w:ascii="楷体" w:hAnsi="楷体" w:eastAsia="楷体"/>
          <w:b/>
          <w:bCs/>
        </w:rPr>
      </w:pPr>
      <w:r>
        <w:rPr>
          <w:rFonts w:hint="eastAsia" w:ascii="楷体" w:hAnsi="楷体" w:eastAsia="楷体"/>
          <w:b/>
          <w:bCs/>
        </w:rPr>
        <w:t>“本人/本机构已经阅读风险揭示，充分了解并清楚知晓</w:t>
      </w:r>
      <w:r>
        <w:rPr>
          <w:rFonts w:ascii="楷体" w:hAnsi="楷体" w:eastAsia="楷体"/>
          <w:b/>
          <w:bCs/>
        </w:rPr>
        <w:t>本理财</w:t>
      </w:r>
      <w:r>
        <w:rPr>
          <w:rFonts w:hint="eastAsia" w:ascii="楷体" w:hAnsi="楷体" w:eastAsia="楷体"/>
          <w:b/>
          <w:bCs/>
        </w:rPr>
        <w:t>产品</w:t>
      </w:r>
      <w:r>
        <w:rPr>
          <w:rFonts w:ascii="楷体" w:hAnsi="楷体" w:eastAsia="楷体"/>
          <w:b/>
          <w:bCs/>
        </w:rPr>
        <w:t>的风险</w:t>
      </w:r>
      <w:r>
        <w:rPr>
          <w:rFonts w:hint="eastAsia" w:ascii="楷体" w:hAnsi="楷体" w:eastAsia="楷体"/>
          <w:b/>
          <w:bCs/>
        </w:rPr>
        <w:t>，愿意承担投资风险。”</w:t>
      </w:r>
    </w:p>
    <w:p>
      <w:pPr>
        <w:ind w:firstLine="422" w:firstLineChars="200"/>
        <w:rPr>
          <w:rFonts w:ascii="楷体" w:hAnsi="楷体" w:eastAsia="楷体"/>
          <w:b/>
          <w:bCs/>
          <w:u w:val="single"/>
        </w:rPr>
      </w:pPr>
      <w:r>
        <w:rPr>
          <w:rFonts w:hint="eastAsia" w:ascii="楷体" w:hAnsi="楷体" w:eastAsia="楷体"/>
          <w:b/>
          <w:bCs/>
          <w:u w:val="single"/>
        </w:rPr>
        <w:t xml:space="preserve">                                                                           </w:t>
      </w:r>
    </w:p>
    <w:p>
      <w:pPr>
        <w:rPr>
          <w:rFonts w:ascii="楷体" w:hAnsi="楷体" w:eastAsia="楷体"/>
          <w:b/>
          <w:bCs/>
          <w:u w:val="single"/>
        </w:rPr>
      </w:pPr>
      <w:r>
        <w:rPr>
          <w:rFonts w:hint="eastAsia" w:ascii="楷体" w:hAnsi="楷体" w:eastAsia="楷体"/>
          <w:b/>
          <w:bCs/>
          <w:u w:val="single"/>
        </w:rPr>
        <w:t xml:space="preserve">                                                                               </w:t>
      </w:r>
    </w:p>
    <w:p>
      <w:pPr>
        <w:ind w:firstLine="422" w:firstLineChars="200"/>
        <w:rPr>
          <w:rFonts w:ascii="楷体" w:hAnsi="楷体" w:eastAsia="楷体"/>
          <w:b/>
          <w:bCs/>
        </w:rPr>
      </w:pPr>
    </w:p>
    <w:p>
      <w:pPr>
        <w:ind w:firstLine="422" w:firstLineChars="200"/>
        <w:rPr>
          <w:rFonts w:ascii="楷体" w:hAnsi="楷体" w:eastAsia="楷体"/>
          <w:b/>
          <w:bCs/>
        </w:rPr>
      </w:pPr>
      <w:r>
        <w:rPr>
          <w:rFonts w:hint="eastAsia" w:ascii="楷体" w:hAnsi="楷体" w:eastAsia="楷体"/>
          <w:b/>
          <w:bCs/>
        </w:rPr>
        <w:t>确认人（签字</w:t>
      </w:r>
      <w:r>
        <w:rPr>
          <w:rFonts w:hint="eastAsia" w:ascii="楷体" w:hAnsi="楷体" w:eastAsia="楷体"/>
          <w:b/>
          <w:bCs/>
          <w:lang w:val="en-US" w:eastAsia="zh-CN"/>
        </w:rPr>
        <w:t>/签章</w:t>
      </w:r>
      <w:r>
        <w:rPr>
          <w:rFonts w:hint="eastAsia" w:ascii="楷体" w:hAnsi="楷体" w:eastAsia="楷体"/>
          <w:b/>
          <w:bCs/>
        </w:rPr>
        <w:t>）：</w:t>
      </w:r>
      <w:r>
        <w:rPr>
          <w:rFonts w:hint="eastAsia" w:ascii="楷体" w:hAnsi="楷体" w:eastAsia="楷体"/>
          <w:b/>
          <w:bCs/>
          <w:u w:val="single"/>
        </w:rPr>
        <w:t xml:space="preserve">                      </w:t>
      </w:r>
      <w:r>
        <w:rPr>
          <w:rFonts w:hint="eastAsia" w:ascii="楷体" w:hAnsi="楷体" w:eastAsia="楷体"/>
          <w:b/>
          <w:bCs/>
        </w:rPr>
        <w:t xml:space="preserve">       日期：</w:t>
      </w:r>
      <w:r>
        <w:rPr>
          <w:rFonts w:hint="eastAsia" w:ascii="楷体" w:hAnsi="楷体" w:eastAsia="楷体"/>
          <w:b/>
          <w:bCs/>
          <w:u w:val="single"/>
        </w:rPr>
        <w:t xml:space="preserve">     </w:t>
      </w:r>
      <w:r>
        <w:rPr>
          <w:rFonts w:hint="eastAsia" w:ascii="楷体" w:hAnsi="楷体" w:eastAsia="楷体"/>
          <w:b/>
          <w:bCs/>
        </w:rPr>
        <w:t>年</w:t>
      </w:r>
      <w:r>
        <w:rPr>
          <w:rFonts w:hint="eastAsia" w:ascii="楷体" w:hAnsi="楷体" w:eastAsia="楷体"/>
          <w:b/>
          <w:bCs/>
          <w:u w:val="single"/>
        </w:rPr>
        <w:t xml:space="preserve">     </w:t>
      </w:r>
      <w:r>
        <w:rPr>
          <w:rFonts w:hint="eastAsia" w:ascii="楷体" w:hAnsi="楷体" w:eastAsia="楷体"/>
          <w:b/>
          <w:bCs/>
        </w:rPr>
        <w:t>月</w:t>
      </w:r>
      <w:r>
        <w:rPr>
          <w:rFonts w:hint="eastAsia" w:ascii="楷体" w:hAnsi="楷体" w:eastAsia="楷体"/>
          <w:b/>
          <w:bCs/>
          <w:u w:val="single"/>
        </w:rPr>
        <w:t xml:space="preserve">     </w:t>
      </w:r>
      <w:r>
        <w:rPr>
          <w:rFonts w:hint="eastAsia" w:ascii="楷体" w:hAnsi="楷体" w:eastAsia="楷体"/>
          <w:b/>
          <w:bCs/>
        </w:rPr>
        <w:t>日</w:t>
      </w:r>
    </w:p>
    <w:p/>
    <w:p>
      <w:pPr>
        <w:ind w:firstLine="0" w:firstLineChars="0"/>
        <w:rPr>
          <w:rFonts w:hint="eastAsia" w:ascii="楷体_GB2312" w:hAnsi="宋体" w:eastAsia="楷体_GB2312"/>
          <w:b/>
          <w:bCs/>
          <w:szCs w:val="21"/>
        </w:rPr>
      </w:pPr>
    </w:p>
    <w:p/>
    <w:p/>
    <w:p>
      <w:pPr>
        <w:ind w:firstLine="0" w:firstLineChars="0"/>
        <w:rPr>
          <w:rFonts w:hint="eastAsia" w:ascii="楷体_GB2312" w:hAnsi="宋体" w:eastAsia="楷体_GB2312"/>
          <w:b/>
          <w:bCs/>
          <w:szCs w:val="21"/>
        </w:rPr>
      </w:pPr>
    </w:p>
    <w:p/>
    <w:p>
      <w:pPr>
        <w:ind w:firstLine="422" w:firstLineChars="200"/>
        <w:rPr>
          <w:rFonts w:ascii="楷体" w:hAnsi="楷体" w:eastAsia="楷体"/>
          <w:b/>
          <w:bCs/>
        </w:rPr>
      </w:pPr>
    </w:p>
    <w:p/>
    <w:p>
      <w:pPr>
        <w:ind w:firstLine="0" w:firstLineChars="0"/>
        <w:rPr>
          <w:rFonts w:hint="eastAsia" w:ascii="楷体_GB2312" w:hAnsi="宋体" w:eastAsia="楷体_GB2312"/>
          <w:b/>
          <w:bCs/>
          <w:szCs w:val="21"/>
        </w:rPr>
      </w:pPr>
    </w:p>
    <w:p/>
    <w:p/>
    <w:p>
      <w:pPr>
        <w:ind w:firstLine="0" w:firstLineChars="0"/>
        <w:rPr>
          <w:rFonts w:hint="eastAsia" w:ascii="楷体_GB2312" w:hAnsi="宋体" w:eastAsia="楷体_GB2312"/>
          <w:b/>
          <w:bCs/>
          <w:szCs w:val="21"/>
        </w:rPr>
      </w:pPr>
    </w:p>
    <w:p/>
    <w:p>
      <w:pPr>
        <w:widowControl/>
        <w:jc w:val="left"/>
        <w:rPr>
          <w:rFonts w:ascii="楷体_GB2312" w:hAnsi="宋体" w:eastAsia="楷体_GB2312"/>
          <w:b/>
          <w:bCs/>
          <w:szCs w:val="21"/>
        </w:rPr>
      </w:pPr>
    </w:p>
    <w:p>
      <w:pPr>
        <w:widowControl/>
        <w:jc w:val="left"/>
        <w:rPr>
          <w:rFonts w:ascii="楷体_GB2312" w:hAnsi="宋体" w:eastAsia="楷体_GB2312"/>
          <w:b/>
          <w:bCs/>
          <w:szCs w:val="21"/>
        </w:rPr>
      </w:pPr>
    </w:p>
    <w:p/>
    <w:p>
      <w:pPr>
        <w:widowControl/>
        <w:jc w:val="left"/>
        <w:rPr>
          <w:rFonts w:ascii="楷体_GB2312" w:hAnsi="宋体" w:eastAsia="楷体_GB2312"/>
          <w:b/>
          <w:bCs/>
          <w:szCs w:val="21"/>
        </w:rPr>
      </w:pPr>
    </w:p>
    <w:p>
      <w:pPr>
        <w:widowControl/>
        <w:jc w:val="left"/>
        <w:rPr>
          <w:rFonts w:ascii="楷体_GB2312" w:hAnsi="宋体" w:eastAsia="楷体_GB2312"/>
          <w:b/>
          <w:bCs/>
          <w:szCs w:val="21"/>
        </w:rPr>
      </w:pPr>
    </w:p>
    <w:p>
      <w:pPr>
        <w:rPr>
          <w:rFonts w:hint="eastAsia" w:ascii="黑体" w:hAnsi="黑体" w:eastAsia="黑体" w:cs="Arial"/>
          <w:b/>
          <w:bCs/>
          <w:sz w:val="28"/>
          <w:szCs w:val="28"/>
        </w:rPr>
      </w:pPr>
      <w:r>
        <w:rPr>
          <w:rFonts w:hint="eastAsia" w:ascii="黑体" w:hAnsi="黑体" w:eastAsia="黑体" w:cs="Arial"/>
          <w:b/>
          <w:bCs/>
          <w:sz w:val="28"/>
          <w:szCs w:val="28"/>
        </w:rPr>
        <w:br w:type="page"/>
      </w:r>
    </w:p>
    <w:p>
      <w:pPr>
        <w:outlineLvl w:val="0"/>
        <w:rPr>
          <w:rFonts w:ascii="黑体" w:hAnsi="黑体" w:eastAsia="黑体" w:cs="Arial"/>
          <w:b/>
          <w:bCs/>
          <w:sz w:val="28"/>
          <w:szCs w:val="28"/>
        </w:rPr>
      </w:pPr>
      <w:r>
        <w:rPr>
          <w:rFonts w:hint="eastAsia" w:ascii="黑体" w:hAnsi="黑体" w:eastAsia="黑体" w:cs="Arial"/>
          <w:b/>
          <w:bCs/>
          <w:sz w:val="28"/>
          <w:szCs w:val="28"/>
        </w:rPr>
        <w:t>上银理财                 理财非存款、产品有风险、投资须谨慎</w:t>
      </w:r>
    </w:p>
    <w:p>
      <w:pPr>
        <w:rPr>
          <w:rFonts w:ascii="黑体" w:hAnsi="黑体" w:eastAsia="黑体" w:cs="Arial"/>
          <w:b/>
          <w:bCs/>
          <w:sz w:val="20"/>
          <w:szCs w:val="20"/>
        </w:rPr>
      </w:pPr>
      <w:r>
        <w:rPr>
          <w:sz w:val="20"/>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41910</wp:posOffset>
                </wp:positionV>
                <wp:extent cx="5254625" cy="0"/>
                <wp:effectExtent l="0" t="6350" r="3175" b="6350"/>
                <wp:wrapNone/>
                <wp:docPr id="2" name="直接连接符 2"/>
                <wp:cNvGraphicFramePr/>
                <a:graphic xmlns:a="http://schemas.openxmlformats.org/drawingml/2006/main">
                  <a:graphicData uri="http://schemas.microsoft.com/office/word/2010/wordprocessingShape">
                    <wps:wsp>
                      <wps:cNvCnPr/>
                      <wps:spPr>
                        <a:xfrm>
                          <a:off x="1152525" y="1352550"/>
                          <a:ext cx="5254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0.75pt;margin-top:3.3pt;height:0pt;width:413.75pt;z-index:251660288;mso-width-relative:page;mso-height-relative:page;" filled="f" stroked="t" coordsize="21600,21600" o:gfxdata="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POViXU&#10;AAAABQEAAA8AAAAAAAAAAQAgAAAAIgAAAGRycy9kb3ducmV2LnhtbFBLAQIUABQAAAAIAIdO4kCD&#10;lrwu6wEAAL4DAAAOAAAAAAAAAAEAIAAAACMBAABkcnMvZTJvRG9jLnhtbFBLBQYAAAAABgAGAFkB&#10;AACABQAAAAA=&#10;">
                <v:fill on="f" focussize="0,0"/>
                <v:stroke weight="1pt" color="#000000 [3200]" miterlimit="8" joinstyle="miter"/>
                <v:imagedata o:title=""/>
                <o:lock v:ext="edit" aspectratio="f"/>
              </v:line>
            </w:pict>
          </mc:Fallback>
        </mc:AlternateContent>
      </w:r>
    </w:p>
    <w:p>
      <w:pPr>
        <w:rPr>
          <w:rFonts w:ascii="黑体" w:hAnsi="黑体" w:eastAsia="黑体" w:cs="Arial"/>
          <w:b/>
          <w:bCs/>
          <w:sz w:val="20"/>
          <w:szCs w:val="20"/>
        </w:rPr>
      </w:pPr>
    </w:p>
    <w:p>
      <w:pPr>
        <w:rPr>
          <w:rFonts w:ascii="黑体" w:hAnsi="黑体" w:eastAsia="黑体" w:cs="Arial"/>
          <w:b/>
          <w:bCs/>
          <w:sz w:val="20"/>
          <w:szCs w:val="20"/>
        </w:rPr>
      </w:pPr>
    </w:p>
    <w:p>
      <w:pPr>
        <w:rPr>
          <w:rFonts w:ascii="黑体" w:hAnsi="黑体" w:eastAsia="黑体" w:cs="Arial"/>
          <w:b/>
          <w:bCs/>
          <w:sz w:val="20"/>
          <w:szCs w:val="20"/>
        </w:rPr>
      </w:pPr>
    </w:p>
    <w:p>
      <w:pPr>
        <w:rPr>
          <w:rFonts w:ascii="黑体" w:hAnsi="黑体" w:eastAsia="黑体" w:cs="Arial"/>
          <w:b/>
          <w:bCs/>
          <w:sz w:val="20"/>
          <w:szCs w:val="20"/>
        </w:rPr>
      </w:pPr>
    </w:p>
    <w:p>
      <w:pPr>
        <w:rPr>
          <w:rFonts w:ascii="黑体" w:hAnsi="黑体" w:eastAsia="黑体" w:cs="Arial"/>
          <w:b/>
          <w:bCs/>
          <w:sz w:val="20"/>
          <w:szCs w:val="20"/>
        </w:rPr>
      </w:pPr>
    </w:p>
    <w:p>
      <w:pPr>
        <w:rPr>
          <w:rFonts w:ascii="黑体" w:hAnsi="黑体" w:eastAsia="黑体" w:cs="Arial"/>
          <w:b/>
          <w:bCs/>
          <w:sz w:val="20"/>
          <w:szCs w:val="20"/>
        </w:rPr>
      </w:pPr>
    </w:p>
    <w:p>
      <w:pPr>
        <w:rPr>
          <w:rFonts w:ascii="黑体" w:hAnsi="黑体" w:eastAsia="黑体" w:cs="Arial"/>
          <w:b/>
          <w:bCs/>
          <w:sz w:val="20"/>
          <w:szCs w:val="20"/>
        </w:rPr>
      </w:pPr>
    </w:p>
    <w:p>
      <w:pPr>
        <w:rPr>
          <w:rFonts w:ascii="黑体" w:hAnsi="黑体" w:eastAsia="黑体" w:cs="Arial"/>
          <w:b/>
          <w:bCs/>
          <w:sz w:val="20"/>
          <w:szCs w:val="20"/>
        </w:rPr>
      </w:pPr>
    </w:p>
    <w:p>
      <w:pPr>
        <w:rPr>
          <w:rFonts w:ascii="黑体" w:hAnsi="黑体" w:eastAsia="黑体" w:cs="Arial"/>
          <w:b/>
          <w:bCs/>
          <w:sz w:val="20"/>
          <w:szCs w:val="20"/>
        </w:rPr>
      </w:pPr>
    </w:p>
    <w:p>
      <w:pPr>
        <w:rPr>
          <w:rFonts w:ascii="黑体" w:hAnsi="黑体" w:eastAsia="黑体" w:cs="Arial"/>
          <w:b/>
          <w:bCs/>
          <w:sz w:val="20"/>
          <w:szCs w:val="20"/>
        </w:rPr>
      </w:pPr>
    </w:p>
    <w:p>
      <w:pPr>
        <w:spacing w:line="720" w:lineRule="auto"/>
        <w:jc w:val="center"/>
        <w:outlineLvl w:val="0"/>
        <w:rPr>
          <w:rFonts w:hint="eastAsia" w:ascii="黑体" w:hAnsi="黑体" w:eastAsia="黑体" w:cs="Arial"/>
          <w:b/>
          <w:bCs/>
          <w:sz w:val="44"/>
          <w:szCs w:val="44"/>
        </w:rPr>
      </w:pPr>
      <w:r>
        <w:rPr>
          <w:rFonts w:hint="eastAsia" w:ascii="黑体" w:hAnsi="黑体" w:eastAsia="黑体" w:cs="Arial"/>
          <w:b/>
          <w:bCs/>
          <w:sz w:val="44"/>
          <w:szCs w:val="44"/>
        </w:rPr>
        <w:t>上银理财</w:t>
      </w:r>
      <w:r>
        <w:rPr>
          <w:rFonts w:hint="eastAsia" w:ascii="黑体" w:hAnsi="黑体" w:eastAsia="黑体" w:cs="Arial"/>
          <w:b/>
          <w:bCs/>
          <w:sz w:val="44"/>
          <w:szCs w:val="44"/>
          <w:lang w:eastAsia="zh-CN"/>
        </w:rPr>
        <w:t>【</w:t>
      </w:r>
      <w:r>
        <w:rPr>
          <w:rFonts w:hint="default" w:ascii="黑体" w:hAnsi="黑体" w:eastAsia="黑体" w:cs="Arial"/>
          <w:b/>
          <w:bCs/>
          <w:color w:val="auto"/>
          <w:sz w:val="44"/>
          <w:szCs w:val="44"/>
          <w:lang w:val="en-US" w:eastAsia="zh-CN"/>
        </w:rPr>
        <w:t>“</w:t>
      </w:r>
      <w:r>
        <w:rPr>
          <w:rFonts w:hint="eastAsia" w:ascii="黑体" w:hAnsi="黑体" w:eastAsia="黑体" w:cs="Arial"/>
          <w:b/>
          <w:bCs/>
          <w:color w:val="auto"/>
          <w:sz w:val="44"/>
          <w:szCs w:val="44"/>
          <w:lang w:val="en-US" w:eastAsia="zh-CN"/>
        </w:rPr>
        <w:t>易享利”系列开放式（3个月持有期）</w:t>
      </w:r>
      <w:r>
        <w:rPr>
          <w:rFonts w:hint="eastAsia" w:ascii="黑体" w:hAnsi="黑体" w:eastAsia="黑体" w:cs="Arial"/>
          <w:b/>
          <w:bCs/>
          <w:sz w:val="44"/>
          <w:szCs w:val="44"/>
          <w:lang w:eastAsia="zh-CN"/>
        </w:rPr>
        <w:t>】</w:t>
      </w:r>
      <w:r>
        <w:rPr>
          <w:rFonts w:hint="eastAsia" w:ascii="黑体" w:hAnsi="黑体" w:eastAsia="黑体" w:cs="Arial"/>
          <w:b/>
          <w:bCs/>
          <w:sz w:val="44"/>
          <w:szCs w:val="44"/>
        </w:rPr>
        <w:t>理财产品</w:t>
      </w:r>
    </w:p>
    <w:p>
      <w:pPr>
        <w:spacing w:line="720" w:lineRule="auto"/>
        <w:jc w:val="center"/>
        <w:outlineLvl w:val="0"/>
        <w:rPr>
          <w:rFonts w:ascii="黑体" w:hAnsi="黑体" w:eastAsia="黑体" w:cs="Arial"/>
          <w:b/>
          <w:bCs/>
          <w:sz w:val="44"/>
          <w:szCs w:val="44"/>
        </w:rPr>
      </w:pPr>
      <w:r>
        <w:rPr>
          <w:rFonts w:hint="eastAsia" w:ascii="黑体" w:hAnsi="黑体" w:eastAsia="黑体" w:cs="Arial"/>
          <w:b/>
          <w:bCs/>
          <w:sz w:val="44"/>
          <w:szCs w:val="44"/>
        </w:rPr>
        <w:t>产品说明书</w:t>
      </w: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jc w:val="center"/>
        <w:rPr>
          <w:rFonts w:ascii="黑体" w:hAnsi="黑体" w:eastAsia="黑体" w:cs="Arial"/>
          <w:b/>
          <w:bCs/>
          <w:sz w:val="20"/>
          <w:szCs w:val="20"/>
        </w:rPr>
      </w:pPr>
    </w:p>
    <w:p>
      <w:pPr>
        <w:spacing w:line="360" w:lineRule="auto"/>
        <w:jc w:val="center"/>
        <w:outlineLvl w:val="0"/>
        <w:rPr>
          <w:rFonts w:ascii="黑体" w:hAnsi="黑体" w:eastAsia="黑体" w:cs="Arial"/>
          <w:b/>
          <w:bCs/>
          <w:sz w:val="24"/>
          <w:szCs w:val="24"/>
        </w:rPr>
      </w:pPr>
      <w:r>
        <w:rPr>
          <w:rFonts w:hint="eastAsia" w:ascii="黑体" w:hAnsi="黑体" w:eastAsia="黑体" w:cs="Arial"/>
          <w:b/>
          <w:bCs/>
          <w:sz w:val="24"/>
          <w:szCs w:val="24"/>
        </w:rPr>
        <w:t>理财产品管理人：上银理财有限责任公司</w:t>
      </w:r>
    </w:p>
    <w:p>
      <w:pPr>
        <w:spacing w:line="360" w:lineRule="auto"/>
        <w:jc w:val="center"/>
        <w:outlineLvl w:val="0"/>
        <w:rPr>
          <w:rFonts w:hint="eastAsia" w:ascii="黑体" w:hAnsi="黑体" w:eastAsia="黑体" w:cs="Arial"/>
          <w:b/>
          <w:bCs/>
          <w:sz w:val="24"/>
          <w:szCs w:val="24"/>
          <w:lang w:val="en-US" w:eastAsia="zh-CN"/>
        </w:rPr>
      </w:pPr>
      <w:r>
        <w:rPr>
          <w:rFonts w:hint="eastAsia" w:ascii="黑体" w:hAnsi="黑体" w:eastAsia="黑体" w:cs="Arial"/>
          <w:b/>
          <w:bCs/>
          <w:sz w:val="24"/>
          <w:szCs w:val="24"/>
        </w:rPr>
        <w:t>理财产品托管人：</w:t>
      </w:r>
      <w:r>
        <w:rPr>
          <w:rFonts w:hint="eastAsia" w:ascii="黑体" w:hAnsi="黑体" w:eastAsia="黑体" w:cs="Arial"/>
          <w:b/>
          <w:bCs/>
          <w:sz w:val="24"/>
          <w:szCs w:val="24"/>
          <w:lang w:eastAsia="zh-CN"/>
        </w:rPr>
        <w:t>【</w:t>
      </w:r>
      <w:r>
        <w:rPr>
          <w:rFonts w:hint="eastAsia" w:ascii="黑体" w:hAnsi="黑体" w:eastAsia="黑体" w:cs="Arial"/>
          <w:b/>
          <w:bCs/>
          <w:color w:val="auto"/>
          <w:sz w:val="24"/>
          <w:szCs w:val="24"/>
        </w:rPr>
        <w:t>上海银行股份有限公司</w:t>
      </w:r>
      <w:r>
        <w:rPr>
          <w:rFonts w:hint="eastAsia" w:ascii="黑体" w:hAnsi="黑体" w:eastAsia="黑体" w:cs="Arial"/>
          <w:b/>
          <w:bCs/>
          <w:sz w:val="24"/>
          <w:szCs w:val="24"/>
          <w:lang w:eastAsia="zh-CN"/>
        </w:rPr>
        <w:t>】</w:t>
      </w:r>
    </w:p>
    <w:p>
      <w:pPr>
        <w:jc w:val="center"/>
        <w:rPr>
          <w:rFonts w:ascii="黑体" w:hAnsi="黑体" w:eastAsia="黑体" w:cs="Arial"/>
          <w:b/>
          <w:bCs/>
          <w:sz w:val="20"/>
          <w:szCs w:val="20"/>
        </w:rPr>
      </w:pPr>
    </w:p>
    <w:p>
      <w:pPr>
        <w:rPr>
          <w:rFonts w:ascii="黑体" w:hAnsi="黑体" w:eastAsia="黑体" w:cs="Arial"/>
          <w:b/>
          <w:bCs/>
          <w:sz w:val="20"/>
          <w:szCs w:val="20"/>
        </w:rPr>
      </w:pPr>
    </w:p>
    <w:p>
      <w:pPr>
        <w:rPr>
          <w:rFonts w:ascii="黑体" w:hAnsi="黑体" w:eastAsia="黑体" w:cs="Arial"/>
          <w:b/>
          <w:bCs/>
          <w:sz w:val="20"/>
          <w:szCs w:val="20"/>
        </w:rPr>
      </w:pPr>
    </w:p>
    <w:p>
      <w:pPr>
        <w:rPr>
          <w:rFonts w:ascii="黑体" w:hAnsi="黑体" w:eastAsia="黑体" w:cs="Arial"/>
          <w:b/>
          <w:bCs/>
          <w:sz w:val="20"/>
          <w:szCs w:val="20"/>
        </w:rPr>
      </w:pPr>
    </w:p>
    <w:p>
      <w:pPr>
        <w:rPr>
          <w:rFonts w:ascii="黑体" w:hAnsi="黑体" w:eastAsia="黑体" w:cs="Arial"/>
          <w:b/>
          <w:bCs/>
          <w:sz w:val="20"/>
          <w:szCs w:val="20"/>
        </w:rPr>
        <w:sectPr>
          <w:headerReference r:id="rId4" w:type="first"/>
          <w:headerReference r:id="rId3" w:type="default"/>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start="0"/>
          <w:cols w:space="425" w:num="1"/>
          <w:titlePg/>
          <w:docGrid w:type="lines" w:linePitch="312" w:charSpace="0"/>
        </w:sectPr>
      </w:pPr>
    </w:p>
    <w:p>
      <w:pPr>
        <w:tabs>
          <w:tab w:val="left" w:pos="630"/>
        </w:tabs>
        <w:rPr>
          <w:rFonts w:hint="eastAsia" w:ascii="黑体" w:hAnsi="黑体" w:eastAsia="黑体" w:cs="Arial"/>
          <w:b/>
          <w:bCs/>
          <w:sz w:val="20"/>
          <w:szCs w:val="20"/>
          <w:lang w:eastAsia="zh-CN"/>
        </w:rPr>
      </w:pPr>
      <w:r>
        <w:rPr>
          <w:rFonts w:hint="eastAsia" w:ascii="黑体" w:hAnsi="黑体" w:eastAsia="黑体" w:cs="Arial"/>
          <w:b/>
          <w:bCs/>
          <w:sz w:val="20"/>
          <w:szCs w:val="20"/>
        </w:rPr>
        <w:t>产品登记编码：</w:t>
      </w:r>
      <w:r>
        <w:rPr>
          <w:rFonts w:hint="eastAsia" w:ascii="黑体" w:hAnsi="黑体" w:eastAsia="黑体" w:cs="Arial"/>
          <w:b/>
          <w:bCs/>
          <w:sz w:val="20"/>
          <w:szCs w:val="20"/>
          <w:lang w:eastAsia="zh-CN"/>
        </w:rPr>
        <w:t>【</w:t>
      </w:r>
      <w:r>
        <w:rPr>
          <w:rFonts w:hint="eastAsia" w:ascii="黑体" w:hAnsi="黑体" w:eastAsia="黑体" w:cs="Arial"/>
          <w:b/>
          <w:bCs/>
          <w:color w:val="auto"/>
          <w:sz w:val="20"/>
          <w:szCs w:val="20"/>
          <w:highlight w:val="none"/>
          <w:lang w:eastAsia="zh-CN"/>
        </w:rPr>
        <w:t>Z7007124000082</w:t>
      </w:r>
      <w:r>
        <w:rPr>
          <w:rFonts w:hint="eastAsia" w:ascii="黑体" w:hAnsi="黑体" w:eastAsia="黑体" w:cs="Arial"/>
          <w:b/>
          <w:bCs/>
          <w:sz w:val="20"/>
          <w:szCs w:val="20"/>
          <w:highlight w:val="none"/>
          <w:lang w:eastAsia="zh-CN"/>
        </w:rPr>
        <w:t>】</w:t>
      </w:r>
      <w:r>
        <w:rPr>
          <w:rFonts w:ascii="黑体" w:hAnsi="黑体" w:eastAsia="黑体" w:cs="Arial"/>
          <w:b/>
          <w:bCs/>
          <w:sz w:val="20"/>
          <w:szCs w:val="20"/>
        </w:rPr>
        <w:t xml:space="preserve">                                </w:t>
      </w:r>
      <w:r>
        <w:rPr>
          <w:rFonts w:hint="eastAsia" w:ascii="黑体" w:hAnsi="黑体" w:eastAsia="黑体" w:cs="Arial"/>
          <w:b/>
          <w:bCs/>
          <w:sz w:val="20"/>
          <w:szCs w:val="20"/>
        </w:rPr>
        <w:t>版本号：</w:t>
      </w:r>
      <w:r>
        <w:rPr>
          <w:rFonts w:hint="eastAsia" w:ascii="黑体" w:hAnsi="黑体" w:eastAsia="黑体" w:cs="Arial"/>
          <w:b/>
          <w:bCs/>
          <w:sz w:val="20"/>
          <w:szCs w:val="20"/>
          <w:lang w:eastAsia="zh-CN"/>
        </w:rPr>
        <w:t>【</w:t>
      </w:r>
      <w:r>
        <w:rPr>
          <w:rFonts w:hint="eastAsia" w:ascii="黑体" w:hAnsi="黑体" w:eastAsia="黑体" w:cs="Arial"/>
          <w:b/>
          <w:bCs/>
          <w:color w:val="auto"/>
          <w:sz w:val="20"/>
          <w:szCs w:val="20"/>
          <w:lang w:val="en-US" w:eastAsia="zh-CN"/>
        </w:rPr>
        <w:t>YXL</w:t>
      </w:r>
      <w:r>
        <w:rPr>
          <w:rFonts w:ascii="黑体" w:hAnsi="黑体" w:eastAsia="黑体" w:cs="Arial"/>
          <w:b/>
          <w:bCs/>
          <w:color w:val="auto"/>
          <w:sz w:val="20"/>
          <w:szCs w:val="20"/>
        </w:rPr>
        <w:t>.202</w:t>
      </w:r>
      <w:r>
        <w:rPr>
          <w:rFonts w:hint="eastAsia" w:ascii="黑体" w:hAnsi="黑体" w:eastAsia="黑体" w:cs="Arial"/>
          <w:b/>
          <w:bCs/>
          <w:color w:val="auto"/>
          <w:sz w:val="20"/>
          <w:szCs w:val="20"/>
          <w:lang w:val="en-US" w:eastAsia="zh-CN"/>
        </w:rPr>
        <w:t>3</w:t>
      </w:r>
      <w:r>
        <w:rPr>
          <w:rFonts w:ascii="黑体" w:hAnsi="黑体" w:eastAsia="黑体" w:cs="Arial"/>
          <w:b/>
          <w:bCs/>
          <w:color w:val="auto"/>
          <w:sz w:val="20"/>
          <w:szCs w:val="20"/>
        </w:rPr>
        <w:t>.01</w:t>
      </w:r>
      <w:r>
        <w:rPr>
          <w:rFonts w:hint="eastAsia" w:ascii="黑体" w:hAnsi="黑体" w:eastAsia="黑体" w:cs="Arial"/>
          <w:b/>
          <w:bCs/>
          <w:sz w:val="20"/>
          <w:szCs w:val="20"/>
          <w:lang w:eastAsia="zh-CN"/>
        </w:rPr>
        <w:t>】</w:t>
      </w:r>
    </w:p>
    <w:p>
      <w:pPr>
        <w:snapToGrid w:val="0"/>
        <w:spacing w:line="360" w:lineRule="auto"/>
        <w:jc w:val="center"/>
        <w:rPr>
          <w:rFonts w:ascii="楷体_GB2312" w:hAnsi="宋体" w:eastAsia="楷体_GB2312"/>
          <w:b/>
          <w:bCs/>
          <w:sz w:val="30"/>
          <w:szCs w:val="30"/>
        </w:rPr>
      </w:pPr>
    </w:p>
    <w:p>
      <w:pPr>
        <w:pStyle w:val="2"/>
        <w:spacing w:line="360" w:lineRule="auto"/>
        <w:ind w:firstLine="720"/>
        <w:jc w:val="center"/>
        <w:rPr>
          <w:rFonts w:hint="eastAsia" w:ascii="黑体" w:hAnsi="黑体" w:eastAsia="黑体" w:cs="黑体"/>
          <w:b/>
          <w:bCs/>
          <w:kern w:val="44"/>
          <w:sz w:val="36"/>
          <w:szCs w:val="36"/>
        </w:rPr>
      </w:pPr>
      <w:r>
        <w:rPr>
          <w:rFonts w:hint="eastAsia" w:ascii="黑体" w:hAnsi="黑体" w:eastAsia="黑体" w:cs="黑体"/>
          <w:sz w:val="36"/>
          <w:szCs w:val="36"/>
        </w:rPr>
        <w:t>上银理财</w:t>
      </w:r>
      <w:r>
        <w:rPr>
          <w:rFonts w:hint="eastAsia" w:ascii="黑体" w:hAnsi="黑体" w:eastAsia="黑体" w:cs="Arial"/>
          <w:b/>
          <w:bCs/>
          <w:sz w:val="36"/>
          <w:szCs w:val="36"/>
          <w:lang w:eastAsia="zh-CN"/>
        </w:rPr>
        <w:t>【</w:t>
      </w:r>
      <w:r>
        <w:rPr>
          <w:rFonts w:hint="eastAsia" w:ascii="黑体" w:hAnsi="黑体" w:eastAsia="黑体" w:cs="Arial"/>
          <w:b/>
          <w:bCs/>
          <w:color w:val="auto"/>
          <w:sz w:val="36"/>
          <w:szCs w:val="36"/>
          <w:lang w:val="en-US" w:eastAsia="zh-CN"/>
        </w:rPr>
        <w:t>“易享利”系列开放式（3个月持有期）</w:t>
      </w:r>
      <w:r>
        <w:rPr>
          <w:rFonts w:hint="eastAsia" w:ascii="黑体" w:hAnsi="黑体" w:eastAsia="黑体" w:cs="Arial"/>
          <w:b/>
          <w:bCs/>
          <w:sz w:val="36"/>
          <w:szCs w:val="36"/>
          <w:lang w:eastAsia="zh-CN"/>
        </w:rPr>
        <w:t>】</w:t>
      </w:r>
      <w:r>
        <w:rPr>
          <w:rFonts w:hint="eastAsia" w:ascii="黑体" w:hAnsi="黑体" w:eastAsia="黑体" w:cs="黑体"/>
          <w:sz w:val="36"/>
          <w:szCs w:val="36"/>
        </w:rPr>
        <w:t>理财</w:t>
      </w:r>
      <w:r>
        <w:rPr>
          <w:rFonts w:hint="eastAsia" w:ascii="黑体" w:hAnsi="黑体" w:eastAsia="黑体" w:cs="黑体"/>
          <w:b/>
          <w:bCs/>
          <w:kern w:val="44"/>
          <w:sz w:val="36"/>
          <w:szCs w:val="36"/>
        </w:rPr>
        <w:t>产品</w:t>
      </w:r>
    </w:p>
    <w:p>
      <w:pPr>
        <w:pStyle w:val="2"/>
        <w:spacing w:line="360" w:lineRule="auto"/>
        <w:ind w:firstLine="720"/>
        <w:jc w:val="center"/>
        <w:rPr>
          <w:rFonts w:hint="eastAsia" w:ascii="黑体" w:hAnsi="黑体" w:eastAsia="黑体" w:cs="黑体"/>
          <w:b/>
          <w:bCs/>
          <w:kern w:val="44"/>
          <w:sz w:val="36"/>
          <w:szCs w:val="36"/>
        </w:rPr>
      </w:pPr>
      <w:r>
        <w:rPr>
          <w:rFonts w:hint="eastAsia" w:ascii="黑体" w:hAnsi="黑体" w:eastAsia="黑体" w:cs="黑体"/>
          <w:b/>
          <w:bCs/>
          <w:kern w:val="44"/>
          <w:sz w:val="36"/>
          <w:szCs w:val="36"/>
          <w:lang w:val="en-US" w:eastAsia="zh-CN"/>
        </w:rPr>
        <w:t>产品</w:t>
      </w:r>
      <w:r>
        <w:rPr>
          <w:rFonts w:hint="eastAsia" w:ascii="黑体" w:hAnsi="黑体" w:eastAsia="黑体" w:cs="黑体"/>
          <w:b/>
          <w:bCs/>
          <w:kern w:val="44"/>
          <w:sz w:val="36"/>
          <w:szCs w:val="36"/>
        </w:rPr>
        <w:t>说明书</w:t>
      </w:r>
    </w:p>
    <w:p>
      <w:pPr>
        <w:ind w:firstLine="720"/>
        <w:jc w:val="center"/>
        <w:outlineLvl w:val="0"/>
        <w:rPr>
          <w:rFonts w:ascii="黑体" w:hAnsi="黑体" w:eastAsia="黑体"/>
          <w:b/>
          <w:bCs/>
          <w:sz w:val="32"/>
          <w:szCs w:val="24"/>
        </w:rPr>
      </w:pPr>
      <w:r>
        <w:rPr>
          <w:rFonts w:hint="eastAsia" w:ascii="黑体" w:hAnsi="黑体" w:eastAsia="黑体"/>
          <w:b/>
          <w:bCs/>
          <w:sz w:val="32"/>
          <w:szCs w:val="24"/>
        </w:rPr>
        <w:t>（产品代码</w:t>
      </w:r>
      <w:r>
        <w:rPr>
          <w:rFonts w:ascii="黑体" w:hAnsi="黑体" w:eastAsia="黑体"/>
          <w:b/>
          <w:bCs/>
          <w:sz w:val="32"/>
          <w:szCs w:val="24"/>
        </w:rPr>
        <w:t>：</w:t>
      </w:r>
      <w:r>
        <w:rPr>
          <w:rFonts w:hint="eastAsia" w:ascii="黑体" w:hAnsi="黑体" w:eastAsia="黑体"/>
          <w:b/>
          <w:bCs/>
          <w:sz w:val="32"/>
          <w:szCs w:val="24"/>
          <w:lang w:eastAsia="zh-CN"/>
        </w:rPr>
        <w:t>【</w:t>
      </w:r>
      <w:r>
        <w:rPr>
          <w:rFonts w:hint="eastAsia" w:ascii="黑体" w:hAnsi="黑体" w:eastAsia="黑体"/>
          <w:b/>
          <w:bCs/>
          <w:color w:val="auto"/>
          <w:sz w:val="32"/>
          <w:szCs w:val="24"/>
          <w:lang w:eastAsia="zh-CN"/>
        </w:rPr>
        <w:t>WPEK24M0305</w:t>
      </w:r>
      <w:r>
        <w:rPr>
          <w:rFonts w:hint="eastAsia" w:ascii="黑体" w:hAnsi="黑体" w:eastAsia="黑体"/>
          <w:b/>
          <w:bCs/>
          <w:color w:val="auto"/>
          <w:sz w:val="32"/>
          <w:szCs w:val="24"/>
          <w:lang w:val="en-US" w:eastAsia="zh-CN"/>
        </w:rPr>
        <w:t>】</w:t>
      </w:r>
      <w:r>
        <w:rPr>
          <w:rFonts w:hint="eastAsia" w:ascii="黑体" w:hAnsi="黑体" w:eastAsia="黑体"/>
          <w:b/>
          <w:bCs/>
          <w:sz w:val="32"/>
          <w:szCs w:val="24"/>
        </w:rPr>
        <w:t>）</w:t>
      </w:r>
    </w:p>
    <w:p>
      <w:pPr>
        <w:ind w:firstLine="720"/>
        <w:jc w:val="center"/>
        <w:rPr>
          <w:rFonts w:ascii="黑体" w:hAnsi="黑体" w:eastAsia="黑体"/>
          <w:b/>
          <w:bCs/>
          <w:sz w:val="28"/>
        </w:rPr>
      </w:pPr>
    </w:p>
    <w:p>
      <w:pPr>
        <w:pStyle w:val="2"/>
        <w:spacing w:before="120" w:after="120" w:line="240" w:lineRule="auto"/>
        <w:rPr>
          <w:rFonts w:ascii="楷体" w:hAnsi="楷体" w:eastAsia="楷体"/>
          <w:sz w:val="28"/>
          <w:szCs w:val="28"/>
        </w:rPr>
      </w:pPr>
      <w:r>
        <w:rPr>
          <w:rFonts w:hint="eastAsia" w:ascii="楷体" w:hAnsi="楷体" w:eastAsia="楷体"/>
          <w:sz w:val="28"/>
          <w:szCs w:val="28"/>
        </w:rPr>
        <w:t>一、重要须知</w:t>
      </w:r>
    </w:p>
    <w:p>
      <w:pPr>
        <w:snapToGrid w:val="0"/>
        <w:spacing w:line="360" w:lineRule="auto"/>
        <w:ind w:firstLine="422" w:firstLineChars="200"/>
        <w:rPr>
          <w:rFonts w:ascii="楷体_GB2312" w:hAnsi="宋体" w:eastAsia="楷体_GB2312"/>
          <w:b/>
          <w:bCs/>
          <w:szCs w:val="21"/>
          <w:highlight w:val="none"/>
        </w:rPr>
      </w:pPr>
      <w:r>
        <w:rPr>
          <w:rFonts w:hint="eastAsia" w:ascii="楷体_GB2312" w:hAnsi="宋体" w:eastAsia="楷体_GB2312"/>
          <w:b/>
          <w:bCs/>
          <w:szCs w:val="21"/>
          <w:highlight w:val="none"/>
        </w:rPr>
        <w:t>1.</w:t>
      </w:r>
      <w:r>
        <w:rPr>
          <w:rFonts w:hint="eastAsia" w:ascii="楷体_GB2312" w:hAnsi="宋体" w:eastAsia="楷体_GB2312"/>
          <w:b/>
          <w:bCs/>
          <w:szCs w:val="21"/>
          <w:highlight w:val="none"/>
          <w:lang w:val="en-US" w:eastAsia="zh-CN"/>
        </w:rPr>
        <w:t>本理财产品《产品说明书》、《风险揭示书》、《投资协议书》、《销售（代理销售）协议书》和《投资者权益须知》共同构成一份完整且不可分割的理财产品销售文件。其中</w:t>
      </w:r>
      <w:r>
        <w:rPr>
          <w:rFonts w:ascii="楷体_GB2312" w:hAnsi="宋体" w:eastAsia="楷体_GB2312"/>
          <w:b/>
          <w:bCs/>
          <w:szCs w:val="21"/>
          <w:highlight w:val="none"/>
        </w:rPr>
        <w:t>《产品说明书》与《风险揭示书》、《投资协议书》共同组成投资者与管理人之间就本理财产品达成的理财</w:t>
      </w:r>
      <w:r>
        <w:rPr>
          <w:rFonts w:hint="eastAsia" w:ascii="楷体_GB2312" w:hAnsi="宋体" w:eastAsia="楷体_GB2312"/>
          <w:b/>
          <w:bCs/>
          <w:szCs w:val="21"/>
          <w:highlight w:val="none"/>
          <w:lang w:val="en-US" w:eastAsia="zh-CN"/>
        </w:rPr>
        <w:t>产品</w:t>
      </w:r>
      <w:r>
        <w:rPr>
          <w:rFonts w:ascii="楷体_GB2312" w:hAnsi="宋体" w:eastAsia="楷体_GB2312"/>
          <w:b/>
          <w:bCs/>
          <w:szCs w:val="21"/>
          <w:highlight w:val="none"/>
        </w:rPr>
        <w:t>合同的不可分割之组成部分。</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2</w:t>
      </w:r>
      <w:r>
        <w:rPr>
          <w:rFonts w:ascii="楷体_GB2312" w:hAnsi="宋体" w:eastAsia="楷体_GB2312"/>
          <w:b/>
          <w:bCs/>
          <w:szCs w:val="21"/>
        </w:rPr>
        <w:t>.本理财</w:t>
      </w:r>
      <w:r>
        <w:rPr>
          <w:rFonts w:hint="eastAsia" w:ascii="楷体_GB2312" w:hAnsi="宋体" w:eastAsia="楷体_GB2312"/>
          <w:b/>
          <w:bCs/>
          <w:szCs w:val="21"/>
        </w:rPr>
        <w:t>产品</w:t>
      </w:r>
      <w:r>
        <w:rPr>
          <w:rFonts w:ascii="楷体_GB2312" w:hAnsi="宋体" w:eastAsia="楷体_GB2312"/>
          <w:b/>
          <w:bCs/>
          <w:szCs w:val="21"/>
        </w:rPr>
        <w:t>不等同于银行存款，</w:t>
      </w:r>
      <w:r>
        <w:rPr>
          <w:rFonts w:hint="eastAsia" w:ascii="楷体_GB2312" w:hAnsi="宋体" w:eastAsia="楷体_GB2312"/>
          <w:b/>
          <w:bCs/>
          <w:szCs w:val="21"/>
        </w:rPr>
        <w:t>不保证本金和最低收益，</w:t>
      </w:r>
      <w:r>
        <w:rPr>
          <w:rFonts w:ascii="楷体_GB2312" w:hAnsi="宋体" w:eastAsia="楷体_GB2312"/>
          <w:b/>
          <w:bCs/>
          <w:szCs w:val="21"/>
        </w:rPr>
        <w:t>您的本金有可能会因市场变动蒙受损失，您应充分认识投资风险，谨慎投资。</w:t>
      </w:r>
    </w:p>
    <w:p>
      <w:pPr>
        <w:snapToGrid w:val="0"/>
        <w:spacing w:line="360" w:lineRule="auto"/>
        <w:ind w:firstLine="422" w:firstLineChars="200"/>
        <w:rPr>
          <w:rFonts w:hint="eastAsia" w:ascii="楷体_GB2312" w:hAnsi="宋体" w:eastAsia="楷体_GB2312"/>
          <w:b/>
          <w:bCs/>
          <w:szCs w:val="21"/>
        </w:rPr>
      </w:pPr>
      <w:r>
        <w:rPr>
          <w:rFonts w:hint="eastAsia" w:ascii="楷体_GB2312" w:hAnsi="宋体" w:eastAsia="楷体_GB2312"/>
          <w:b/>
          <w:bCs/>
          <w:szCs w:val="21"/>
          <w:lang w:val="en-US" w:eastAsia="zh-CN"/>
        </w:rPr>
        <w:t>3</w:t>
      </w:r>
      <w:r>
        <w:rPr>
          <w:rFonts w:ascii="楷体_GB2312" w:hAnsi="宋体" w:eastAsia="楷体_GB2312"/>
          <w:b/>
          <w:bCs/>
          <w:szCs w:val="21"/>
        </w:rPr>
        <w:t>.</w:t>
      </w:r>
      <w:r>
        <w:rPr>
          <w:rFonts w:hint="eastAsia" w:ascii="楷体_GB2312" w:hAnsi="宋体" w:eastAsia="楷体_GB2312"/>
          <w:b/>
          <w:bCs/>
          <w:szCs w:val="21"/>
        </w:rPr>
        <w:t>本</w:t>
      </w:r>
      <w:r>
        <w:rPr>
          <w:rFonts w:ascii="楷体_GB2312" w:hAnsi="宋体" w:eastAsia="楷体_GB2312"/>
          <w:b/>
          <w:bCs/>
          <w:szCs w:val="21"/>
        </w:rPr>
        <w:t>理</w:t>
      </w:r>
      <w:r>
        <w:rPr>
          <w:rFonts w:hint="eastAsia" w:ascii="楷体_GB2312" w:hAnsi="宋体" w:eastAsia="楷体_GB2312"/>
          <w:b/>
          <w:bCs/>
          <w:szCs w:val="21"/>
        </w:rPr>
        <w:t>财产品仅向依据中华人民共和国有关法律法规及本《产品说明书》规定可以购买本理财产品的投资者发售。</w:t>
      </w:r>
    </w:p>
    <w:p>
      <w:pPr>
        <w:snapToGrid w:val="0"/>
        <w:spacing w:line="360" w:lineRule="auto"/>
        <w:ind w:firstLine="422" w:firstLineChars="200"/>
        <w:rPr>
          <w:rFonts w:hint="eastAsia" w:ascii="楷体_GB2312" w:hAnsi="宋体" w:eastAsia="楷体_GB2312"/>
          <w:b/>
          <w:bCs/>
          <w:szCs w:val="21"/>
        </w:rPr>
      </w:pPr>
      <w:r>
        <w:rPr>
          <w:rFonts w:hint="eastAsia" w:ascii="楷体_GB2312" w:hAnsi="宋体" w:eastAsia="楷体_GB2312"/>
          <w:b/>
          <w:bCs/>
          <w:szCs w:val="21"/>
          <w:lang w:val="en-US" w:eastAsia="zh-CN"/>
        </w:rPr>
        <w:t>4</w:t>
      </w:r>
      <w:r>
        <w:rPr>
          <w:rFonts w:hint="eastAsia" w:ascii="楷体_GB2312" w:hAnsi="宋体" w:eastAsia="楷体_GB2312"/>
          <w:b/>
          <w:bCs/>
          <w:szCs w:val="21"/>
        </w:rPr>
        <w:t>.</w:t>
      </w:r>
      <w:r>
        <w:rPr>
          <w:rFonts w:ascii="楷体_GB2312" w:hAnsi="宋体" w:eastAsia="楷体_GB2312"/>
          <w:b/>
          <w:bCs/>
          <w:szCs w:val="21"/>
        </w:rPr>
        <w:t>投资者承诺其用于</w:t>
      </w:r>
      <w:r>
        <w:rPr>
          <w:rFonts w:hint="eastAsia" w:ascii="楷体_GB2312" w:hAnsi="宋体" w:eastAsia="楷体_GB2312"/>
          <w:b/>
          <w:bCs/>
          <w:szCs w:val="21"/>
        </w:rPr>
        <w:t>购买</w:t>
      </w:r>
      <w:r>
        <w:rPr>
          <w:rFonts w:ascii="楷体_GB2312" w:hAnsi="宋体" w:eastAsia="楷体_GB2312"/>
          <w:b/>
          <w:bCs/>
          <w:szCs w:val="21"/>
        </w:rPr>
        <w:t>理财产品的资金</w:t>
      </w:r>
      <w:r>
        <w:rPr>
          <w:rFonts w:hint="eastAsia" w:ascii="楷体_GB2312" w:hAnsi="宋体" w:eastAsia="楷体_GB2312"/>
          <w:b/>
          <w:bCs/>
          <w:szCs w:val="21"/>
        </w:rPr>
        <w:t>为自有资金</w:t>
      </w:r>
      <w:r>
        <w:rPr>
          <w:rFonts w:ascii="楷体_GB2312" w:hAnsi="宋体" w:eastAsia="楷体_GB2312"/>
          <w:b/>
          <w:bCs/>
          <w:szCs w:val="21"/>
        </w:rPr>
        <w:t>，不存在使用贷款、发行债券等筹集的非自有资金投资本理财产品的情形。</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5</w:t>
      </w:r>
      <w:r>
        <w:rPr>
          <w:rFonts w:hint="eastAsia" w:ascii="楷体_GB2312" w:hAnsi="宋体" w:eastAsia="楷体_GB2312"/>
          <w:b/>
          <w:bCs/>
          <w:szCs w:val="21"/>
        </w:rPr>
        <w:t>.</w:t>
      </w:r>
      <w:r>
        <w:rPr>
          <w:rFonts w:ascii="楷体_GB2312" w:hAnsi="宋体" w:eastAsia="楷体_GB2312"/>
          <w:b/>
          <w:bCs/>
          <w:szCs w:val="21"/>
        </w:rPr>
        <w:t>投资者承诺投资本理财产品使用的资金为投资者合法持有，不属于依据联合国、中国政府及其他可适用政府或国际组织制裁（名单）范围</w:t>
      </w:r>
      <w:r>
        <w:rPr>
          <w:rFonts w:hint="eastAsia" w:ascii="楷体_GB2312" w:hAnsi="宋体" w:eastAsia="楷体_GB2312"/>
          <w:b/>
          <w:bCs/>
          <w:szCs w:val="21"/>
        </w:rPr>
        <w:t>，</w:t>
      </w:r>
      <w:r>
        <w:rPr>
          <w:rFonts w:ascii="楷体_GB2312" w:hAnsi="宋体" w:eastAsia="楷体_GB2312"/>
          <w:b/>
          <w:bCs/>
          <w:szCs w:val="21"/>
        </w:rPr>
        <w:t>仅为合法目的投资本理财产品；如发生异常情况，投资者将配合销售机构及管理人开展客户身份识别及</w:t>
      </w:r>
      <w:r>
        <w:rPr>
          <w:rFonts w:hint="eastAsia" w:ascii="楷体_GB2312" w:hAnsi="宋体" w:eastAsia="楷体_GB2312"/>
          <w:b/>
          <w:bCs/>
          <w:szCs w:val="21"/>
        </w:rPr>
        <w:t>反洗钱、反恐怖融资以及非居民金融账户涉税信息尽职调查活动</w:t>
      </w:r>
      <w:r>
        <w:rPr>
          <w:rFonts w:ascii="楷体_GB2312" w:hAnsi="宋体" w:eastAsia="楷体_GB2312"/>
          <w:b/>
          <w:bCs/>
          <w:szCs w:val="21"/>
        </w:rPr>
        <w:t>，及时、真实、准确、完整提供身份信息及资金来源等信息。</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 xml:space="preserve">6.投资者承诺依照可适用的法律法规投资本理财产品，如销售机构及管理人发现投资 </w:t>
      </w:r>
    </w:p>
    <w:p>
      <w:pPr>
        <w:snapToGrid w:val="0"/>
        <w:spacing w:line="360" w:lineRule="auto"/>
        <w:ind w:firstLine="0" w:firstLineChars="0"/>
        <w:rPr>
          <w:rFonts w:ascii="楷体_GB2312" w:hAnsi="宋体" w:eastAsia="楷体_GB2312"/>
          <w:b/>
          <w:bCs/>
          <w:szCs w:val="21"/>
        </w:rPr>
      </w:pPr>
      <w:r>
        <w:rPr>
          <w:rFonts w:hint="eastAsia" w:ascii="楷体_GB2312" w:hAnsi="宋体" w:eastAsia="楷体_GB2312"/>
          <w:b/>
          <w:bCs/>
          <w:szCs w:val="21"/>
          <w:lang w:val="en-US" w:eastAsia="zh-CN"/>
        </w:rPr>
        <w:t xml:space="preserve">者或投资者重要关联方存在洗钱或者被制裁风险，例如提供不实、不完整或者无效的身份 </w:t>
      </w:r>
    </w:p>
    <w:p>
      <w:pPr>
        <w:snapToGrid w:val="0"/>
        <w:spacing w:line="360" w:lineRule="auto"/>
        <w:ind w:firstLine="0" w:firstLineChars="0"/>
        <w:rPr>
          <w:rFonts w:ascii="楷体_GB2312" w:hAnsi="宋体" w:eastAsia="楷体_GB2312"/>
          <w:b/>
          <w:bCs/>
          <w:szCs w:val="21"/>
        </w:rPr>
      </w:pPr>
      <w:r>
        <w:rPr>
          <w:rFonts w:hint="eastAsia" w:ascii="楷体_GB2312" w:hAnsi="宋体" w:eastAsia="楷体_GB2312"/>
          <w:b/>
          <w:bCs/>
          <w:szCs w:val="21"/>
          <w:lang w:val="en-US" w:eastAsia="zh-CN"/>
        </w:rPr>
        <w:t xml:space="preserve">或交易信息，未及时更新身份证明文件，投资者或投资者账户、投资者重要关联方出现异 </w:t>
      </w:r>
    </w:p>
    <w:p>
      <w:pPr>
        <w:snapToGrid w:val="0"/>
        <w:spacing w:line="360" w:lineRule="auto"/>
        <w:ind w:firstLine="0" w:firstLineChars="0"/>
        <w:rPr>
          <w:rFonts w:ascii="楷体_GB2312" w:hAnsi="宋体" w:eastAsia="楷体_GB2312"/>
          <w:b/>
          <w:bCs/>
          <w:szCs w:val="21"/>
        </w:rPr>
      </w:pPr>
      <w:r>
        <w:rPr>
          <w:rFonts w:hint="eastAsia" w:ascii="楷体_GB2312" w:hAnsi="宋体" w:eastAsia="楷体_GB2312"/>
          <w:b/>
          <w:bCs/>
          <w:szCs w:val="21"/>
          <w:lang w:val="en-US" w:eastAsia="zh-CN"/>
        </w:rPr>
        <w:t xml:space="preserve">常或涉嫌洗钱、恐怖融资，投资者或投资者交易、投资者重要关联方或其交易涉及联合国、 </w:t>
      </w:r>
    </w:p>
    <w:p>
      <w:pPr>
        <w:snapToGrid w:val="0"/>
        <w:spacing w:line="360" w:lineRule="auto"/>
        <w:ind w:firstLine="0" w:firstLineChars="0"/>
        <w:rPr>
          <w:rFonts w:hint="eastAsia" w:ascii="楷体_GB2312" w:hAnsi="宋体" w:eastAsia="楷体_GB2312"/>
          <w:b/>
          <w:bCs/>
          <w:szCs w:val="21"/>
          <w:lang w:val="en-US" w:eastAsia="zh-CN"/>
        </w:rPr>
      </w:pPr>
      <w:r>
        <w:rPr>
          <w:rFonts w:hint="eastAsia" w:ascii="楷体_GB2312" w:hAnsi="宋体" w:eastAsia="楷体_GB2312"/>
          <w:b/>
          <w:bCs/>
          <w:szCs w:val="21"/>
          <w:lang w:val="en-US" w:eastAsia="zh-CN"/>
        </w:rPr>
        <w:t xml:space="preserve">中国等国际组织或国家发布的监控名单或者制裁事项，或投资者或投资者重要关联方在使用金融服务中出现其他违反可适用法律法规的情况等，销售机构及管理人有权单方对投资者采取拒绝开户申请、限制交易、停止支付及终止账户业务等一项或多项措施，并可要求投资者配合尽职调查、补充证明文件或者在指定期限内办理销户及其他相关手续。投资者逾期未办理的，则视同自愿销户，此时销售机构及管理人可单方予以销户。销售机构及管理人因投资者出现本条所述的风险情况而采取上述措施所造成的责任和损失由投资者自行承担，给销售机构及管理人造成损失的，投资者应承担相应赔偿责任。其中，“重要关联方”包含“法定代表人、授权签字人、实际控制人、受益所有人、重要投资人、重要被投资人、重要债权人、被控制实体等”。 </w:t>
      </w:r>
    </w:p>
    <w:p>
      <w:pPr>
        <w:snapToGrid w:val="0"/>
        <w:spacing w:line="360" w:lineRule="auto"/>
        <w:ind w:firstLine="422" w:firstLineChars="200"/>
        <w:rPr>
          <w:rFonts w:hint="eastAsia" w:ascii="楷体_GB2312" w:hAnsi="宋体" w:eastAsia="楷体_GB2312"/>
          <w:b/>
          <w:bCs/>
          <w:szCs w:val="21"/>
        </w:rPr>
      </w:pPr>
      <w:r>
        <w:rPr>
          <w:rFonts w:hint="eastAsia" w:ascii="楷体_GB2312" w:hAnsi="宋体" w:eastAsia="楷体_GB2312"/>
          <w:b/>
          <w:bCs/>
          <w:szCs w:val="21"/>
          <w:lang w:val="en-US" w:eastAsia="zh-CN"/>
        </w:rPr>
        <w:t>7.</w:t>
      </w:r>
      <w:r>
        <w:rPr>
          <w:rFonts w:hint="eastAsia" w:ascii="楷体_GB2312" w:hAnsi="宋体" w:eastAsia="楷体_GB2312"/>
          <w:b/>
          <w:bCs/>
          <w:szCs w:val="21"/>
        </w:rPr>
        <w:t>在购买本理财产品前，投资者应仔细阅读本理财产品销售文件，确保自己已详细了解和审慎评估本理财产品的投资方向、风险等级等重要信息，完全理解该项投资的性质和所涉及的风险，并充分、慎重考虑自身的风险承受能力。投资者若对本产品《产品说明书》的内容有任何疑问，请向销售机构咨询。</w:t>
      </w:r>
    </w:p>
    <w:p>
      <w:pPr>
        <w:numPr>
          <w:ilvl w:val="-1"/>
          <w:numId w:val="0"/>
        </w:numPr>
        <w:snapToGrid w:val="0"/>
        <w:spacing w:line="360" w:lineRule="auto"/>
        <w:ind w:firstLine="422" w:firstLineChars="200"/>
        <w:rPr>
          <w:rFonts w:hint="eastAsia" w:ascii="楷体_GB2312" w:hAnsi="宋体" w:eastAsia="楷体_GB2312"/>
          <w:b/>
          <w:bCs/>
          <w:szCs w:val="21"/>
        </w:rPr>
      </w:pPr>
      <w:r>
        <w:rPr>
          <w:rFonts w:hint="eastAsia" w:ascii="楷体_GB2312" w:hAnsi="宋体" w:eastAsia="楷体_GB2312"/>
          <w:b/>
          <w:bCs/>
          <w:szCs w:val="21"/>
          <w:lang w:val="en-US" w:eastAsia="zh-CN"/>
        </w:rPr>
        <w:t>8.</w:t>
      </w:r>
      <w:r>
        <w:rPr>
          <w:rFonts w:hint="eastAsia" w:ascii="楷体_GB2312" w:hAnsi="宋体" w:eastAsia="楷体_GB2312"/>
          <w:b/>
          <w:bCs/>
          <w:szCs w:val="21"/>
        </w:rPr>
        <w:t>投资者认购或申购（如有）本理财产品的资金划出账户应与本理财产品到期或期间赎回（如有）接收资金的账户相同。在本理财产品存续期间，除非经管理人同意，该账户不得变更、注销。如发生投资者账户被有权机关采取司法强制措施的，投资者不得申请对投资者账户予以变更或注销。</w:t>
      </w:r>
    </w:p>
    <w:p>
      <w:pPr>
        <w:snapToGrid w:val="0"/>
        <w:spacing w:line="360" w:lineRule="auto"/>
        <w:ind w:firstLine="422" w:firstLineChars="200"/>
        <w:rPr>
          <w:rFonts w:hint="eastAsia" w:ascii="楷体_GB2312" w:hAnsi="宋体" w:eastAsia="楷体_GB2312"/>
          <w:b/>
          <w:bCs/>
          <w:szCs w:val="21"/>
          <w:lang w:val="en-US" w:eastAsia="zh-CN"/>
        </w:rPr>
      </w:pPr>
      <w:r>
        <w:rPr>
          <w:rFonts w:hint="eastAsia" w:ascii="楷体_GB2312" w:hAnsi="宋体" w:eastAsia="楷体_GB2312"/>
          <w:b/>
          <w:bCs/>
          <w:szCs w:val="21"/>
          <w:highlight w:val="none"/>
          <w:lang w:val="en-US" w:eastAsia="zh-CN"/>
        </w:rPr>
        <w:t>9</w:t>
      </w:r>
      <w:r>
        <w:rPr>
          <w:rFonts w:hint="eastAsia" w:ascii="楷体_GB2312" w:hAnsi="宋体" w:eastAsia="楷体_GB2312"/>
          <w:b/>
          <w:bCs/>
          <w:szCs w:val="21"/>
          <w:highlight w:val="none"/>
        </w:rPr>
        <w:t>.</w:t>
      </w:r>
      <w:r>
        <w:rPr>
          <w:rFonts w:ascii="楷体_GB2312" w:hAnsi="宋体" w:eastAsia="楷体_GB2312"/>
          <w:b/>
          <w:bCs/>
          <w:szCs w:val="21"/>
          <w:highlight w:val="none"/>
        </w:rPr>
        <w:t>在购买本理财产品后，投资者应随时关注本理财产品的信息披露情况，及时获取相关信息，相关信息</w:t>
      </w:r>
      <w:r>
        <w:rPr>
          <w:rFonts w:hint="eastAsia" w:ascii="楷体_GB2312" w:hAnsi="宋体" w:eastAsia="楷体_GB2312"/>
          <w:b/>
          <w:bCs/>
          <w:szCs w:val="21"/>
          <w:highlight w:val="none"/>
        </w:rPr>
        <w:t>通过</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lang w:val="en-US" w:eastAsia="zh-CN"/>
        </w:rPr>
        <w:t>产品说明书</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rPr>
        <w:t>“信息披露”</w:t>
      </w:r>
      <w:r>
        <w:rPr>
          <w:rFonts w:ascii="楷体_GB2312" w:hAnsi="宋体" w:eastAsia="楷体_GB2312"/>
          <w:b/>
          <w:bCs/>
          <w:szCs w:val="21"/>
          <w:highlight w:val="none"/>
        </w:rPr>
        <w:t>约定的方式披露。</w:t>
      </w:r>
    </w:p>
    <w:p>
      <w:pPr>
        <w:snapToGrid w:val="0"/>
        <w:spacing w:line="360" w:lineRule="auto"/>
        <w:ind w:firstLine="422" w:firstLineChars="200"/>
        <w:rPr>
          <w:rFonts w:hint="eastAsia" w:ascii="楷体_GB2312" w:hAnsi="宋体" w:eastAsia="楷体_GB2312"/>
          <w:b/>
          <w:bCs/>
          <w:szCs w:val="21"/>
          <w:highlight w:val="lightGray"/>
          <w:lang w:val="en-US" w:eastAsia="zh-CN"/>
        </w:rPr>
      </w:pPr>
      <w:r>
        <w:rPr>
          <w:rFonts w:hint="eastAsia" w:ascii="楷体_GB2312" w:hAnsi="宋体" w:eastAsia="楷体_GB2312"/>
          <w:b/>
          <w:bCs/>
          <w:szCs w:val="21"/>
          <w:lang w:val="en-US" w:eastAsia="zh-CN"/>
        </w:rPr>
        <w:t>10</w:t>
      </w:r>
      <w:r>
        <w:rPr>
          <w:rFonts w:ascii="楷体_GB2312" w:hAnsi="宋体" w:eastAsia="楷体_GB2312"/>
          <w:b/>
          <w:bCs/>
          <w:szCs w:val="21"/>
        </w:rPr>
        <w:t>.任何业绩比较基准或类似表述均属不具有法律约束力的用语，不代表投资者可能获得的实际收益，亦不构成管理人对本理财产品的任何收益承诺。客户所能获得的最终收益以管理人实际支付的为准。</w:t>
      </w:r>
    </w:p>
    <w:p>
      <w:pPr>
        <w:snapToGrid w:val="0"/>
        <w:spacing w:line="360" w:lineRule="auto"/>
        <w:ind w:firstLine="422" w:firstLineChars="200"/>
        <w:rPr>
          <w:rFonts w:ascii="楷体_GB2312" w:hAnsi="宋体" w:eastAsia="楷体_GB2312"/>
          <w:b/>
          <w:bCs/>
          <w:szCs w:val="21"/>
          <w:highlight w:val="none"/>
        </w:rPr>
      </w:pPr>
      <w:r>
        <w:rPr>
          <w:rFonts w:hint="eastAsia" w:ascii="楷体_GB2312" w:hAnsi="宋体" w:eastAsia="楷体_GB2312"/>
          <w:b/>
          <w:bCs/>
          <w:szCs w:val="21"/>
          <w:highlight w:val="none"/>
          <w:lang w:val="en-US" w:eastAsia="zh-CN"/>
        </w:rPr>
        <w:t>11</w:t>
      </w:r>
      <w:r>
        <w:rPr>
          <w:rFonts w:ascii="楷体_GB2312" w:hAnsi="宋体" w:eastAsia="楷体_GB2312"/>
          <w:b/>
          <w:bCs/>
          <w:szCs w:val="21"/>
          <w:highlight w:val="none"/>
        </w:rPr>
        <w:t>.</w:t>
      </w:r>
      <w:r>
        <w:rPr>
          <w:rFonts w:hint="eastAsia" w:ascii="楷体_GB2312" w:hAnsi="宋体" w:eastAsia="楷体_GB2312"/>
          <w:b/>
          <w:bCs/>
          <w:szCs w:val="21"/>
          <w:highlight w:val="none"/>
        </w:rPr>
        <w:t>管理人承诺以诚实信用、勤勉尽责为原则，并根据本《产品说明书》所载要求管理和运用理财产品资产。</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12</w:t>
      </w:r>
      <w:r>
        <w:rPr>
          <w:rFonts w:ascii="楷体_GB2312" w:hAnsi="宋体" w:eastAsia="楷体_GB2312"/>
          <w:b/>
          <w:bCs/>
          <w:szCs w:val="21"/>
        </w:rPr>
        <w:t>.管理人对本理财产品的</w:t>
      </w:r>
      <w:r>
        <w:rPr>
          <w:rFonts w:hint="eastAsia" w:ascii="楷体_GB2312" w:hAnsi="宋体" w:eastAsia="楷体_GB2312"/>
          <w:b/>
          <w:bCs/>
          <w:szCs w:val="21"/>
        </w:rPr>
        <w:t>产品</w:t>
      </w:r>
      <w:r>
        <w:rPr>
          <w:rFonts w:ascii="楷体_GB2312" w:hAnsi="宋体" w:eastAsia="楷体_GB2312"/>
          <w:b/>
          <w:bCs/>
          <w:szCs w:val="21"/>
        </w:rPr>
        <w:t>风险评级为</w:t>
      </w:r>
      <w:r>
        <w:rPr>
          <w:rFonts w:hint="eastAsia" w:ascii="楷体_GB2312" w:hAnsi="宋体" w:eastAsia="楷体_GB2312"/>
          <w:b/>
          <w:bCs/>
          <w:szCs w:val="21"/>
          <w:lang w:eastAsia="zh-CN"/>
        </w:rPr>
        <w:t>【</w:t>
      </w:r>
      <w:r>
        <w:rPr>
          <w:rFonts w:hint="eastAsia" w:ascii="楷体_GB2312" w:hAnsi="宋体" w:eastAsia="楷体_GB2312"/>
          <w:b/>
          <w:bCs/>
          <w:color w:val="C00000"/>
          <w:szCs w:val="21"/>
          <w:u w:val="single"/>
        </w:rPr>
        <w:t>中低风险</w:t>
      </w:r>
      <w:r>
        <w:rPr>
          <w:rFonts w:ascii="楷体_GB2312" w:hAnsi="宋体" w:eastAsia="楷体_GB2312"/>
          <w:b/>
          <w:bCs/>
          <w:color w:val="C00000"/>
          <w:szCs w:val="21"/>
          <w:u w:val="single"/>
        </w:rPr>
        <w:t>（</w:t>
      </w:r>
      <w:r>
        <w:rPr>
          <w:rFonts w:hint="eastAsia" w:ascii="楷体_GB2312" w:hAnsi="宋体" w:eastAsia="楷体_GB2312"/>
          <w:b/>
          <w:bCs/>
          <w:color w:val="C00000"/>
          <w:szCs w:val="21"/>
          <w:u w:val="single"/>
        </w:rPr>
        <w:t>二级</w:t>
      </w:r>
      <w:r>
        <w:rPr>
          <w:rFonts w:ascii="楷体_GB2312" w:hAnsi="宋体" w:eastAsia="楷体_GB2312"/>
          <w:b/>
          <w:bCs/>
          <w:color w:val="C00000"/>
          <w:szCs w:val="21"/>
          <w:u w:val="single"/>
        </w:rPr>
        <w:t>风险</w:t>
      </w:r>
      <w:r>
        <w:rPr>
          <w:rFonts w:hint="eastAsia" w:ascii="楷体_GB2312" w:hAnsi="宋体" w:eastAsia="楷体_GB2312"/>
          <w:b/>
          <w:bCs/>
          <w:color w:val="C00000"/>
          <w:szCs w:val="21"/>
          <w:u w:val="single"/>
          <w:lang w:eastAsia="zh-CN"/>
        </w:rPr>
        <w:t>）</w:t>
      </w:r>
      <w:r>
        <w:rPr>
          <w:rFonts w:hint="eastAsia" w:ascii="楷体_GB2312" w:hAnsi="宋体" w:eastAsia="楷体_GB2312"/>
          <w:b/>
          <w:bCs/>
          <w:color w:val="auto"/>
          <w:szCs w:val="21"/>
          <w:u w:val="single"/>
          <w:lang w:eastAsia="zh-CN"/>
        </w:rPr>
        <w:t>】</w:t>
      </w:r>
      <w:r>
        <w:rPr>
          <w:rFonts w:ascii="楷体_GB2312" w:hAnsi="宋体" w:eastAsia="楷体_GB2312"/>
          <w:b/>
          <w:bCs/>
          <w:szCs w:val="21"/>
        </w:rPr>
        <w:t>，本理财产品通过</w:t>
      </w:r>
      <w:r>
        <w:rPr>
          <w:rFonts w:hint="eastAsia" w:ascii="楷体" w:hAnsi="楷体" w:eastAsia="楷体" w:cs="楷体"/>
          <w:b/>
          <w:bCs/>
          <w:szCs w:val="21"/>
          <w:u w:val="none"/>
          <w:lang w:val="en-US" w:eastAsia="zh-CN"/>
        </w:rPr>
        <w:t>代理</w:t>
      </w:r>
      <w:r>
        <w:rPr>
          <w:rFonts w:ascii="楷体_GB2312" w:hAnsi="宋体" w:eastAsia="楷体_GB2312"/>
          <w:b/>
          <w:bCs/>
          <w:szCs w:val="21"/>
        </w:rPr>
        <w:t>销售机构销售的，</w:t>
      </w:r>
      <w:r>
        <w:rPr>
          <w:rFonts w:hint="eastAsia" w:ascii="楷体" w:hAnsi="楷体" w:eastAsia="楷体" w:cs="楷体"/>
          <w:b/>
          <w:bCs/>
          <w:szCs w:val="21"/>
          <w:u w:val="none"/>
          <w:lang w:val="en-US" w:eastAsia="zh-CN"/>
        </w:rPr>
        <w:t>代理</w:t>
      </w:r>
      <w:r>
        <w:rPr>
          <w:rFonts w:ascii="楷体_GB2312" w:hAnsi="宋体" w:eastAsia="楷体_GB2312"/>
          <w:b/>
          <w:bCs/>
          <w:szCs w:val="21"/>
        </w:rPr>
        <w:t>销售机构应当根据销售机构的方式和方法，独立、审慎地对销售的本理财产品进行销售评级，销售评级与管理人评级结果不一致的，</w:t>
      </w:r>
      <w:r>
        <w:rPr>
          <w:rFonts w:hint="eastAsia" w:ascii="楷体" w:hAnsi="楷体" w:eastAsia="楷体" w:cs="楷体"/>
          <w:b/>
          <w:bCs/>
          <w:szCs w:val="21"/>
          <w:u w:val="none"/>
          <w:lang w:val="en-US" w:eastAsia="zh-CN"/>
        </w:rPr>
        <w:t>代理</w:t>
      </w:r>
      <w:r>
        <w:rPr>
          <w:rFonts w:ascii="楷体_GB2312" w:hAnsi="宋体" w:eastAsia="楷体_GB2312"/>
          <w:b/>
          <w:bCs/>
          <w:szCs w:val="21"/>
        </w:rPr>
        <w:t>销售机构应当采用对应较高风险等级的评级结果并予以披露，本理财产品评级应当以</w:t>
      </w:r>
      <w:r>
        <w:rPr>
          <w:rFonts w:hint="eastAsia" w:ascii="楷体" w:hAnsi="楷体" w:eastAsia="楷体" w:cs="楷体"/>
          <w:b/>
          <w:bCs/>
          <w:szCs w:val="21"/>
          <w:u w:val="none"/>
          <w:lang w:val="en-US" w:eastAsia="zh-CN"/>
        </w:rPr>
        <w:t>代理</w:t>
      </w:r>
      <w:r>
        <w:rPr>
          <w:rFonts w:ascii="楷体_GB2312" w:hAnsi="宋体" w:eastAsia="楷体_GB2312"/>
          <w:b/>
          <w:bCs/>
          <w:szCs w:val="21"/>
        </w:rPr>
        <w:t>销售机构最终披露的评级结果为准。</w:t>
      </w:r>
      <w:r>
        <w:rPr>
          <w:rFonts w:hint="eastAsia" w:ascii="楷体_GB2312" w:hAnsi="宋体" w:eastAsia="楷体_GB2312"/>
          <w:b/>
          <w:bCs/>
          <w:szCs w:val="21"/>
        </w:rPr>
        <w:t>本理财</w:t>
      </w:r>
      <w:r>
        <w:rPr>
          <w:rFonts w:hint="eastAsia" w:ascii="楷体_GB2312" w:hAnsi="宋体" w:eastAsia="楷体_GB2312"/>
          <w:b/>
          <w:bCs/>
          <w:szCs w:val="21"/>
          <w:lang w:val="en-US" w:eastAsia="zh-CN"/>
        </w:rPr>
        <w:t>产品</w:t>
      </w:r>
      <w:r>
        <w:rPr>
          <w:rFonts w:hint="eastAsia" w:ascii="楷体_GB2312" w:hAnsi="宋体" w:eastAsia="楷体_GB2312"/>
          <w:b/>
          <w:bCs/>
          <w:szCs w:val="21"/>
        </w:rPr>
        <w:t>收益特征为</w:t>
      </w:r>
      <w:r>
        <w:rPr>
          <w:rFonts w:hint="eastAsia" w:ascii="楷体_GB2312" w:hAnsi="宋体" w:eastAsia="楷体_GB2312"/>
          <w:b/>
          <w:bCs/>
          <w:szCs w:val="21"/>
          <w:lang w:eastAsia="zh-CN"/>
        </w:rPr>
        <w:t>【</w:t>
      </w:r>
      <w:r>
        <w:rPr>
          <w:rFonts w:hint="eastAsia" w:ascii="楷体_GB2312" w:hAnsi="宋体" w:eastAsia="楷体_GB2312"/>
          <w:b/>
          <w:bCs/>
          <w:color w:val="C00000"/>
          <w:szCs w:val="21"/>
          <w:u w:val="single"/>
        </w:rPr>
        <w:t>非保本浮动收益</w:t>
      </w:r>
      <w:r>
        <w:rPr>
          <w:rFonts w:hint="eastAsia" w:ascii="楷体_GB2312" w:hAnsi="宋体" w:eastAsia="楷体_GB2312"/>
          <w:b/>
          <w:bCs/>
          <w:color w:val="C00000"/>
          <w:szCs w:val="21"/>
          <w:u w:val="single"/>
          <w:lang w:val="en-US" w:eastAsia="zh-CN"/>
        </w:rPr>
        <w:t>型</w:t>
      </w:r>
      <w:r>
        <w:rPr>
          <w:rFonts w:hint="eastAsia" w:ascii="楷体_GB2312" w:hAnsi="宋体" w:eastAsia="楷体_GB2312"/>
          <w:b/>
          <w:bCs/>
          <w:szCs w:val="21"/>
          <w:lang w:val="en-US" w:eastAsia="zh-CN"/>
        </w:rPr>
        <w:t>】</w:t>
      </w:r>
      <w:r>
        <w:rPr>
          <w:rFonts w:hint="eastAsia" w:ascii="楷体_GB2312" w:hAnsi="宋体" w:eastAsia="楷体_GB2312"/>
          <w:b/>
          <w:bCs/>
          <w:szCs w:val="21"/>
        </w:rPr>
        <w:t>，您的本金有可能会因市场变动蒙受重大损失，您应充分认识投资风险，谨慎投资。</w:t>
      </w:r>
    </w:p>
    <w:p>
      <w:pPr>
        <w:numPr>
          <w:ilvl w:val="-1"/>
          <w:numId w:val="0"/>
        </w:numPr>
        <w:spacing w:line="360" w:lineRule="auto"/>
        <w:ind w:firstLine="422" w:firstLineChars="200"/>
        <w:contextualSpacing/>
        <w:rPr>
          <w:rFonts w:hint="eastAsia" w:ascii="楷体_GB2312" w:hAnsi="宋体" w:eastAsia="楷体_GB2312"/>
          <w:b/>
          <w:bCs/>
          <w:color w:val="auto"/>
          <w:szCs w:val="21"/>
        </w:rPr>
      </w:pPr>
      <w:r>
        <w:rPr>
          <w:rFonts w:hint="eastAsia" w:ascii="楷体_GB2312" w:hAnsi="宋体" w:eastAsia="楷体_GB2312"/>
          <w:b/>
          <w:bCs/>
          <w:szCs w:val="21"/>
        </w:rPr>
        <w:t>1</w:t>
      </w:r>
      <w:r>
        <w:rPr>
          <w:rFonts w:hint="eastAsia" w:ascii="楷体_GB2312" w:hAnsi="宋体" w:eastAsia="楷体_GB2312"/>
          <w:b/>
          <w:bCs/>
          <w:szCs w:val="21"/>
          <w:lang w:val="en-US" w:eastAsia="zh-CN"/>
        </w:rPr>
        <w:t>3</w:t>
      </w:r>
      <w:r>
        <w:rPr>
          <w:rFonts w:hint="eastAsia" w:ascii="楷体_GB2312" w:hAnsi="宋体" w:eastAsia="楷体_GB2312"/>
          <w:b/>
          <w:bCs/>
          <w:szCs w:val="21"/>
        </w:rPr>
        <w:t>.</w:t>
      </w:r>
      <w:r>
        <w:rPr>
          <w:rFonts w:hint="eastAsia" w:ascii="楷体_GB2312" w:hAnsi="宋体" w:eastAsia="楷体_GB2312"/>
          <w:b/>
          <w:bCs/>
          <w:color w:val="auto"/>
          <w:szCs w:val="21"/>
        </w:rPr>
        <w:t>在本理财</w:t>
      </w:r>
      <w:r>
        <w:rPr>
          <w:rFonts w:hint="eastAsia" w:ascii="楷体_GB2312" w:hAnsi="宋体" w:eastAsia="楷体_GB2312"/>
          <w:b/>
          <w:bCs/>
          <w:color w:val="auto"/>
          <w:szCs w:val="21"/>
          <w:lang w:val="en-US" w:eastAsia="zh-CN"/>
        </w:rPr>
        <w:t>产品</w:t>
      </w:r>
      <w:r>
        <w:rPr>
          <w:rFonts w:hint="eastAsia" w:ascii="楷体_GB2312" w:hAnsi="宋体" w:eastAsia="楷体_GB2312"/>
          <w:b/>
          <w:bCs/>
          <w:color w:val="auto"/>
          <w:szCs w:val="21"/>
        </w:rPr>
        <w:t>存续期内，如出于维持本理财</w:t>
      </w:r>
      <w:r>
        <w:rPr>
          <w:rFonts w:hint="eastAsia" w:ascii="楷体_GB2312" w:hAnsi="宋体" w:eastAsia="楷体_GB2312"/>
          <w:b/>
          <w:bCs/>
          <w:color w:val="auto"/>
          <w:szCs w:val="21"/>
          <w:lang w:val="en-US" w:eastAsia="zh-CN"/>
        </w:rPr>
        <w:t>产品</w:t>
      </w:r>
      <w:r>
        <w:rPr>
          <w:rFonts w:hint="eastAsia" w:ascii="楷体_GB2312" w:hAnsi="宋体" w:eastAsia="楷体_GB2312"/>
          <w:b/>
          <w:bCs/>
          <w:color w:val="auto"/>
          <w:szCs w:val="21"/>
        </w:rPr>
        <w:t>正常运营的需要且在不损害投资者利益的前提下，或因国家法律法规、监管规定发生变化，管理人有权单方对本理财</w:t>
      </w:r>
      <w:r>
        <w:rPr>
          <w:rFonts w:hint="eastAsia" w:ascii="楷体_GB2312" w:hAnsi="宋体" w:eastAsia="楷体_GB2312"/>
          <w:b/>
          <w:bCs/>
          <w:color w:val="auto"/>
          <w:szCs w:val="21"/>
          <w:lang w:val="en-US" w:eastAsia="zh-CN"/>
        </w:rPr>
        <w:t>产品合同</w:t>
      </w:r>
      <w:r>
        <w:rPr>
          <w:rFonts w:hint="eastAsia" w:ascii="楷体_GB2312" w:hAnsi="宋体" w:eastAsia="楷体_GB2312"/>
          <w:b/>
          <w:bCs/>
          <w:color w:val="auto"/>
          <w:szCs w:val="21"/>
        </w:rPr>
        <w:t>进行修订。管理人决定对</w:t>
      </w:r>
      <w:r>
        <w:rPr>
          <w:rFonts w:hint="eastAsia" w:ascii="楷体_GB2312" w:hAnsi="宋体" w:eastAsia="楷体_GB2312"/>
          <w:b/>
          <w:bCs/>
          <w:color w:val="auto"/>
          <w:szCs w:val="21"/>
          <w:lang w:val="en-US" w:eastAsia="zh-CN"/>
        </w:rPr>
        <w:t>理财</w:t>
      </w:r>
      <w:r>
        <w:rPr>
          <w:rFonts w:hint="eastAsia" w:ascii="楷体_GB2312" w:hAnsi="宋体" w:eastAsia="楷体_GB2312"/>
          <w:b/>
          <w:bCs/>
          <w:color w:val="auto"/>
          <w:szCs w:val="21"/>
        </w:rPr>
        <w:t>产品</w:t>
      </w:r>
      <w:r>
        <w:rPr>
          <w:rFonts w:hint="eastAsia" w:ascii="楷体_GB2312" w:hAnsi="宋体" w:eastAsia="楷体_GB2312"/>
          <w:b/>
          <w:bCs/>
          <w:color w:val="auto"/>
          <w:szCs w:val="21"/>
          <w:lang w:val="en-US" w:eastAsia="zh-CN"/>
        </w:rPr>
        <w:t>合同</w:t>
      </w:r>
      <w:r>
        <w:rPr>
          <w:rFonts w:hint="eastAsia" w:ascii="楷体_GB2312" w:hAnsi="宋体" w:eastAsia="楷体_GB2312"/>
          <w:b/>
          <w:bCs/>
          <w:color w:val="auto"/>
          <w:szCs w:val="21"/>
        </w:rPr>
        <w:t>进行修订的，将提前</w:t>
      </w:r>
      <w:r>
        <w:rPr>
          <w:rFonts w:hint="eastAsia" w:ascii="楷体_GB2312" w:hAnsi="宋体" w:eastAsia="楷体_GB2312"/>
          <w:b/>
          <w:bCs/>
          <w:color w:val="auto"/>
          <w:szCs w:val="21"/>
          <w:lang w:val="en-US" w:eastAsia="zh-CN"/>
        </w:rPr>
        <w:t>2</w:t>
      </w:r>
      <w:r>
        <w:rPr>
          <w:rFonts w:hint="eastAsia" w:ascii="楷体_GB2312" w:hAnsi="宋体" w:eastAsia="楷体_GB2312"/>
          <w:b/>
          <w:bCs/>
          <w:color w:val="auto"/>
          <w:szCs w:val="21"/>
        </w:rPr>
        <w:t>个工作日通过</w:t>
      </w:r>
      <w:r>
        <w:rPr>
          <w:rFonts w:hint="eastAsia" w:ascii="楷体_GB2312" w:hAnsi="宋体" w:eastAsia="楷体_GB2312"/>
          <w:b/>
          <w:bCs/>
          <w:color w:val="auto"/>
          <w:szCs w:val="21"/>
          <w:lang w:eastAsia="zh-CN"/>
        </w:rPr>
        <w:t>“</w:t>
      </w:r>
      <w:r>
        <w:rPr>
          <w:rFonts w:hint="eastAsia" w:ascii="楷体_GB2312" w:hAnsi="宋体" w:eastAsia="楷体_GB2312"/>
          <w:b/>
          <w:bCs/>
          <w:color w:val="auto"/>
          <w:szCs w:val="21"/>
        </w:rPr>
        <w:t>信息披露</w:t>
      </w:r>
      <w:r>
        <w:rPr>
          <w:rFonts w:hint="eastAsia" w:ascii="楷体_GB2312" w:hAnsi="宋体" w:eastAsia="楷体_GB2312"/>
          <w:b/>
          <w:bCs/>
          <w:color w:val="auto"/>
          <w:szCs w:val="21"/>
          <w:lang w:eastAsia="zh-CN"/>
        </w:rPr>
        <w:t>”</w:t>
      </w:r>
      <w:r>
        <w:rPr>
          <w:rFonts w:hint="eastAsia" w:ascii="楷体_GB2312" w:hAnsi="宋体" w:eastAsia="楷体_GB2312"/>
          <w:b/>
          <w:bCs/>
          <w:color w:val="auto"/>
          <w:szCs w:val="21"/>
        </w:rPr>
        <w:t>章节约定的信息披露渠道发布相关信息公告通知投资者。修订后的</w:t>
      </w:r>
      <w:r>
        <w:rPr>
          <w:rFonts w:hint="eastAsia" w:ascii="楷体_GB2312" w:hAnsi="宋体" w:eastAsia="楷体_GB2312"/>
          <w:b/>
          <w:bCs/>
          <w:color w:val="auto"/>
          <w:szCs w:val="21"/>
          <w:lang w:val="en-US" w:eastAsia="zh-CN"/>
        </w:rPr>
        <w:t>理财产品合同</w:t>
      </w:r>
      <w:r>
        <w:rPr>
          <w:rFonts w:hint="eastAsia" w:ascii="楷体_GB2312" w:hAnsi="宋体" w:eastAsia="楷体_GB2312"/>
          <w:b/>
          <w:bCs/>
          <w:color w:val="auto"/>
          <w:szCs w:val="21"/>
        </w:rPr>
        <w:t>对投资者具有法律约束力。</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1</w:t>
      </w:r>
      <w:r>
        <w:rPr>
          <w:rFonts w:hint="eastAsia" w:ascii="楷体_GB2312" w:hAnsi="宋体" w:eastAsia="楷体_GB2312"/>
          <w:b/>
          <w:bCs/>
          <w:szCs w:val="21"/>
          <w:lang w:val="en-US" w:eastAsia="zh-CN"/>
        </w:rPr>
        <w:t>4</w:t>
      </w:r>
      <w:r>
        <w:rPr>
          <w:rFonts w:hint="eastAsia" w:ascii="楷体_GB2312" w:hAnsi="宋体" w:eastAsia="楷体_GB2312"/>
          <w:b/>
          <w:bCs/>
          <w:szCs w:val="21"/>
        </w:rPr>
        <w:t>.</w:t>
      </w:r>
      <w:r>
        <w:rPr>
          <w:rFonts w:ascii="楷体_GB2312" w:hAnsi="宋体" w:eastAsia="楷体_GB2312"/>
          <w:b/>
          <w:bCs/>
          <w:szCs w:val="21"/>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投资者身份信息、每日交易、持仓等信息。后续</w:t>
      </w:r>
      <w:r>
        <w:rPr>
          <w:rFonts w:hint="eastAsia" w:ascii="楷体_GB2312" w:hAnsi="宋体" w:eastAsia="楷体_GB2312"/>
          <w:b/>
          <w:bCs/>
          <w:szCs w:val="21"/>
        </w:rPr>
        <w:t>监管机构</w:t>
      </w:r>
      <w:r>
        <w:rPr>
          <w:rFonts w:ascii="楷体_GB2312" w:hAnsi="宋体" w:eastAsia="楷体_GB2312"/>
          <w:b/>
          <w:bCs/>
          <w:szCs w:val="21"/>
        </w:rPr>
        <w:t>和银行业理财登记托管中心等</w:t>
      </w:r>
      <w:r>
        <w:rPr>
          <w:rFonts w:hint="eastAsia" w:ascii="楷体_GB2312" w:hAnsi="宋体" w:eastAsia="楷体_GB2312"/>
          <w:b/>
          <w:bCs/>
          <w:szCs w:val="21"/>
        </w:rPr>
        <w:t>机构</w:t>
      </w:r>
      <w:r>
        <w:rPr>
          <w:rFonts w:ascii="楷体_GB2312" w:hAnsi="宋体" w:eastAsia="楷体_GB2312"/>
          <w:b/>
          <w:bCs/>
          <w:szCs w:val="21"/>
        </w:rPr>
        <w:t>如果提出新的信息报送要求，管理人将按照该等要求执行。投资者签署本理财产品销售文件即视为已经同意管理人将投资者身份信息及每日持仓信息报送相关监管机构。</w:t>
      </w:r>
    </w:p>
    <w:p>
      <w:pPr>
        <w:snapToGrid w:val="0"/>
        <w:spacing w:line="360" w:lineRule="auto"/>
        <w:ind w:firstLine="422" w:firstLineChars="200"/>
        <w:rPr>
          <w:rFonts w:ascii="楷体_GB2312" w:hAnsi="宋体" w:eastAsia="楷体_GB2312"/>
          <w:b/>
          <w:bCs/>
          <w:szCs w:val="21"/>
        </w:rPr>
      </w:pPr>
      <w:r>
        <w:rPr>
          <w:rFonts w:ascii="楷体_GB2312" w:hAnsi="宋体" w:eastAsia="楷体_GB2312"/>
          <w:b/>
          <w:bCs/>
          <w:szCs w:val="21"/>
        </w:rPr>
        <w:t>1</w:t>
      </w:r>
      <w:r>
        <w:rPr>
          <w:rFonts w:hint="eastAsia" w:ascii="楷体_GB2312" w:hAnsi="宋体" w:eastAsia="楷体_GB2312"/>
          <w:b/>
          <w:bCs/>
          <w:szCs w:val="21"/>
          <w:lang w:val="en-US" w:eastAsia="zh-CN"/>
        </w:rPr>
        <w:t>5</w:t>
      </w:r>
      <w:r>
        <w:rPr>
          <w:rFonts w:hint="eastAsia" w:ascii="楷体_GB2312" w:hAnsi="宋体" w:eastAsia="楷体_GB2312"/>
          <w:b/>
          <w:bCs/>
          <w:szCs w:val="21"/>
        </w:rPr>
        <w:t>.</w:t>
      </w:r>
      <w:r>
        <w:rPr>
          <w:rFonts w:ascii="楷体_GB2312" w:hAnsi="宋体" w:eastAsia="楷体_GB2312"/>
          <w:b/>
          <w:bCs/>
          <w:szCs w:val="21"/>
        </w:rPr>
        <w:t>根据监管机构要求，</w:t>
      </w:r>
      <w:r>
        <w:rPr>
          <w:rFonts w:hint="eastAsia" w:ascii="楷体_GB2312" w:hAnsi="宋体" w:eastAsia="楷体_GB2312"/>
          <w:b/>
          <w:bCs/>
          <w:szCs w:val="21"/>
        </w:rPr>
        <w:t>本理财</w:t>
      </w:r>
      <w:r>
        <w:rPr>
          <w:rFonts w:ascii="楷体_GB2312" w:hAnsi="宋体" w:eastAsia="楷体_GB2312"/>
          <w:b/>
          <w:bCs/>
          <w:szCs w:val="21"/>
        </w:rPr>
        <w:t>产品的</w:t>
      </w:r>
      <w:r>
        <w:rPr>
          <w:rFonts w:hint="eastAsia" w:ascii="楷体_GB2312" w:hAnsi="宋体" w:eastAsia="楷体_GB2312"/>
          <w:b/>
          <w:bCs/>
          <w:szCs w:val="21"/>
        </w:rPr>
        <w:t>投资合作机构</w:t>
      </w:r>
      <w:r>
        <w:rPr>
          <w:rFonts w:ascii="楷体_GB2312" w:hAnsi="宋体" w:eastAsia="楷体_GB2312"/>
          <w:b/>
          <w:bCs/>
          <w:szCs w:val="21"/>
        </w:rPr>
        <w:t>（</w:t>
      </w:r>
      <w:r>
        <w:rPr>
          <w:rFonts w:hint="eastAsia" w:ascii="楷体" w:hAnsi="楷体" w:eastAsia="楷体" w:cs="楷体"/>
          <w:b/>
          <w:bCs/>
          <w:szCs w:val="21"/>
          <w:u w:val="none"/>
        </w:rPr>
        <w:t>包括但不限于理财产品所投资资产管理产品的发行机构、根据合同约定从事理财产品受托投资的机构以及与理财产品投资管理相关的投资顾问等</w:t>
      </w:r>
      <w:r>
        <w:rPr>
          <w:rFonts w:ascii="楷体_GB2312" w:hAnsi="宋体" w:eastAsia="楷体_GB2312"/>
          <w:b/>
          <w:bCs/>
          <w:szCs w:val="21"/>
        </w:rPr>
        <w:t>，下同）有可能需要向监管机构报送投资者身份信息、持仓信息等相关信息，</w:t>
      </w:r>
      <w:r>
        <w:rPr>
          <w:rFonts w:hint="eastAsia" w:ascii="楷体_GB2312" w:hAnsi="宋体" w:eastAsia="楷体_GB2312"/>
          <w:b/>
          <w:bCs/>
          <w:szCs w:val="21"/>
        </w:rPr>
        <w:t>管理人</w:t>
      </w:r>
      <w:r>
        <w:rPr>
          <w:rFonts w:ascii="楷体_GB2312" w:hAnsi="宋体" w:eastAsia="楷体_GB2312"/>
          <w:b/>
          <w:bCs/>
          <w:szCs w:val="21"/>
        </w:rPr>
        <w:t>将</w:t>
      </w:r>
      <w:r>
        <w:rPr>
          <w:rFonts w:hint="eastAsia" w:ascii="楷体_GB2312" w:hAnsi="宋体" w:eastAsia="楷体_GB2312"/>
          <w:b/>
          <w:bCs/>
          <w:szCs w:val="21"/>
        </w:rPr>
        <w:t>根据上述</w:t>
      </w:r>
      <w:r>
        <w:rPr>
          <w:rFonts w:ascii="楷体_GB2312" w:hAnsi="宋体" w:eastAsia="楷体_GB2312"/>
          <w:b/>
          <w:bCs/>
          <w:szCs w:val="21"/>
        </w:rPr>
        <w:t>机构申请，在必要范围内向</w:t>
      </w:r>
      <w:r>
        <w:rPr>
          <w:rFonts w:hint="eastAsia" w:ascii="楷体_GB2312" w:hAnsi="宋体" w:eastAsia="楷体_GB2312"/>
          <w:b/>
          <w:bCs/>
          <w:szCs w:val="21"/>
        </w:rPr>
        <w:t>其</w:t>
      </w:r>
      <w:r>
        <w:rPr>
          <w:rFonts w:ascii="楷体_GB2312" w:hAnsi="宋体" w:eastAsia="楷体_GB2312"/>
          <w:b/>
          <w:bCs/>
          <w:szCs w:val="21"/>
        </w:rPr>
        <w:t>提供相关信息，并要求该等</w:t>
      </w:r>
      <w:r>
        <w:rPr>
          <w:rFonts w:hint="eastAsia" w:ascii="楷体_GB2312" w:hAnsi="宋体" w:eastAsia="楷体_GB2312"/>
          <w:b/>
          <w:bCs/>
          <w:szCs w:val="21"/>
        </w:rPr>
        <w:t>投资合作机构</w:t>
      </w:r>
      <w:r>
        <w:rPr>
          <w:rFonts w:ascii="楷体_GB2312" w:hAnsi="宋体" w:eastAsia="楷体_GB2312"/>
          <w:b/>
          <w:bCs/>
          <w:szCs w:val="21"/>
        </w:rPr>
        <w:t>履行投资者信息保密义务。投资者签署本理财产品销售文件即视为已经同意管理人在前述范围内向相关方提供投资者身份信息、持仓信息等相关信息。</w:t>
      </w:r>
    </w:p>
    <w:p>
      <w:pPr>
        <w:snapToGrid w:val="0"/>
        <w:spacing w:line="360" w:lineRule="auto"/>
        <w:ind w:firstLine="422" w:firstLineChars="200"/>
        <w:rPr>
          <w:rFonts w:hint="eastAsia" w:ascii="楷体_GB2312" w:hAnsi="宋体" w:eastAsia="楷体_GB2312"/>
          <w:b/>
          <w:bCs/>
          <w:szCs w:val="21"/>
          <w:lang w:eastAsia="zh-CN"/>
        </w:rPr>
      </w:pPr>
      <w:r>
        <w:rPr>
          <w:rFonts w:hint="eastAsia" w:ascii="楷体_GB2312" w:hAnsi="宋体" w:eastAsia="楷体_GB2312"/>
          <w:b/>
          <w:bCs/>
          <w:szCs w:val="21"/>
        </w:rPr>
        <w:t>1</w:t>
      </w:r>
      <w:r>
        <w:rPr>
          <w:rFonts w:hint="eastAsia" w:ascii="楷体_GB2312" w:hAnsi="宋体" w:eastAsia="楷体_GB2312"/>
          <w:b/>
          <w:bCs/>
          <w:szCs w:val="21"/>
          <w:lang w:val="en-US" w:eastAsia="zh-CN"/>
        </w:rPr>
        <w:t>6</w:t>
      </w:r>
      <w:r>
        <w:rPr>
          <w:rFonts w:ascii="楷体_GB2312" w:hAnsi="宋体" w:eastAsia="楷体_GB2312"/>
          <w:b/>
          <w:bCs/>
          <w:szCs w:val="21"/>
        </w:rPr>
        <w:t>.</w:t>
      </w:r>
      <w:r>
        <w:rPr>
          <w:rFonts w:hint="eastAsia" w:ascii="楷体_GB2312" w:hAnsi="宋体" w:eastAsia="楷体_GB2312"/>
          <w:b/>
          <w:bCs/>
          <w:szCs w:val="21"/>
        </w:rPr>
        <w:t>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r>
        <w:rPr>
          <w:rFonts w:hint="eastAsia" w:ascii="楷体_GB2312" w:hAnsi="宋体" w:eastAsia="楷体_GB2312"/>
          <w:b/>
          <w:bCs/>
          <w:szCs w:val="21"/>
          <w:lang w:eastAsia="zh-CN"/>
        </w:rPr>
        <w:t>。</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1</w:t>
      </w:r>
      <w:r>
        <w:rPr>
          <w:rFonts w:hint="eastAsia" w:ascii="楷体_GB2312" w:hAnsi="宋体" w:eastAsia="楷体_GB2312"/>
          <w:b/>
          <w:bCs/>
          <w:szCs w:val="21"/>
          <w:lang w:val="en-US" w:eastAsia="zh-CN"/>
        </w:rPr>
        <w:t>7</w:t>
      </w:r>
      <w:r>
        <w:rPr>
          <w:rFonts w:hint="eastAsia" w:ascii="楷体_GB2312" w:hAnsi="宋体" w:eastAsia="楷体_GB2312"/>
          <w:b/>
          <w:bCs/>
          <w:szCs w:val="21"/>
        </w:rPr>
        <w:t>.</w:t>
      </w:r>
      <w:r>
        <w:rPr>
          <w:rFonts w:hint="eastAsia" w:ascii="楷体" w:hAnsi="楷体" w:eastAsia="楷体"/>
          <w:b/>
          <w:bCs/>
        </w:rPr>
        <w:t xml:space="preserve"> 本理财产品</w:t>
      </w:r>
      <w:r>
        <w:rPr>
          <w:rFonts w:hint="eastAsia" w:ascii="楷体" w:hAnsi="楷体" w:eastAsia="楷体"/>
          <w:b/>
          <w:bCs/>
          <w:lang w:val="en-US" w:eastAsia="zh-CN"/>
        </w:rPr>
        <w:t>合同</w:t>
      </w:r>
      <w:r>
        <w:rPr>
          <w:rFonts w:hint="eastAsia" w:ascii="楷体" w:hAnsi="楷体" w:eastAsia="楷体"/>
          <w:b/>
          <w:bCs/>
        </w:rPr>
        <w:t>在法律许可的范围内由管理人负责解释。若客户对上述内容有任何疑问，请联系销售机构</w:t>
      </w:r>
      <w:r>
        <w:rPr>
          <w:rFonts w:hint="eastAsia" w:ascii="楷体" w:hAnsi="楷体" w:eastAsia="楷体"/>
          <w:b/>
          <w:bCs/>
          <w:lang w:val="en-US" w:eastAsia="zh-CN"/>
        </w:rPr>
        <w:t>咨询</w:t>
      </w:r>
      <w:r>
        <w:rPr>
          <w:rFonts w:hint="eastAsia" w:ascii="楷体" w:hAnsi="楷体" w:eastAsia="楷体"/>
          <w:b/>
          <w:bCs/>
        </w:rPr>
        <w:t>，也可致电销售机构全国统一客户服务热线。</w:t>
      </w:r>
    </w:p>
    <w:p>
      <w:pPr>
        <w:pStyle w:val="2"/>
        <w:spacing w:before="120" w:after="120" w:line="240" w:lineRule="auto"/>
        <w:rPr>
          <w:rFonts w:ascii="楷体" w:hAnsi="楷体" w:eastAsia="楷体"/>
          <w:sz w:val="28"/>
          <w:szCs w:val="28"/>
        </w:rPr>
      </w:pPr>
      <w:r>
        <w:rPr>
          <w:rFonts w:hint="eastAsia" w:ascii="楷体" w:hAnsi="楷体" w:eastAsia="楷体"/>
          <w:sz w:val="28"/>
          <w:szCs w:val="28"/>
        </w:rPr>
        <w:t>二、定义解释</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在本《产品说明书》中，除上下文另有明确约定，下列用词将具有如下含义：</w:t>
      </w:r>
    </w:p>
    <w:p>
      <w:pPr>
        <w:pStyle w:val="3"/>
        <w:snapToGrid w:val="0"/>
        <w:spacing w:before="0" w:after="0" w:line="360" w:lineRule="auto"/>
        <w:ind w:firstLine="422" w:firstLineChars="200"/>
        <w:rPr>
          <w:rFonts w:ascii="楷体" w:hAnsi="楷体" w:eastAsia="楷体"/>
          <w:sz w:val="21"/>
          <w:szCs w:val="21"/>
        </w:rPr>
      </w:pPr>
      <w:r>
        <w:rPr>
          <w:rFonts w:hint="eastAsia" w:ascii="楷体" w:hAnsi="楷体" w:eastAsia="楷体"/>
          <w:sz w:val="21"/>
          <w:szCs w:val="21"/>
        </w:rPr>
        <w:t>（一）参与主体</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1</w:t>
      </w:r>
      <w:r>
        <w:rPr>
          <w:rFonts w:ascii="楷体_GB2312" w:hAnsi="宋体" w:eastAsia="楷体_GB2312"/>
          <w:b/>
          <w:bCs/>
          <w:szCs w:val="21"/>
        </w:rPr>
        <w:t>.</w:t>
      </w:r>
      <w:r>
        <w:rPr>
          <w:rFonts w:hint="eastAsia" w:ascii="楷体_GB2312" w:hAnsi="宋体" w:eastAsia="楷体_GB2312"/>
          <w:b/>
          <w:bCs/>
          <w:szCs w:val="21"/>
        </w:rPr>
        <w:t>管理人/投资管理人/理财产品管理人：指上银理财</w:t>
      </w:r>
      <w:r>
        <w:rPr>
          <w:rFonts w:hint="eastAsia" w:ascii="楷体_GB2312" w:hAnsi="宋体" w:eastAsia="楷体_GB2312"/>
          <w:b/>
          <w:bCs/>
          <w:szCs w:val="21"/>
          <w:lang w:val="en-US" w:eastAsia="zh-CN"/>
        </w:rPr>
        <w:t>有限责任公司（以下简称“上银理财”）</w:t>
      </w:r>
      <w:r>
        <w:rPr>
          <w:rFonts w:hint="eastAsia" w:ascii="楷体_GB2312" w:hAnsi="宋体" w:eastAsia="楷体_GB2312"/>
          <w:b/>
          <w:bCs/>
          <w:szCs w:val="21"/>
        </w:rPr>
        <w:t>。</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2</w:t>
      </w:r>
      <w:r>
        <w:rPr>
          <w:rFonts w:ascii="楷体_GB2312" w:hAnsi="宋体" w:eastAsia="楷体_GB2312"/>
          <w:b/>
          <w:bCs/>
          <w:szCs w:val="21"/>
        </w:rPr>
        <w:t>.</w:t>
      </w:r>
      <w:r>
        <w:rPr>
          <w:rFonts w:hint="eastAsia" w:ascii="楷体_GB2312" w:hAnsi="宋体" w:eastAsia="楷体_GB2312"/>
          <w:b/>
          <w:bCs/>
          <w:szCs w:val="21"/>
        </w:rPr>
        <w:t>托管人</w:t>
      </w:r>
      <w:r>
        <w:rPr>
          <w:rFonts w:hint="eastAsia" w:ascii="楷体_GB2312" w:hAnsi="宋体" w:eastAsia="楷体_GB2312"/>
          <w:b/>
          <w:bCs/>
          <w:szCs w:val="21"/>
          <w:lang w:val="en-US" w:eastAsia="zh-CN"/>
        </w:rPr>
        <w:t>/产品托管人/理财产品托管人</w:t>
      </w:r>
      <w:r>
        <w:rPr>
          <w:rFonts w:hint="eastAsia" w:ascii="楷体_GB2312" w:hAnsi="宋体" w:eastAsia="楷体_GB2312"/>
          <w:b/>
          <w:bCs/>
          <w:szCs w:val="21"/>
        </w:rPr>
        <w:t>：指</w:t>
      </w:r>
      <w:r>
        <w:rPr>
          <w:rFonts w:hint="eastAsia" w:ascii="楷体_GB2312" w:hAnsi="宋体" w:eastAsia="楷体_GB2312"/>
          <w:b/>
          <w:bCs/>
          <w:szCs w:val="21"/>
          <w:lang w:eastAsia="zh-CN"/>
        </w:rPr>
        <w:t>【</w:t>
      </w:r>
      <w:r>
        <w:rPr>
          <w:rFonts w:hint="eastAsia" w:ascii="楷体_GB2312" w:hAnsi="宋体" w:eastAsia="楷体_GB2312"/>
          <w:b/>
          <w:bCs/>
          <w:color w:val="auto"/>
          <w:szCs w:val="21"/>
        </w:rPr>
        <w:t>上海银行</w:t>
      </w:r>
      <w:r>
        <w:rPr>
          <w:rFonts w:hint="eastAsia" w:ascii="楷体_GB2312" w:hAnsi="宋体" w:eastAsia="楷体_GB2312"/>
          <w:b/>
          <w:bCs/>
          <w:color w:val="auto"/>
          <w:szCs w:val="21"/>
          <w:lang w:val="en-US" w:eastAsia="zh-CN"/>
        </w:rPr>
        <w:t>股份有限公司</w:t>
      </w:r>
      <w:r>
        <w:rPr>
          <w:rFonts w:hint="eastAsia" w:ascii="楷体_GB2312" w:hAnsi="宋体" w:eastAsia="楷体_GB2312"/>
          <w:b/>
          <w:bCs/>
          <w:szCs w:val="21"/>
          <w:lang w:val="en-US" w:eastAsia="zh-CN"/>
        </w:rPr>
        <w:t>】</w:t>
      </w:r>
      <w:r>
        <w:rPr>
          <w:rFonts w:hint="eastAsia" w:ascii="楷体_GB2312" w:hAnsi="宋体" w:eastAsia="楷体_GB2312"/>
          <w:b/>
          <w:bCs/>
          <w:szCs w:val="21"/>
        </w:rPr>
        <w:t>。</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3</w:t>
      </w:r>
      <w:r>
        <w:rPr>
          <w:rFonts w:ascii="楷体_GB2312" w:hAnsi="宋体" w:eastAsia="楷体_GB2312"/>
          <w:b/>
          <w:bCs/>
          <w:szCs w:val="21"/>
        </w:rPr>
        <w:t>.</w:t>
      </w:r>
      <w:r>
        <w:rPr>
          <w:rFonts w:hint="eastAsia" w:ascii="楷体_GB2312" w:hAnsi="宋体" w:eastAsia="楷体_GB2312"/>
          <w:b/>
          <w:bCs/>
          <w:szCs w:val="21"/>
        </w:rPr>
        <w:t>销售机构：</w:t>
      </w:r>
      <w:r>
        <w:rPr>
          <w:rFonts w:hint="eastAsia" w:ascii="楷体_GB2312" w:hAnsi="宋体" w:eastAsia="楷体_GB2312"/>
          <w:b/>
          <w:bCs/>
          <w:szCs w:val="21"/>
          <w:lang w:val="en-US" w:eastAsia="zh-CN"/>
        </w:rPr>
        <w:t>指管理人指定的销售本理财产品的机构，包括管理人和代理销售机构。</w:t>
      </w:r>
    </w:p>
    <w:p>
      <w:pPr>
        <w:snapToGrid w:val="0"/>
        <w:spacing w:line="360" w:lineRule="auto"/>
        <w:ind w:firstLine="422" w:firstLineChars="200"/>
        <w:rPr>
          <w:rFonts w:ascii="楷体_GB2312" w:hAnsi="宋体" w:eastAsia="楷体_GB2312"/>
          <w:b/>
          <w:bCs/>
          <w:szCs w:val="21"/>
          <w:highlight w:val="none"/>
        </w:rPr>
      </w:pPr>
      <w:r>
        <w:rPr>
          <w:rFonts w:hint="eastAsia" w:ascii="楷体_GB2312" w:hAnsi="宋体" w:eastAsia="楷体_GB2312"/>
          <w:b/>
          <w:bCs/>
          <w:szCs w:val="21"/>
          <w:highlight w:val="none"/>
          <w:lang w:eastAsia="zh-CN"/>
        </w:rPr>
        <w:t>4</w:t>
      </w:r>
      <w:r>
        <w:rPr>
          <w:rFonts w:hint="eastAsia" w:ascii="楷体_GB2312" w:hAnsi="宋体" w:eastAsia="楷体_GB2312"/>
          <w:b/>
          <w:bCs/>
          <w:szCs w:val="21"/>
          <w:highlight w:val="none"/>
        </w:rPr>
        <w:t>.</w:t>
      </w:r>
      <w:r>
        <w:rPr>
          <w:rFonts w:ascii="楷体_GB2312" w:hAnsi="宋体" w:eastAsia="楷体_GB2312"/>
          <w:b/>
          <w:bCs/>
          <w:szCs w:val="21"/>
          <w:highlight w:val="none"/>
        </w:rPr>
        <w:t>认购人：指在</w:t>
      </w:r>
      <w:r>
        <w:rPr>
          <w:rFonts w:hint="eastAsia" w:ascii="楷体_GB2312" w:hAnsi="宋体" w:eastAsia="楷体_GB2312"/>
          <w:b/>
          <w:bCs/>
          <w:szCs w:val="21"/>
          <w:highlight w:val="none"/>
        </w:rPr>
        <w:t>产品</w:t>
      </w:r>
      <w:r>
        <w:rPr>
          <w:rFonts w:ascii="楷体_GB2312" w:hAnsi="宋体" w:eastAsia="楷体_GB2312"/>
          <w:b/>
          <w:bCs/>
          <w:szCs w:val="21"/>
          <w:highlight w:val="none"/>
        </w:rPr>
        <w:t>认购期内签署理财</w:t>
      </w:r>
      <w:r>
        <w:rPr>
          <w:rFonts w:hint="eastAsia" w:ascii="楷体_GB2312" w:hAnsi="宋体" w:eastAsia="楷体_GB2312"/>
          <w:b/>
          <w:bCs/>
          <w:szCs w:val="21"/>
          <w:highlight w:val="none"/>
        </w:rPr>
        <w:t>产品销售文件</w:t>
      </w:r>
      <w:r>
        <w:rPr>
          <w:rFonts w:ascii="楷体_GB2312" w:hAnsi="宋体" w:eastAsia="楷体_GB2312"/>
          <w:b/>
          <w:bCs/>
          <w:szCs w:val="21"/>
          <w:highlight w:val="none"/>
        </w:rPr>
        <w:t>并向理财</w:t>
      </w:r>
      <w:r>
        <w:rPr>
          <w:rFonts w:hint="eastAsia" w:ascii="楷体_GB2312" w:hAnsi="宋体" w:eastAsia="楷体_GB2312"/>
          <w:b/>
          <w:bCs/>
          <w:szCs w:val="21"/>
          <w:highlight w:val="none"/>
        </w:rPr>
        <w:t>产品</w:t>
      </w:r>
      <w:r>
        <w:rPr>
          <w:rFonts w:ascii="楷体_GB2312" w:hAnsi="宋体" w:eastAsia="楷体_GB2312"/>
          <w:b/>
          <w:bCs/>
          <w:szCs w:val="21"/>
          <w:highlight w:val="none"/>
        </w:rPr>
        <w:t>管理人交付认购资金以购买理财</w:t>
      </w:r>
      <w:r>
        <w:rPr>
          <w:rFonts w:hint="eastAsia" w:ascii="楷体_GB2312" w:hAnsi="宋体" w:eastAsia="楷体_GB2312"/>
          <w:b/>
          <w:bCs/>
          <w:szCs w:val="21"/>
          <w:highlight w:val="none"/>
        </w:rPr>
        <w:t>产品</w:t>
      </w:r>
      <w:r>
        <w:rPr>
          <w:rFonts w:ascii="楷体_GB2312" w:hAnsi="宋体" w:eastAsia="楷体_GB2312"/>
          <w:b/>
          <w:bCs/>
          <w:szCs w:val="21"/>
          <w:highlight w:val="none"/>
        </w:rPr>
        <w:t>份额的投资者。</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5</w:t>
      </w:r>
      <w:r>
        <w:rPr>
          <w:rFonts w:hint="eastAsia" w:ascii="楷体_GB2312" w:hAnsi="宋体" w:eastAsia="楷体_GB2312"/>
          <w:b/>
          <w:bCs/>
          <w:szCs w:val="21"/>
        </w:rPr>
        <w:t>.申</w:t>
      </w:r>
      <w:r>
        <w:rPr>
          <w:rFonts w:ascii="楷体_GB2312" w:hAnsi="宋体" w:eastAsia="楷体_GB2312"/>
          <w:b/>
          <w:bCs/>
          <w:szCs w:val="21"/>
        </w:rPr>
        <w:t>购人：指在</w:t>
      </w:r>
      <w:r>
        <w:rPr>
          <w:rFonts w:hint="eastAsia" w:ascii="楷体_GB2312" w:hAnsi="宋体" w:eastAsia="楷体_GB2312"/>
          <w:b/>
          <w:bCs/>
          <w:szCs w:val="21"/>
        </w:rPr>
        <w:t>产品申</w:t>
      </w:r>
      <w:r>
        <w:rPr>
          <w:rFonts w:ascii="楷体_GB2312" w:hAnsi="宋体" w:eastAsia="楷体_GB2312"/>
          <w:b/>
          <w:bCs/>
          <w:szCs w:val="21"/>
        </w:rPr>
        <w:t>购期内签署理财</w:t>
      </w:r>
      <w:r>
        <w:rPr>
          <w:rFonts w:hint="eastAsia" w:ascii="楷体_GB2312" w:hAnsi="宋体" w:eastAsia="楷体_GB2312"/>
          <w:b/>
          <w:bCs/>
          <w:szCs w:val="21"/>
        </w:rPr>
        <w:t>产品销售文件</w:t>
      </w:r>
      <w:r>
        <w:rPr>
          <w:rFonts w:ascii="楷体_GB2312" w:hAnsi="宋体" w:eastAsia="楷体_GB2312"/>
          <w:b/>
          <w:bCs/>
          <w:szCs w:val="21"/>
        </w:rPr>
        <w:t>并向理财</w:t>
      </w:r>
      <w:r>
        <w:rPr>
          <w:rFonts w:hint="eastAsia" w:ascii="楷体_GB2312" w:hAnsi="宋体" w:eastAsia="楷体_GB2312"/>
          <w:b/>
          <w:bCs/>
          <w:szCs w:val="21"/>
        </w:rPr>
        <w:t>产品</w:t>
      </w:r>
      <w:r>
        <w:rPr>
          <w:rFonts w:ascii="楷体_GB2312" w:hAnsi="宋体" w:eastAsia="楷体_GB2312"/>
          <w:b/>
          <w:bCs/>
          <w:szCs w:val="21"/>
        </w:rPr>
        <w:t>管理人交付</w:t>
      </w:r>
      <w:r>
        <w:rPr>
          <w:rFonts w:hint="eastAsia" w:ascii="楷体_GB2312" w:hAnsi="宋体" w:eastAsia="楷体_GB2312"/>
          <w:b/>
          <w:bCs/>
          <w:szCs w:val="21"/>
        </w:rPr>
        <w:t>申购</w:t>
      </w:r>
      <w:r>
        <w:rPr>
          <w:rFonts w:ascii="楷体_GB2312" w:hAnsi="宋体" w:eastAsia="楷体_GB2312"/>
          <w:b/>
          <w:bCs/>
          <w:szCs w:val="21"/>
        </w:rPr>
        <w:t>资金以购买理财</w:t>
      </w:r>
      <w:r>
        <w:rPr>
          <w:rFonts w:hint="eastAsia" w:ascii="楷体_GB2312" w:hAnsi="宋体" w:eastAsia="楷体_GB2312"/>
          <w:b/>
          <w:bCs/>
          <w:szCs w:val="21"/>
        </w:rPr>
        <w:t>产品</w:t>
      </w:r>
      <w:r>
        <w:rPr>
          <w:rFonts w:ascii="楷体_GB2312" w:hAnsi="宋体" w:eastAsia="楷体_GB2312"/>
          <w:b/>
          <w:bCs/>
          <w:szCs w:val="21"/>
        </w:rPr>
        <w:t>份额的投资者。</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6</w:t>
      </w:r>
      <w:r>
        <w:rPr>
          <w:rFonts w:hint="eastAsia" w:ascii="楷体_GB2312" w:hAnsi="宋体" w:eastAsia="楷体_GB2312"/>
          <w:b/>
          <w:bCs/>
          <w:szCs w:val="21"/>
        </w:rPr>
        <w:t>.</w:t>
      </w:r>
      <w:r>
        <w:rPr>
          <w:rFonts w:ascii="楷体_GB2312" w:hAnsi="宋体" w:eastAsia="楷体_GB2312"/>
          <w:b/>
          <w:bCs/>
          <w:szCs w:val="21"/>
        </w:rPr>
        <w:t>理财</w:t>
      </w:r>
      <w:r>
        <w:rPr>
          <w:rFonts w:hint="eastAsia" w:ascii="楷体_GB2312" w:hAnsi="宋体" w:eastAsia="楷体_GB2312"/>
          <w:b/>
          <w:bCs/>
          <w:szCs w:val="21"/>
        </w:rPr>
        <w:t>产品</w:t>
      </w:r>
      <w:r>
        <w:rPr>
          <w:rFonts w:ascii="楷体_GB2312" w:hAnsi="宋体" w:eastAsia="楷体_GB2312"/>
          <w:b/>
          <w:bCs/>
          <w:szCs w:val="21"/>
        </w:rPr>
        <w:t>份额持有人/持有人：指其认购/申购申请经过管理人确认成功，从而持有理财产品份额的投资者。</w:t>
      </w:r>
    </w:p>
    <w:p>
      <w:pPr>
        <w:snapToGrid w:val="0"/>
        <w:spacing w:line="360" w:lineRule="auto"/>
        <w:ind w:firstLine="422" w:firstLineChars="200"/>
        <w:rPr>
          <w:rFonts w:hint="eastAsia" w:ascii="楷体_GB2312" w:hAnsi="宋体" w:eastAsia="楷体_GB2312"/>
          <w:b/>
          <w:bCs/>
          <w:color w:val="auto"/>
          <w:szCs w:val="21"/>
        </w:rPr>
      </w:pPr>
      <w:r>
        <w:rPr>
          <w:rFonts w:hint="eastAsia" w:ascii="楷体_GB2312" w:hAnsi="宋体" w:eastAsia="楷体_GB2312"/>
          <w:b/>
          <w:bCs/>
          <w:color w:val="auto"/>
          <w:szCs w:val="21"/>
          <w:lang w:val="en-US" w:eastAsia="zh-CN"/>
        </w:rPr>
        <w:t>7</w:t>
      </w:r>
      <w:r>
        <w:rPr>
          <w:rFonts w:hint="eastAsia" w:ascii="楷体_GB2312" w:hAnsi="宋体" w:eastAsia="楷体_GB2312"/>
          <w:b/>
          <w:bCs/>
          <w:color w:val="auto"/>
          <w:szCs w:val="21"/>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snapToGrid w:val="0"/>
        <w:spacing w:line="360" w:lineRule="auto"/>
        <w:ind w:firstLine="422" w:firstLineChars="200"/>
        <w:rPr>
          <w:rFonts w:ascii="楷体_GB2312" w:hAnsi="宋体" w:eastAsia="楷体_GB2312"/>
          <w:b/>
          <w:bCs/>
          <w:color w:val="auto"/>
          <w:szCs w:val="21"/>
        </w:rPr>
      </w:pPr>
      <w:r>
        <w:rPr>
          <w:rFonts w:hint="eastAsia" w:ascii="楷体_GB2312" w:hAnsi="宋体" w:eastAsia="楷体_GB2312"/>
          <w:b/>
          <w:bCs/>
          <w:color w:val="auto"/>
          <w:szCs w:val="21"/>
        </w:rPr>
        <w:t>8.</w:t>
      </w:r>
      <w:r>
        <w:rPr>
          <w:rFonts w:ascii="楷体_GB2312" w:hAnsi="宋体" w:eastAsia="楷体_GB2312"/>
          <w:b/>
          <w:bCs/>
          <w:color w:val="auto"/>
          <w:szCs w:val="21"/>
        </w:rPr>
        <w:t>监管机构：指对管理人（包括本理财</w:t>
      </w:r>
      <w:r>
        <w:rPr>
          <w:rFonts w:hint="eastAsia" w:ascii="楷体_GB2312" w:hAnsi="宋体" w:eastAsia="楷体_GB2312"/>
          <w:b/>
          <w:bCs/>
          <w:color w:val="auto"/>
          <w:szCs w:val="21"/>
        </w:rPr>
        <w:t>产品的</w:t>
      </w:r>
      <w:r>
        <w:rPr>
          <w:rFonts w:ascii="楷体_GB2312" w:hAnsi="宋体" w:eastAsia="楷体_GB2312"/>
          <w:b/>
          <w:bCs/>
          <w:color w:val="auto"/>
          <w:szCs w:val="21"/>
        </w:rPr>
        <w:t>管理人、所投资的信托计划/资管计划/基金的管理人/受托人、相关投资顾问（如有）等）实施监督管理的机构，包括但不限于中国人民银行、</w:t>
      </w:r>
      <w:r>
        <w:rPr>
          <w:rFonts w:hint="eastAsia" w:ascii="楷体_GB2312" w:hAnsi="宋体" w:eastAsia="楷体_GB2312"/>
          <w:b/>
          <w:bCs/>
          <w:szCs w:val="21"/>
        </w:rPr>
        <w:t>国家金融监督管理总局</w:t>
      </w:r>
      <w:r>
        <w:rPr>
          <w:rFonts w:ascii="楷体_GB2312" w:hAnsi="宋体" w:eastAsia="楷体_GB2312"/>
          <w:b/>
          <w:bCs/>
          <w:color w:val="auto"/>
          <w:szCs w:val="21"/>
        </w:rPr>
        <w:t>、中国证券监督管理委员会、外汇管理局、银行业理财登记托管中心等。</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（二）法律文件</w:t>
      </w:r>
    </w:p>
    <w:p>
      <w:pPr>
        <w:snapToGrid w:val="0"/>
        <w:spacing w:line="360" w:lineRule="auto"/>
        <w:ind w:firstLine="422" w:firstLineChars="200"/>
        <w:rPr>
          <w:highlight w:val="none"/>
        </w:rPr>
      </w:pPr>
      <w:r>
        <w:rPr>
          <w:rFonts w:hint="eastAsia" w:ascii="楷体_GB2312" w:hAnsi="宋体" w:eastAsia="楷体_GB2312"/>
          <w:b/>
          <w:bCs/>
          <w:szCs w:val="21"/>
          <w:highlight w:val="none"/>
          <w:lang w:val="en-US" w:eastAsia="zh-CN"/>
        </w:rPr>
        <w:t>1</w:t>
      </w:r>
      <w:r>
        <w:rPr>
          <w:rFonts w:ascii="楷体_GB2312" w:hAnsi="宋体" w:eastAsia="楷体_GB2312"/>
          <w:b/>
          <w:bCs/>
          <w:szCs w:val="21"/>
          <w:highlight w:val="none"/>
        </w:rPr>
        <w:t>.</w:t>
      </w:r>
      <w:r>
        <w:rPr>
          <w:rFonts w:hint="eastAsia" w:ascii="楷体_GB2312" w:hAnsi="宋体" w:eastAsia="楷体_GB2312"/>
          <w:b/>
          <w:bCs/>
          <w:szCs w:val="21"/>
          <w:highlight w:val="none"/>
          <w:lang w:val="en-US" w:eastAsia="zh-CN"/>
        </w:rPr>
        <w:t>理财产品</w:t>
      </w:r>
      <w:r>
        <w:rPr>
          <w:rFonts w:hint="eastAsia" w:ascii="楷体_GB2312" w:hAnsi="宋体" w:eastAsia="楷体_GB2312"/>
          <w:b/>
          <w:bCs/>
          <w:szCs w:val="21"/>
          <w:highlight w:val="none"/>
        </w:rPr>
        <w:t>销售文件</w:t>
      </w:r>
      <w:r>
        <w:rPr>
          <w:rFonts w:hint="eastAsia" w:ascii="楷体_GB2312" w:hAnsi="宋体" w:eastAsia="楷体_GB2312"/>
          <w:b/>
          <w:bCs/>
          <w:szCs w:val="21"/>
          <w:highlight w:val="none"/>
          <w:lang w:val="en-US" w:eastAsia="zh-CN"/>
        </w:rPr>
        <w:t>/销售文件</w:t>
      </w:r>
      <w:r>
        <w:rPr>
          <w:rFonts w:hint="eastAsia" w:ascii="楷体_GB2312" w:hAnsi="宋体" w:eastAsia="楷体_GB2312"/>
          <w:b/>
          <w:bCs/>
          <w:szCs w:val="21"/>
          <w:highlight w:val="none"/>
        </w:rPr>
        <w:t>：指《产品说明书》、《风险揭示书》、《投资协议书》、《销售（代理销售）协议书》和《投资者权益须知》的总称。</w:t>
      </w:r>
    </w:p>
    <w:p>
      <w:pPr>
        <w:snapToGrid w:val="0"/>
        <w:spacing w:line="360" w:lineRule="auto"/>
        <w:ind w:firstLine="422" w:firstLineChars="200"/>
      </w:pPr>
      <w:r>
        <w:rPr>
          <w:rFonts w:hint="eastAsia" w:ascii="楷体_GB2312" w:hAnsi="宋体" w:eastAsia="楷体_GB2312"/>
          <w:b/>
          <w:bCs/>
          <w:szCs w:val="21"/>
          <w:lang w:val="en-US" w:eastAsia="zh-CN"/>
        </w:rPr>
        <w:t>2</w:t>
      </w:r>
      <w:r>
        <w:rPr>
          <w:rFonts w:ascii="楷体_GB2312" w:hAnsi="宋体" w:eastAsia="楷体_GB2312"/>
          <w:b/>
          <w:bCs/>
          <w:szCs w:val="21"/>
        </w:rPr>
        <w:t>.</w:t>
      </w:r>
      <w:r>
        <w:rPr>
          <w:rFonts w:hint="eastAsia" w:ascii="楷体_GB2312" w:hAnsi="宋体" w:eastAsia="楷体_GB2312"/>
          <w:b/>
          <w:bCs/>
          <w:szCs w:val="21"/>
        </w:rPr>
        <w:t>理财产品合同：指《产品说明书》、《风险揭示书》和《投资协议书》的总称。</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3</w:t>
      </w:r>
      <w:r>
        <w:rPr>
          <w:rFonts w:ascii="楷体_GB2312" w:hAnsi="宋体" w:eastAsia="楷体_GB2312"/>
          <w:b/>
          <w:bCs/>
          <w:szCs w:val="21"/>
        </w:rPr>
        <w:t>.</w:t>
      </w:r>
      <w:r>
        <w:rPr>
          <w:rFonts w:hint="eastAsia" w:ascii="楷体_GB2312" w:hAnsi="宋体" w:eastAsia="楷体_GB2312"/>
          <w:b/>
          <w:bCs/>
          <w:szCs w:val="21"/>
        </w:rPr>
        <w:t>《产品说明书》：指《上银理财</w:t>
      </w:r>
      <w:r>
        <w:rPr>
          <w:rFonts w:hint="eastAsia" w:ascii="楷体_GB2312" w:hAnsi="宋体" w:eastAsia="楷体_GB2312"/>
          <w:b/>
          <w:bCs/>
          <w:szCs w:val="21"/>
          <w:lang w:eastAsia="zh-CN"/>
        </w:rPr>
        <w:t>【</w:t>
      </w:r>
      <w:r>
        <w:rPr>
          <w:rFonts w:hint="eastAsia" w:ascii="楷体" w:hAnsi="楷体" w:eastAsia="楷体"/>
          <w:b/>
          <w:bCs/>
          <w:color w:val="auto"/>
          <w:lang w:val="en-US" w:eastAsia="zh-CN"/>
        </w:rPr>
        <w:t>“易享利”系列开放式（3个月持有期）</w:t>
      </w:r>
      <w:r>
        <w:rPr>
          <w:rFonts w:hint="eastAsia" w:ascii="楷体_GB2312" w:hAnsi="宋体" w:eastAsia="楷体_GB2312"/>
          <w:b/>
          <w:bCs/>
          <w:szCs w:val="21"/>
          <w:lang w:eastAsia="zh-CN"/>
        </w:rPr>
        <w:t>】</w:t>
      </w:r>
      <w:r>
        <w:rPr>
          <w:rFonts w:ascii="楷体_GB2312" w:hAnsi="宋体" w:eastAsia="楷体_GB2312"/>
          <w:b/>
          <w:bCs/>
          <w:szCs w:val="21"/>
        </w:rPr>
        <w:t>理财产品</w:t>
      </w:r>
      <w:r>
        <w:rPr>
          <w:rFonts w:hint="eastAsia" w:ascii="楷体_GB2312" w:hAnsi="宋体" w:eastAsia="楷体_GB2312"/>
          <w:b/>
          <w:bCs/>
          <w:szCs w:val="21"/>
        </w:rPr>
        <w:t>产品说明书》，以及对该文件的有效修改或补充。</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4</w:t>
      </w:r>
      <w:r>
        <w:rPr>
          <w:rFonts w:ascii="楷体_GB2312" w:hAnsi="宋体" w:eastAsia="楷体_GB2312"/>
          <w:b/>
          <w:bCs/>
          <w:szCs w:val="21"/>
        </w:rPr>
        <w:t>.</w:t>
      </w:r>
      <w:r>
        <w:rPr>
          <w:rFonts w:hint="eastAsia" w:ascii="楷体_GB2312" w:hAnsi="宋体" w:eastAsia="楷体_GB2312"/>
          <w:b/>
          <w:bCs/>
          <w:szCs w:val="21"/>
        </w:rPr>
        <w:t>《风险揭示书》：</w:t>
      </w:r>
      <w:r>
        <w:rPr>
          <w:rFonts w:ascii="楷体_GB2312" w:hAnsi="宋体" w:eastAsia="楷体_GB2312"/>
          <w:b/>
          <w:bCs/>
          <w:szCs w:val="21"/>
        </w:rPr>
        <w:t>指</w:t>
      </w:r>
      <w:r>
        <w:rPr>
          <w:rFonts w:hint="eastAsia" w:ascii="楷体_GB2312" w:hAnsi="宋体" w:eastAsia="楷体_GB2312"/>
          <w:b/>
          <w:bCs/>
          <w:szCs w:val="21"/>
        </w:rPr>
        <w:t>《上银理财</w:t>
      </w:r>
      <w:r>
        <w:rPr>
          <w:rFonts w:hint="eastAsia" w:ascii="楷体_GB2312" w:hAnsi="宋体" w:eastAsia="楷体_GB2312"/>
          <w:b/>
          <w:bCs/>
          <w:szCs w:val="21"/>
          <w:lang w:eastAsia="zh-CN"/>
        </w:rPr>
        <w:t>【</w:t>
      </w:r>
      <w:r>
        <w:rPr>
          <w:rFonts w:hint="eastAsia" w:ascii="楷体" w:hAnsi="楷体" w:eastAsia="楷体"/>
          <w:b/>
          <w:bCs/>
          <w:color w:val="auto"/>
          <w:lang w:val="en-US" w:eastAsia="zh-CN"/>
        </w:rPr>
        <w:t>“易享利”系列开放式（3个月持有期）</w:t>
      </w:r>
      <w:r>
        <w:rPr>
          <w:rFonts w:hint="eastAsia" w:ascii="楷体_GB2312" w:hAnsi="宋体" w:eastAsia="楷体_GB2312"/>
          <w:b/>
          <w:bCs/>
          <w:szCs w:val="21"/>
          <w:lang w:eastAsia="zh-CN"/>
        </w:rPr>
        <w:t>】</w:t>
      </w:r>
      <w:r>
        <w:rPr>
          <w:rFonts w:ascii="楷体_GB2312" w:hAnsi="宋体" w:eastAsia="楷体_GB2312"/>
          <w:b/>
          <w:bCs/>
          <w:szCs w:val="21"/>
        </w:rPr>
        <w:t>理财产品</w:t>
      </w:r>
      <w:r>
        <w:rPr>
          <w:rFonts w:hint="eastAsia" w:ascii="楷体_GB2312" w:hAnsi="宋体" w:eastAsia="楷体_GB2312"/>
          <w:b/>
          <w:bCs/>
          <w:szCs w:val="21"/>
        </w:rPr>
        <w:t>风险揭示书》，以及对该文件的有效修改或补充。</w:t>
      </w:r>
    </w:p>
    <w:p>
      <w:pPr>
        <w:snapToGrid w:val="0"/>
        <w:spacing w:line="360" w:lineRule="auto"/>
        <w:ind w:firstLine="422" w:firstLineChars="200"/>
        <w:rPr>
          <w:rFonts w:ascii="楷体_GB2312" w:hAnsi="宋体" w:eastAsia="楷体_GB2312"/>
          <w:b/>
          <w:bCs/>
          <w:szCs w:val="21"/>
          <w:highlight w:val="none"/>
        </w:rPr>
      </w:pPr>
      <w:r>
        <w:rPr>
          <w:rFonts w:hint="eastAsia" w:ascii="楷体_GB2312" w:hAnsi="宋体" w:eastAsia="楷体_GB2312"/>
          <w:b/>
          <w:bCs/>
          <w:szCs w:val="21"/>
          <w:lang w:val="en-US" w:eastAsia="zh-CN"/>
        </w:rPr>
        <w:t>5</w:t>
      </w:r>
      <w:r>
        <w:rPr>
          <w:rFonts w:ascii="楷体_GB2312" w:hAnsi="宋体" w:eastAsia="楷体_GB2312"/>
          <w:b/>
          <w:bCs/>
          <w:szCs w:val="21"/>
        </w:rPr>
        <w:t>.</w:t>
      </w:r>
      <w:r>
        <w:rPr>
          <w:rFonts w:hint="eastAsia" w:ascii="楷体_GB2312" w:hAnsi="宋体" w:eastAsia="楷体_GB2312"/>
          <w:b/>
          <w:bCs/>
          <w:szCs w:val="21"/>
          <w:highlight w:val="none"/>
        </w:rPr>
        <w:t>《投资协议书》：</w:t>
      </w:r>
      <w:r>
        <w:rPr>
          <w:rFonts w:hint="eastAsia" w:ascii="楷体_GB2312" w:hAnsi="宋体" w:eastAsia="楷体_GB2312"/>
          <w:b/>
          <w:bCs/>
          <w:szCs w:val="21"/>
          <w:highlight w:val="none"/>
          <w:lang w:val="en-US" w:eastAsia="zh-CN"/>
        </w:rPr>
        <w:t>指</w:t>
      </w:r>
      <w:r>
        <w:rPr>
          <w:rFonts w:hint="eastAsia" w:ascii="楷体_GB2312" w:hAnsi="宋体" w:eastAsia="楷体_GB2312"/>
          <w:b/>
          <w:bCs/>
          <w:szCs w:val="21"/>
          <w:highlight w:val="none"/>
        </w:rPr>
        <w:t>《上银理财理财产品</w:t>
      </w:r>
      <w:r>
        <w:rPr>
          <w:rFonts w:ascii="楷体_GB2312" w:hAnsi="宋体" w:eastAsia="楷体_GB2312"/>
          <w:b/>
          <w:bCs/>
          <w:szCs w:val="21"/>
          <w:highlight w:val="none"/>
        </w:rPr>
        <w:t>投资协议书</w:t>
      </w:r>
      <w:r>
        <w:rPr>
          <w:rFonts w:hint="eastAsia" w:ascii="楷体_GB2312" w:hAnsi="宋体" w:eastAsia="楷体_GB2312"/>
          <w:b/>
          <w:bCs/>
          <w:szCs w:val="21"/>
          <w:highlight w:val="none"/>
        </w:rPr>
        <w:t>》，</w:t>
      </w:r>
      <w:r>
        <w:rPr>
          <w:rFonts w:ascii="楷体_GB2312" w:hAnsi="宋体" w:eastAsia="楷体_GB2312"/>
          <w:b/>
          <w:bCs/>
          <w:szCs w:val="21"/>
          <w:highlight w:val="none"/>
        </w:rPr>
        <w:t>以及对该文件的有效修改或补充。</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6</w:t>
      </w:r>
      <w:r>
        <w:rPr>
          <w:rFonts w:ascii="楷体_GB2312" w:hAnsi="宋体" w:eastAsia="楷体_GB2312"/>
          <w:b/>
          <w:bCs/>
          <w:szCs w:val="21"/>
        </w:rPr>
        <w:t>.</w:t>
      </w:r>
      <w:r>
        <w:rPr>
          <w:rFonts w:hint="eastAsia" w:ascii="楷体_GB2312" w:hAnsi="宋体" w:eastAsia="楷体_GB2312"/>
          <w:b/>
          <w:bCs/>
          <w:szCs w:val="21"/>
        </w:rPr>
        <w:t>《销售（代理销售）协议书》：指由投资者和销售机构签署的，作为本产品销售文件不可分割组成部分的《销售（代理销售）协议书》，以及对该文件的有效修改或补充。</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lang w:val="en-US" w:eastAsia="zh-CN"/>
        </w:rPr>
        <w:t>7</w:t>
      </w:r>
      <w:r>
        <w:rPr>
          <w:rFonts w:ascii="楷体_GB2312" w:hAnsi="宋体" w:eastAsia="楷体_GB2312"/>
          <w:b/>
          <w:bCs/>
          <w:szCs w:val="21"/>
        </w:rPr>
        <w:t>.</w:t>
      </w:r>
      <w:r>
        <w:rPr>
          <w:rFonts w:hint="eastAsia" w:ascii="楷体_GB2312" w:hAnsi="宋体" w:eastAsia="楷体_GB2312"/>
          <w:b/>
          <w:bCs/>
          <w:szCs w:val="21"/>
        </w:rPr>
        <w:t>《投资者权益须知》指由投资者和销售机构签署的，作为本产品销售文件不可分割组成部分的《投资者权益须知》，以及对该文件的有效修改或补充。</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（三）产品要素</w:t>
      </w:r>
    </w:p>
    <w:p>
      <w:pPr>
        <w:spacing w:line="360" w:lineRule="auto"/>
        <w:ind w:firstLine="422" w:firstLineChars="200"/>
        <w:contextualSpacing/>
        <w:rPr>
          <w:rFonts w:hint="default" w:ascii="楷体_GB2312" w:hAnsi="宋体" w:eastAsia="楷体_GB2312"/>
          <w:b/>
          <w:bCs/>
          <w:szCs w:val="21"/>
          <w:highlight w:val="none"/>
          <w:lang w:val="en-US" w:eastAsia="zh-CN"/>
        </w:rPr>
      </w:pPr>
      <w:r>
        <w:rPr>
          <w:rFonts w:ascii="楷体_GB2312" w:hAnsi="宋体" w:eastAsia="楷体_GB2312"/>
          <w:b/>
          <w:bCs/>
          <w:szCs w:val="21"/>
        </w:rPr>
        <w:t>1.</w:t>
      </w:r>
      <w:r>
        <w:rPr>
          <w:rFonts w:hint="eastAsia" w:ascii="楷体_GB2312" w:hAnsi="宋体" w:eastAsia="楷体_GB2312"/>
          <w:b/>
          <w:bCs/>
          <w:szCs w:val="21"/>
        </w:rPr>
        <w:t>理财产品/本产品</w:t>
      </w:r>
      <w:r>
        <w:rPr>
          <w:rFonts w:hint="eastAsia" w:ascii="楷体_GB2312" w:hAnsi="宋体" w:eastAsia="楷体_GB2312"/>
          <w:b/>
          <w:bCs/>
          <w:szCs w:val="21"/>
          <w:highlight w:val="none"/>
        </w:rPr>
        <w:t>/产品：指上银理财</w:t>
      </w:r>
      <w:r>
        <w:rPr>
          <w:rFonts w:hint="eastAsia" w:ascii="楷体_GB2312" w:hAnsi="宋体" w:eastAsia="楷体_GB2312"/>
          <w:b/>
          <w:bCs/>
          <w:szCs w:val="21"/>
          <w:highlight w:val="none"/>
          <w:lang w:eastAsia="zh-CN"/>
        </w:rPr>
        <w:t>【</w:t>
      </w:r>
      <w:r>
        <w:rPr>
          <w:rFonts w:hint="eastAsia" w:ascii="楷体" w:hAnsi="楷体" w:eastAsia="楷体"/>
          <w:b/>
          <w:bCs/>
          <w:color w:val="auto"/>
          <w:lang w:val="en-US" w:eastAsia="zh-CN"/>
        </w:rPr>
        <w:t>“易享利”系列开放式（3个月持有期）</w:t>
      </w:r>
      <w:r>
        <w:rPr>
          <w:rFonts w:hint="eastAsia" w:ascii="楷体_GB2312" w:hAnsi="宋体" w:eastAsia="楷体_GB2312"/>
          <w:b/>
          <w:bCs/>
          <w:szCs w:val="21"/>
          <w:highlight w:val="none"/>
          <w:lang w:eastAsia="zh-CN"/>
        </w:rPr>
        <w:t>】</w:t>
      </w:r>
      <w:r>
        <w:rPr>
          <w:rFonts w:ascii="楷体_GB2312" w:hAnsi="宋体" w:eastAsia="楷体_GB2312"/>
          <w:b/>
          <w:bCs/>
          <w:szCs w:val="21"/>
          <w:highlight w:val="none"/>
        </w:rPr>
        <w:t>理财产品</w:t>
      </w:r>
      <w:r>
        <w:rPr>
          <w:rFonts w:hint="eastAsia" w:ascii="楷体_GB2312" w:hAnsi="宋体" w:eastAsia="楷体_GB2312"/>
          <w:b/>
          <w:bCs/>
          <w:szCs w:val="21"/>
          <w:highlight w:val="none"/>
        </w:rPr>
        <w:t>。</w:t>
      </w:r>
    </w:p>
    <w:p>
      <w:pPr>
        <w:spacing w:line="360" w:lineRule="auto"/>
        <w:ind w:firstLine="422" w:firstLineChars="200"/>
        <w:contextualSpacing/>
        <w:rPr>
          <w:rFonts w:hint="eastAsia" w:ascii="楷体" w:hAnsi="楷体" w:eastAsia="楷体"/>
          <w:b/>
          <w:bCs/>
        </w:rPr>
      </w:pPr>
      <w:r>
        <w:rPr>
          <w:rFonts w:hint="eastAsia" w:ascii="楷体_GB2312" w:hAnsi="宋体" w:eastAsia="楷体_GB2312"/>
          <w:b/>
          <w:bCs/>
          <w:szCs w:val="21"/>
          <w:highlight w:val="none"/>
          <w:lang w:val="en-US" w:eastAsia="zh-CN"/>
        </w:rPr>
        <w:t>2.产品风险评级：指管理人内部对本公司发行理财产品的评级结果。上银理财产品风险评级由低到高共分为五级：低风险（一级风险）、中低风险（二级风险）、中等风险（三级风险）、中高风险（四级风险）、高风险（五级风险）。产品</w:t>
      </w:r>
      <w:r>
        <w:rPr>
          <w:rFonts w:ascii="楷体" w:hAnsi="楷体" w:eastAsia="楷体"/>
          <w:b/>
          <w:bCs/>
        </w:rPr>
        <w:t>通过</w:t>
      </w:r>
      <w:r>
        <w:rPr>
          <w:rFonts w:hint="eastAsia" w:ascii="楷体" w:hAnsi="楷体" w:eastAsia="楷体"/>
          <w:b/>
          <w:bCs/>
        </w:rPr>
        <w:t>代理销售</w:t>
      </w:r>
      <w:r>
        <w:rPr>
          <w:rFonts w:ascii="楷体" w:hAnsi="楷体" w:eastAsia="楷体"/>
          <w:b/>
          <w:bCs/>
        </w:rPr>
        <w:t>机构销售的，</w:t>
      </w:r>
      <w:r>
        <w:rPr>
          <w:rFonts w:hint="eastAsia" w:ascii="楷体" w:hAnsi="楷体" w:eastAsia="楷体"/>
          <w:b/>
          <w:bCs/>
        </w:rPr>
        <w:t>代理销售</w:t>
      </w:r>
      <w:r>
        <w:rPr>
          <w:rFonts w:ascii="楷体" w:hAnsi="楷体" w:eastAsia="楷体"/>
          <w:b/>
          <w:bCs/>
        </w:rPr>
        <w:t>机构</w:t>
      </w:r>
      <w:r>
        <w:rPr>
          <w:rFonts w:hint="eastAsia" w:ascii="楷体" w:hAnsi="楷体" w:eastAsia="楷体"/>
          <w:b/>
          <w:bCs/>
        </w:rPr>
        <w:t>将</w:t>
      </w:r>
      <w:r>
        <w:rPr>
          <w:rFonts w:ascii="楷体" w:hAnsi="楷体" w:eastAsia="楷体"/>
          <w:b/>
          <w:bCs/>
        </w:rPr>
        <w:t>根据</w:t>
      </w:r>
      <w:r>
        <w:rPr>
          <w:rFonts w:hint="eastAsia" w:ascii="楷体" w:hAnsi="楷体" w:eastAsia="楷体"/>
          <w:b/>
          <w:bCs/>
        </w:rPr>
        <w:t>代理销售</w:t>
      </w:r>
      <w:r>
        <w:rPr>
          <w:rFonts w:ascii="楷体" w:hAnsi="楷体" w:eastAsia="楷体"/>
          <w:b/>
          <w:bCs/>
        </w:rPr>
        <w:t>机构的方式和方法，独立、审慎地对代理销售的本理财</w:t>
      </w:r>
      <w:r>
        <w:rPr>
          <w:rFonts w:hint="eastAsia" w:ascii="楷体" w:hAnsi="楷体" w:eastAsia="楷体"/>
          <w:b/>
          <w:bCs/>
        </w:rPr>
        <w:t>产品</w:t>
      </w:r>
      <w:r>
        <w:rPr>
          <w:rFonts w:ascii="楷体" w:hAnsi="楷体" w:eastAsia="楷体"/>
          <w:b/>
          <w:bCs/>
        </w:rPr>
        <w:t>进行销售评级，销售评级与管理人评级结果不一致的，</w:t>
      </w:r>
      <w:r>
        <w:rPr>
          <w:rFonts w:hint="eastAsia" w:ascii="楷体" w:hAnsi="楷体" w:eastAsia="楷体"/>
          <w:b/>
          <w:bCs/>
        </w:rPr>
        <w:t>代理销售机构将采用对应较高风险等级的评级结果并予以披露，本理财产品的</w:t>
      </w:r>
      <w:r>
        <w:rPr>
          <w:rFonts w:ascii="楷体" w:hAnsi="楷体" w:eastAsia="楷体"/>
          <w:b/>
          <w:bCs/>
        </w:rPr>
        <w:t>最终</w:t>
      </w:r>
      <w:r>
        <w:rPr>
          <w:rFonts w:hint="eastAsia" w:ascii="楷体" w:hAnsi="楷体" w:eastAsia="楷体"/>
          <w:b/>
          <w:bCs/>
        </w:rPr>
        <w:t>评级以代理销售机构最终披露的评级结果为准。</w:t>
      </w:r>
    </w:p>
    <w:p>
      <w:pPr>
        <w:spacing w:line="360" w:lineRule="auto"/>
        <w:ind w:firstLine="422" w:firstLineChars="200"/>
        <w:contextualSpacing/>
        <w:rPr>
          <w:rFonts w:ascii="楷体_GB2312" w:hAnsi="宋体" w:eastAsia="楷体_GB2312"/>
          <w:b/>
          <w:bCs/>
          <w:szCs w:val="21"/>
          <w:highlight w:val="none"/>
        </w:rPr>
      </w:pPr>
      <w:r>
        <w:rPr>
          <w:rFonts w:hint="eastAsia" w:ascii="楷体_GB2312" w:hAnsi="宋体" w:eastAsia="楷体_GB2312"/>
          <w:b/>
          <w:bCs/>
          <w:szCs w:val="21"/>
          <w:highlight w:val="none"/>
          <w:lang w:val="en-US" w:eastAsia="zh-CN"/>
        </w:rPr>
        <w:t>3</w:t>
      </w:r>
      <w:r>
        <w:rPr>
          <w:rFonts w:ascii="楷体_GB2312" w:hAnsi="宋体" w:eastAsia="楷体_GB2312"/>
          <w:b/>
          <w:bCs/>
          <w:szCs w:val="21"/>
          <w:highlight w:val="none"/>
        </w:rPr>
        <w:t>.</w:t>
      </w:r>
      <w:r>
        <w:rPr>
          <w:rFonts w:hint="eastAsia" w:ascii="楷体_GB2312" w:hAnsi="宋体" w:eastAsia="楷体_GB2312"/>
          <w:b/>
          <w:bCs/>
          <w:szCs w:val="21"/>
          <w:highlight w:val="none"/>
        </w:rPr>
        <w:t>认购/申购资金：指在认购期或申购开放日，认购人/申购人为认购/申购理财产品份额而向管理人交付的货币资金。为免疑义，认购/申购资金不包含认购/申购资金在认购/申购期内所产生的利息。</w:t>
      </w:r>
    </w:p>
    <w:p>
      <w:pPr>
        <w:spacing w:line="360" w:lineRule="auto"/>
        <w:ind w:firstLine="422" w:firstLineChars="200"/>
        <w:contextualSpacing/>
        <w:rPr>
          <w:rFonts w:ascii="楷体_GB2312" w:hAnsi="宋体" w:eastAsia="楷体_GB2312"/>
          <w:b/>
          <w:bCs/>
          <w:szCs w:val="21"/>
          <w:highlight w:val="none"/>
        </w:rPr>
      </w:pPr>
      <w:r>
        <w:rPr>
          <w:rFonts w:hint="eastAsia" w:ascii="楷体_GB2312" w:hAnsi="宋体" w:eastAsia="楷体_GB2312"/>
          <w:b/>
          <w:bCs/>
          <w:szCs w:val="21"/>
          <w:highlight w:val="none"/>
          <w:lang w:val="en-US" w:eastAsia="zh-CN"/>
        </w:rPr>
        <w:t>4</w:t>
      </w:r>
      <w:r>
        <w:rPr>
          <w:rFonts w:ascii="楷体_GB2312" w:hAnsi="宋体" w:eastAsia="楷体_GB2312"/>
          <w:b/>
          <w:bCs/>
          <w:szCs w:val="21"/>
          <w:highlight w:val="none"/>
        </w:rPr>
        <w:t>.</w:t>
      </w:r>
      <w:r>
        <w:rPr>
          <w:rFonts w:hint="eastAsia" w:ascii="楷体_GB2312" w:hAnsi="宋体" w:eastAsia="楷体_GB2312"/>
          <w:b/>
          <w:bCs/>
          <w:szCs w:val="21"/>
          <w:highlight w:val="none"/>
        </w:rPr>
        <w:t>理财产品募集资金：指认购人按照理财产品合同的约定交付，并经管理人确认认购成功而进入理财产品账户的认购资金的总和。</w:t>
      </w:r>
    </w:p>
    <w:p>
      <w:pPr>
        <w:spacing w:line="360" w:lineRule="auto"/>
        <w:ind w:firstLine="422" w:firstLineChars="200"/>
        <w:contextualSpacing/>
        <w:rPr>
          <w:rFonts w:ascii="楷体_GB2312" w:hAnsi="宋体" w:eastAsia="楷体_GB2312"/>
          <w:b/>
          <w:bCs/>
          <w:szCs w:val="21"/>
          <w:highlight w:val="none"/>
        </w:rPr>
      </w:pPr>
      <w:r>
        <w:rPr>
          <w:rFonts w:hint="eastAsia" w:ascii="楷体_GB2312" w:hAnsi="宋体" w:eastAsia="楷体_GB2312"/>
          <w:b/>
          <w:bCs/>
          <w:szCs w:val="21"/>
          <w:highlight w:val="none"/>
          <w:lang w:val="en-US" w:eastAsia="zh-CN"/>
        </w:rPr>
        <w:t>5</w:t>
      </w:r>
      <w:r>
        <w:rPr>
          <w:rFonts w:ascii="楷体_GB2312" w:hAnsi="宋体" w:eastAsia="楷体_GB2312"/>
          <w:b/>
          <w:bCs/>
          <w:szCs w:val="21"/>
          <w:highlight w:val="none"/>
        </w:rPr>
        <w:t>.</w:t>
      </w:r>
      <w:r>
        <w:rPr>
          <w:rFonts w:hint="eastAsia" w:ascii="楷体_GB2312" w:hAnsi="宋体" w:eastAsia="楷体_GB2312"/>
          <w:b/>
          <w:bCs/>
          <w:szCs w:val="21"/>
          <w:highlight w:val="none"/>
        </w:rPr>
        <w:t>理财产品资金：指理财产品募集资金，以及管理人管理、运用、处分该等理财产品募集资金而取得且归于理财产品所有的货币资金。</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highlight w:val="none"/>
          <w:lang w:val="en-US" w:eastAsia="zh-CN"/>
        </w:rPr>
        <w:t>6</w:t>
      </w:r>
      <w:r>
        <w:rPr>
          <w:rFonts w:ascii="楷体_GB2312" w:hAnsi="宋体" w:eastAsia="楷体_GB2312"/>
          <w:b/>
          <w:bCs/>
          <w:szCs w:val="21"/>
          <w:highlight w:val="none"/>
        </w:rPr>
        <w:t>.</w:t>
      </w:r>
      <w:r>
        <w:rPr>
          <w:rFonts w:hint="eastAsia" w:ascii="楷体_GB2312" w:hAnsi="宋体" w:eastAsia="楷体_GB2312"/>
          <w:b/>
          <w:bCs/>
          <w:szCs w:val="21"/>
          <w:highlight w:val="none"/>
        </w:rPr>
        <w:t>理财产品费用：指管理人为成立理财产品及处理理财产品事务目的而支出的所有费用，包括但不限于管理人收取的固定投资管理费、</w:t>
      </w:r>
      <w:r>
        <w:rPr>
          <w:rFonts w:hint="eastAsia" w:ascii="楷体_GB2312" w:hAnsi="宋体" w:eastAsia="楷体_GB2312"/>
          <w:b/>
          <w:bCs/>
          <w:szCs w:val="21"/>
          <w:highlight w:val="none"/>
          <w:lang w:val="en-US" w:eastAsia="zh-CN"/>
        </w:rPr>
        <w:t>浮动投资管理费（如有）、</w:t>
      </w:r>
      <w:r>
        <w:rPr>
          <w:rFonts w:hint="eastAsia" w:ascii="楷体_GB2312" w:hAnsi="宋体" w:eastAsia="楷体_GB2312"/>
          <w:b/>
          <w:bCs/>
          <w:szCs w:val="21"/>
          <w:highlight w:val="none"/>
        </w:rPr>
        <w:t>托管人收取的托管费、销售机构收取的销售管理费、因投资资产而产生的资产服务费（如有）</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rPr>
        <w:t>交易费用（包括但不限于交易佣金、撮合费用等）、理财产品验资费、审</w:t>
      </w:r>
      <w:r>
        <w:rPr>
          <w:rFonts w:hint="eastAsia" w:ascii="楷体_GB2312" w:hAnsi="宋体" w:eastAsia="楷体_GB2312"/>
          <w:b/>
          <w:bCs/>
          <w:szCs w:val="21"/>
        </w:rPr>
        <w:t>计费、保全费、律师费、信息披露费、清算费、执行费用、外包服务费、资产评估费、资产存续期管理所需费用及按照法律法规规章规定和理财产品销售文件约定应由产品承担的费用，具体以实际发生为准。</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7</w:t>
      </w:r>
      <w:r>
        <w:rPr>
          <w:rFonts w:ascii="楷体_GB2312" w:hAnsi="宋体" w:eastAsia="楷体_GB2312"/>
          <w:b/>
          <w:bCs/>
          <w:szCs w:val="21"/>
        </w:rPr>
        <w:t>.</w:t>
      </w:r>
      <w:r>
        <w:rPr>
          <w:rFonts w:hint="eastAsia" w:ascii="楷体_GB2312" w:hAnsi="宋体" w:eastAsia="楷体_GB2312"/>
          <w:b/>
          <w:bCs/>
          <w:szCs w:val="21"/>
        </w:rPr>
        <w:t>执行费用：指为理财产品利益目的而进行的诉讼或仲裁等法律程序相关的费用，包括但不限于诉讼费、仲裁费、财产保全费、律师费和执行费，以及因诉讼或仲裁之需要而委托中介机构或司法机构进行鉴定、评估等而产生的费用。</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8</w:t>
      </w:r>
      <w:r>
        <w:rPr>
          <w:rFonts w:ascii="楷体_GB2312" w:hAnsi="宋体" w:eastAsia="楷体_GB2312"/>
          <w:b/>
          <w:bCs/>
          <w:szCs w:val="21"/>
        </w:rPr>
        <w:t>.</w:t>
      </w:r>
      <w:r>
        <w:rPr>
          <w:rFonts w:hint="eastAsia" w:ascii="楷体_GB2312" w:hAnsi="宋体" w:eastAsia="楷体_GB2312"/>
          <w:b/>
          <w:bCs/>
          <w:szCs w:val="21"/>
        </w:rPr>
        <w:t>理财产品税费：指根据适用法律和理财</w:t>
      </w:r>
      <w:r>
        <w:rPr>
          <w:rFonts w:hint="eastAsia" w:ascii="楷体_GB2312" w:hAnsi="宋体" w:eastAsia="楷体_GB2312"/>
          <w:b/>
          <w:bCs/>
          <w:szCs w:val="21"/>
          <w:lang w:eastAsia="zh-CN"/>
        </w:rPr>
        <w:t>产品销售文件</w:t>
      </w:r>
      <w:r>
        <w:rPr>
          <w:rFonts w:hint="eastAsia" w:ascii="楷体_GB2312" w:hAnsi="宋体" w:eastAsia="楷体_GB2312"/>
          <w:b/>
          <w:bCs/>
          <w:szCs w:val="21"/>
        </w:rPr>
        <w:t>规定，理财产品应缴纳和承担的税收和有权政府部门向理财产品征收的税费、规费。</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lang w:val="en-US" w:eastAsia="zh-CN"/>
        </w:rPr>
        <w:t>9</w:t>
      </w:r>
      <w:r>
        <w:rPr>
          <w:rFonts w:ascii="楷体_GB2312" w:hAnsi="宋体" w:eastAsia="楷体_GB2312"/>
          <w:b/>
          <w:bCs/>
          <w:szCs w:val="21"/>
        </w:rPr>
        <w:t>.</w:t>
      </w:r>
      <w:r>
        <w:rPr>
          <w:rFonts w:hint="eastAsia" w:ascii="楷体_GB2312" w:hAnsi="宋体" w:eastAsia="楷体_GB2312"/>
          <w:b/>
          <w:bCs/>
          <w:szCs w:val="21"/>
        </w:rPr>
        <w:t>理财产品利益：指投资者因持有理财产品份额，按照销售文件约定取得或有权取得的理财产品管理人分配的理财产品资产。在理财产品对外投资资产正常回收的情况下，该等财产性利益包括投资本金及理财产品收益。</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10</w:t>
      </w:r>
      <w:r>
        <w:rPr>
          <w:rFonts w:ascii="楷体_GB2312" w:hAnsi="宋体" w:eastAsia="楷体_GB2312"/>
          <w:b/>
          <w:bCs/>
          <w:szCs w:val="21"/>
        </w:rPr>
        <w:t>.</w:t>
      </w:r>
      <w:r>
        <w:rPr>
          <w:rFonts w:hint="eastAsia" w:ascii="楷体_GB2312" w:hAnsi="宋体" w:eastAsia="楷体_GB2312"/>
          <w:b/>
          <w:bCs/>
          <w:szCs w:val="21"/>
        </w:rPr>
        <w:t>投资本金：就每一投资者而言，指投资者为认购/申购理财产品份额而向理财产品管理人交付的货币资金，即该投资者在本理财产品下的初始投资资金。就每一理财产品份额而言，在本理财产品成立时每一理财产品份额的投资本金为1元。为避免疑义，投资本金的称谓仅为方便计算理财产品利益而创设的，并非对投资者投资本金不受损失的承诺。</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11</w:t>
      </w:r>
      <w:r>
        <w:rPr>
          <w:rFonts w:ascii="楷体_GB2312" w:hAnsi="宋体" w:eastAsia="楷体_GB2312"/>
          <w:b/>
          <w:bCs/>
          <w:szCs w:val="21"/>
        </w:rPr>
        <w:t>.</w:t>
      </w:r>
      <w:r>
        <w:rPr>
          <w:rFonts w:hint="eastAsia" w:ascii="楷体_GB2312" w:hAnsi="宋体" w:eastAsia="楷体_GB2312"/>
          <w:b/>
          <w:bCs/>
          <w:szCs w:val="21"/>
        </w:rPr>
        <w:t>理财产品收益：指投资者投资理财产品获得的投资收益，该收益为其获得分配的全部理财产品利益中扣除投资本金的部分。</w:t>
      </w:r>
    </w:p>
    <w:p>
      <w:pPr>
        <w:spacing w:line="360" w:lineRule="auto"/>
        <w:ind w:firstLine="422" w:firstLineChars="200"/>
        <w:contextualSpacing/>
        <w:rPr>
          <w:rFonts w:hint="eastAsia" w:ascii="楷体_GB2312" w:eastAsia="楷体_GB2312"/>
          <w:b/>
          <w:bCs/>
          <w:szCs w:val="21"/>
          <w:lang w:eastAsia="zh-CN"/>
        </w:rPr>
      </w:pPr>
      <w:r>
        <w:rPr>
          <w:rFonts w:ascii="楷体_GB2312" w:eastAsia="楷体_GB2312"/>
          <w:b/>
          <w:bCs/>
          <w:szCs w:val="21"/>
        </w:rPr>
        <w:t>1</w:t>
      </w:r>
      <w:r>
        <w:rPr>
          <w:rFonts w:hint="eastAsia" w:ascii="楷体_GB2312" w:eastAsia="楷体_GB2312"/>
          <w:b/>
          <w:bCs/>
          <w:szCs w:val="21"/>
          <w:lang w:val="en-US" w:eastAsia="zh-CN"/>
        </w:rPr>
        <w:t>2</w:t>
      </w:r>
      <w:r>
        <w:rPr>
          <w:rFonts w:ascii="楷体_GB2312" w:eastAsia="楷体_GB2312"/>
          <w:b/>
          <w:bCs/>
          <w:szCs w:val="21"/>
        </w:rPr>
        <w:t>.</w:t>
      </w:r>
      <w:r>
        <w:rPr>
          <w:rFonts w:hint="eastAsia" w:ascii="楷体_GB2312" w:eastAsia="楷体_GB2312"/>
          <w:b/>
          <w:bCs/>
          <w:szCs w:val="21"/>
          <w:lang w:val="en-US" w:eastAsia="zh-CN"/>
        </w:rPr>
        <w:t>收益</w:t>
      </w:r>
      <w:r>
        <w:rPr>
          <w:rFonts w:hint="eastAsia" w:ascii="楷体_GB2312" w:eastAsia="楷体_GB2312"/>
          <w:b/>
          <w:bCs/>
          <w:szCs w:val="21"/>
        </w:rPr>
        <w:t>分配：指理财产品管理人向投资者进行</w:t>
      </w:r>
      <w:r>
        <w:rPr>
          <w:rFonts w:ascii="楷体_GB2312" w:eastAsia="楷体_GB2312"/>
          <w:b/>
          <w:bCs/>
          <w:szCs w:val="21"/>
        </w:rPr>
        <w:t>理财产品</w:t>
      </w:r>
      <w:r>
        <w:rPr>
          <w:rFonts w:hint="eastAsia" w:ascii="楷体_GB2312" w:eastAsia="楷体_GB2312"/>
          <w:b/>
          <w:bCs/>
          <w:szCs w:val="21"/>
          <w:lang w:val="en-US" w:eastAsia="zh-CN"/>
        </w:rPr>
        <w:t>收益</w:t>
      </w:r>
      <w:r>
        <w:rPr>
          <w:rFonts w:hint="eastAsia" w:ascii="楷体_GB2312" w:eastAsia="楷体_GB2312"/>
          <w:b/>
          <w:bCs/>
          <w:szCs w:val="21"/>
        </w:rPr>
        <w:t>分配</w:t>
      </w:r>
      <w:r>
        <w:rPr>
          <w:rFonts w:hint="eastAsia" w:ascii="楷体_GB2312" w:eastAsia="楷体_GB2312"/>
          <w:b/>
          <w:bCs/>
          <w:szCs w:val="21"/>
          <w:lang w:eastAsia="zh-CN"/>
        </w:rPr>
        <w:t>。</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1</w:t>
      </w:r>
      <w:r>
        <w:rPr>
          <w:rFonts w:hint="eastAsia" w:ascii="楷体_GB2312" w:hAnsi="宋体" w:eastAsia="楷体_GB2312"/>
          <w:b/>
          <w:bCs/>
          <w:szCs w:val="21"/>
          <w:lang w:val="en-US" w:eastAsia="zh-CN"/>
        </w:rPr>
        <w:t>3</w:t>
      </w:r>
      <w:r>
        <w:rPr>
          <w:rFonts w:ascii="楷体_GB2312" w:hAnsi="宋体" w:eastAsia="楷体_GB2312"/>
          <w:b/>
          <w:bCs/>
          <w:szCs w:val="21"/>
        </w:rPr>
        <w:t>.</w:t>
      </w:r>
      <w:r>
        <w:rPr>
          <w:rFonts w:hint="eastAsia" w:ascii="楷体_GB2312" w:hAnsi="宋体" w:eastAsia="楷体_GB2312"/>
          <w:b/>
          <w:bCs/>
          <w:szCs w:val="21"/>
        </w:rPr>
        <w:t>期间分配：指在理财产品终止日（不含当日）前的理财产品</w:t>
      </w:r>
      <w:r>
        <w:rPr>
          <w:rFonts w:hint="eastAsia" w:ascii="楷体_GB2312" w:hAnsi="宋体" w:eastAsia="楷体_GB2312"/>
          <w:b/>
          <w:bCs/>
          <w:szCs w:val="21"/>
          <w:lang w:val="en-US" w:eastAsia="zh-CN"/>
        </w:rPr>
        <w:t>收益</w:t>
      </w:r>
      <w:r>
        <w:rPr>
          <w:rFonts w:hint="eastAsia" w:ascii="楷体_GB2312" w:hAnsi="宋体" w:eastAsia="楷体_GB2312"/>
          <w:b/>
          <w:bCs/>
          <w:szCs w:val="21"/>
        </w:rPr>
        <w:t>分配。</w:t>
      </w:r>
    </w:p>
    <w:p>
      <w:pPr>
        <w:spacing w:line="360" w:lineRule="auto"/>
        <w:ind w:firstLine="422" w:firstLineChars="200"/>
        <w:contextualSpacing/>
        <w:rPr>
          <w:rFonts w:ascii="楷体_GB2312" w:hAnsi="宋体" w:eastAsia="楷体_GB2312"/>
          <w:b/>
          <w:bCs/>
          <w:szCs w:val="21"/>
          <w:highlight w:val="none"/>
        </w:rPr>
      </w:pPr>
      <w:r>
        <w:rPr>
          <w:rFonts w:ascii="楷体_GB2312" w:hAnsi="宋体" w:eastAsia="楷体_GB2312"/>
          <w:b/>
          <w:bCs/>
          <w:szCs w:val="21"/>
          <w:highlight w:val="none"/>
        </w:rPr>
        <w:t>1</w:t>
      </w:r>
      <w:r>
        <w:rPr>
          <w:rFonts w:hint="eastAsia" w:ascii="楷体_GB2312" w:hAnsi="宋体" w:eastAsia="楷体_GB2312"/>
          <w:b/>
          <w:bCs/>
          <w:szCs w:val="21"/>
          <w:highlight w:val="none"/>
          <w:lang w:val="en-US" w:eastAsia="zh-CN"/>
        </w:rPr>
        <w:t>4</w:t>
      </w:r>
      <w:r>
        <w:rPr>
          <w:rFonts w:ascii="楷体_GB2312" w:hAnsi="宋体" w:eastAsia="楷体_GB2312"/>
          <w:b/>
          <w:bCs/>
          <w:szCs w:val="21"/>
          <w:highlight w:val="none"/>
        </w:rPr>
        <w:t>.</w:t>
      </w:r>
      <w:r>
        <w:rPr>
          <w:rFonts w:hint="eastAsia" w:ascii="楷体_GB2312" w:hAnsi="宋体" w:eastAsia="楷体_GB2312"/>
          <w:b/>
          <w:bCs/>
          <w:szCs w:val="21"/>
          <w:highlight w:val="none"/>
        </w:rPr>
        <w:t>终止分配：指在理财产品终止日当日及之后的理财产品</w:t>
      </w:r>
      <w:r>
        <w:rPr>
          <w:rFonts w:hint="eastAsia" w:ascii="楷体_GB2312" w:hAnsi="宋体" w:eastAsia="楷体_GB2312"/>
          <w:b/>
          <w:bCs/>
          <w:szCs w:val="21"/>
          <w:highlight w:val="none"/>
          <w:lang w:val="en-US" w:eastAsia="zh-CN"/>
        </w:rPr>
        <w:t>可得资金</w:t>
      </w:r>
      <w:r>
        <w:rPr>
          <w:rFonts w:hint="eastAsia" w:ascii="楷体_GB2312" w:hAnsi="宋体" w:eastAsia="楷体_GB2312"/>
          <w:b/>
          <w:bCs/>
          <w:szCs w:val="21"/>
          <w:highlight w:val="none"/>
        </w:rPr>
        <w:t>分配</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lang w:val="en-US" w:eastAsia="zh-CN"/>
        </w:rPr>
        <w:t>该等可得资金包括本金和理财收益（如有）</w:t>
      </w:r>
      <w:r>
        <w:rPr>
          <w:rFonts w:hint="eastAsia" w:ascii="楷体_GB2312" w:hAnsi="宋体" w:eastAsia="楷体_GB2312"/>
          <w:b/>
          <w:bCs/>
          <w:szCs w:val="21"/>
          <w:highlight w:val="none"/>
        </w:rPr>
        <w:t>。</w:t>
      </w:r>
    </w:p>
    <w:p>
      <w:pPr>
        <w:spacing w:line="360" w:lineRule="auto"/>
        <w:ind w:firstLine="422" w:firstLineChars="200"/>
        <w:contextualSpacing/>
        <w:rPr>
          <w:rFonts w:hint="eastAsia" w:ascii="楷体_GB2312" w:hAnsi="宋体" w:eastAsia="楷体_GB2312"/>
          <w:b/>
          <w:bCs/>
          <w:szCs w:val="21"/>
        </w:rPr>
      </w:pPr>
      <w:r>
        <w:rPr>
          <w:rFonts w:ascii="楷体_GB2312" w:hAnsi="宋体" w:eastAsia="楷体_GB2312"/>
          <w:b/>
          <w:bCs/>
          <w:szCs w:val="21"/>
        </w:rPr>
        <w:t>1</w:t>
      </w:r>
      <w:r>
        <w:rPr>
          <w:rFonts w:hint="eastAsia" w:ascii="楷体_GB2312" w:hAnsi="宋体" w:eastAsia="楷体_GB2312"/>
          <w:b/>
          <w:bCs/>
          <w:szCs w:val="21"/>
          <w:lang w:val="en-US" w:eastAsia="zh-CN"/>
        </w:rPr>
        <w:t>5</w:t>
      </w:r>
      <w:r>
        <w:rPr>
          <w:rFonts w:ascii="楷体_GB2312" w:hAnsi="宋体" w:eastAsia="楷体_GB2312"/>
          <w:b/>
          <w:bCs/>
          <w:szCs w:val="21"/>
        </w:rPr>
        <w:t>.</w:t>
      </w:r>
      <w:r>
        <w:rPr>
          <w:rFonts w:hint="eastAsia" w:ascii="楷体_GB2312" w:hAnsi="宋体" w:eastAsia="楷体_GB2312"/>
          <w:b/>
          <w:bCs/>
          <w:szCs w:val="21"/>
        </w:rPr>
        <w:t>理财产品份额：指管理人依据理财</w:t>
      </w:r>
      <w:r>
        <w:rPr>
          <w:rFonts w:hint="eastAsia" w:ascii="楷体_GB2312" w:hAnsi="宋体" w:eastAsia="楷体_GB2312"/>
          <w:b/>
          <w:bCs/>
          <w:szCs w:val="21"/>
          <w:lang w:eastAsia="zh-CN"/>
        </w:rPr>
        <w:t>产品销售文件</w:t>
      </w:r>
      <w:r>
        <w:rPr>
          <w:rFonts w:hint="eastAsia" w:ascii="楷体_GB2312" w:hAnsi="宋体" w:eastAsia="楷体_GB2312"/>
          <w:b/>
          <w:bCs/>
          <w:szCs w:val="21"/>
        </w:rPr>
        <w:t>向投资者发行的一种资产受益凭证。理财产品份额持有人基于其所持有的理财产品份额享有理财产品利益，承担理财产品资产风险。</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lang w:val="en-US" w:eastAsia="zh-CN"/>
        </w:rPr>
        <w:t>16.</w:t>
      </w:r>
      <w:r>
        <w:rPr>
          <w:rFonts w:hint="eastAsia" w:ascii="楷体_GB2312" w:hAnsi="宋体" w:eastAsia="楷体_GB2312"/>
          <w:b/>
          <w:bCs/>
          <w:szCs w:val="21"/>
        </w:rPr>
        <w:t>理财产品资产净值/理财资产净值/产品资产净值</w:t>
      </w:r>
      <w:r>
        <w:rPr>
          <w:rFonts w:hint="eastAsia" w:ascii="楷体_GB2312" w:hAnsi="宋体" w:eastAsia="楷体_GB2312"/>
          <w:b/>
          <w:bCs/>
          <w:szCs w:val="21"/>
          <w:lang w:eastAsia="zh-CN"/>
        </w:rPr>
        <w:t>：</w:t>
      </w:r>
      <w:r>
        <w:rPr>
          <w:rFonts w:hint="eastAsia" w:ascii="楷体_GB2312" w:hAnsi="宋体" w:eastAsia="楷体_GB2312"/>
          <w:b/>
          <w:bCs/>
          <w:szCs w:val="21"/>
        </w:rPr>
        <w:t>理财产品资产净值=理财产品资产总值-理财产品负债总值。</w:t>
      </w:r>
    </w:p>
    <w:p>
      <w:pPr>
        <w:spacing w:line="360" w:lineRule="auto"/>
        <w:ind w:firstLine="422" w:firstLineChars="200"/>
        <w:contextualSpacing/>
        <w:rPr>
          <w:rFonts w:hint="eastAsia" w:ascii="楷体_GB2312" w:hAnsi="宋体" w:eastAsia="楷体_GB2312"/>
          <w:b/>
          <w:bCs/>
          <w:szCs w:val="21"/>
          <w:lang w:val="en-US" w:eastAsia="zh-CN"/>
        </w:rPr>
      </w:pPr>
      <w:r>
        <w:rPr>
          <w:rFonts w:hint="eastAsia" w:ascii="楷体_GB2312" w:hAnsi="宋体" w:eastAsia="楷体_GB2312"/>
          <w:b/>
          <w:bCs/>
          <w:szCs w:val="21"/>
          <w:lang w:val="en-US" w:eastAsia="zh-CN"/>
        </w:rPr>
        <w:t>17.理财产品资产总值是指理财产品拥有的各类有价证券、银行存款、应收款项及其他资产的价值总和。</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lang w:val="en-US" w:eastAsia="zh-CN"/>
        </w:rPr>
        <w:t>18.理财产品负债总值是指理财产品运作及融资时形成的负债价值总和，包括融资资金本息、应付各项费用、应付税金及其他应付款项等。</w:t>
      </w:r>
    </w:p>
    <w:p>
      <w:pPr>
        <w:spacing w:line="360" w:lineRule="auto"/>
        <w:ind w:firstLine="422" w:firstLineChars="200"/>
        <w:contextualSpacing/>
        <w:rPr>
          <w:rFonts w:ascii="楷体_GB2312" w:hAnsi="宋体" w:eastAsia="楷体_GB2312"/>
          <w:b/>
          <w:bCs/>
          <w:color w:val="auto"/>
          <w:szCs w:val="21"/>
        </w:rPr>
      </w:pPr>
      <w:r>
        <w:rPr>
          <w:rFonts w:ascii="楷体_GB2312" w:hAnsi="宋体" w:eastAsia="楷体_GB2312"/>
          <w:b/>
          <w:bCs/>
          <w:color w:val="auto"/>
          <w:szCs w:val="21"/>
        </w:rPr>
        <w:t>1</w:t>
      </w:r>
      <w:r>
        <w:rPr>
          <w:rFonts w:hint="eastAsia" w:ascii="楷体_GB2312" w:hAnsi="宋体" w:eastAsia="楷体_GB2312"/>
          <w:b/>
          <w:bCs/>
          <w:color w:val="auto"/>
          <w:szCs w:val="21"/>
          <w:lang w:val="en-US" w:eastAsia="zh-CN"/>
        </w:rPr>
        <w:t>9</w:t>
      </w:r>
      <w:r>
        <w:rPr>
          <w:rFonts w:ascii="楷体_GB2312" w:hAnsi="宋体" w:eastAsia="楷体_GB2312"/>
          <w:b/>
          <w:bCs/>
          <w:color w:val="auto"/>
          <w:szCs w:val="21"/>
        </w:rPr>
        <w:t>.</w:t>
      </w:r>
      <w:r>
        <w:rPr>
          <w:rFonts w:hint="eastAsia" w:ascii="楷体_GB2312" w:hAnsi="宋体" w:eastAsia="楷体_GB2312"/>
          <w:b/>
          <w:bCs/>
          <w:color w:val="auto"/>
          <w:szCs w:val="21"/>
          <w:lang w:val="en-US" w:eastAsia="zh-CN"/>
        </w:rPr>
        <w:t>理财产品份额净值</w:t>
      </w:r>
      <w:r>
        <w:rPr>
          <w:rFonts w:hint="eastAsia" w:ascii="楷体_GB2312" w:hAnsi="宋体" w:eastAsia="楷体_GB2312"/>
          <w:b/>
          <w:bCs/>
          <w:color w:val="auto"/>
          <w:szCs w:val="21"/>
        </w:rPr>
        <w:t>：指理财产品份额的单位净值，即每1份理财产品份额以人民币计价的价格。</w:t>
      </w:r>
    </w:p>
    <w:p>
      <w:pPr>
        <w:spacing w:line="360" w:lineRule="auto"/>
        <w:ind w:firstLine="422" w:firstLineChars="200"/>
        <w:contextualSpacing/>
        <w:rPr>
          <w:rFonts w:ascii="楷体_GB2312" w:hAnsi="宋体" w:eastAsia="楷体_GB2312"/>
          <w:b/>
          <w:bCs/>
          <w:color w:val="auto"/>
          <w:szCs w:val="21"/>
        </w:rPr>
      </w:pPr>
      <w:r>
        <w:rPr>
          <w:rFonts w:hint="eastAsia" w:ascii="楷体_GB2312" w:hAnsi="宋体" w:eastAsia="楷体_GB2312"/>
          <w:b/>
          <w:bCs/>
          <w:color w:val="auto"/>
          <w:szCs w:val="21"/>
          <w:lang w:val="en-US" w:eastAsia="zh-CN"/>
        </w:rPr>
        <w:t>20</w:t>
      </w:r>
      <w:r>
        <w:rPr>
          <w:rFonts w:ascii="楷体_GB2312" w:hAnsi="宋体" w:eastAsia="楷体_GB2312"/>
          <w:b/>
          <w:bCs/>
          <w:color w:val="auto"/>
          <w:szCs w:val="21"/>
        </w:rPr>
        <w:t>.</w:t>
      </w:r>
      <w:r>
        <w:rPr>
          <w:rFonts w:hint="eastAsia" w:ascii="楷体_GB2312" w:hAnsi="宋体" w:eastAsia="楷体_GB2312"/>
          <w:b/>
          <w:bCs/>
          <w:color w:val="auto"/>
          <w:szCs w:val="21"/>
          <w:lang w:val="en-US" w:eastAsia="zh-CN"/>
        </w:rPr>
        <w:t>理财产品份额累计净值</w:t>
      </w:r>
      <w:r>
        <w:rPr>
          <w:rFonts w:hint="eastAsia" w:ascii="楷体_GB2312" w:hAnsi="宋体" w:eastAsia="楷体_GB2312"/>
          <w:b/>
          <w:bCs/>
          <w:color w:val="auto"/>
          <w:szCs w:val="21"/>
        </w:rPr>
        <w:t>：指理财产品份额的单位净值与产品成立后历次累计单位收益分配的总和。</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21</w:t>
      </w:r>
      <w:r>
        <w:rPr>
          <w:rFonts w:hint="eastAsia" w:ascii="楷体_GB2312" w:hAnsi="宋体" w:eastAsia="楷体_GB2312"/>
          <w:b/>
          <w:bCs/>
          <w:szCs w:val="21"/>
        </w:rPr>
        <w:t>.理财产品估值：指评估理财产品资产及负债以确定理财产品份额净值的过程。</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lang w:val="en-US" w:eastAsia="zh-CN"/>
        </w:rPr>
        <w:t>22</w:t>
      </w:r>
      <w:r>
        <w:rPr>
          <w:rFonts w:ascii="楷体_GB2312" w:hAnsi="宋体" w:eastAsia="楷体_GB2312"/>
          <w:b/>
          <w:bCs/>
          <w:szCs w:val="21"/>
        </w:rPr>
        <w:t>.</w:t>
      </w:r>
      <w:r>
        <w:rPr>
          <w:rFonts w:hint="eastAsia" w:ascii="楷体_GB2312" w:hAnsi="宋体" w:eastAsia="楷体_GB2312"/>
          <w:b/>
          <w:bCs/>
          <w:szCs w:val="21"/>
        </w:rPr>
        <w:t>业绩比较基准：业绩比较基准是管理人基于产品性质、投资策略、过往经验等因素对产品设定的投资目标，业绩比较基准不是预期收益率，不代表产品的未来表现和实际收益，不构成对产品收益的承诺。</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23</w:t>
      </w:r>
      <w:r>
        <w:rPr>
          <w:rFonts w:ascii="楷体_GB2312" w:hAnsi="宋体" w:eastAsia="楷体_GB2312"/>
          <w:b/>
          <w:bCs/>
          <w:szCs w:val="21"/>
        </w:rPr>
        <w:t>.</w:t>
      </w:r>
      <w:r>
        <w:rPr>
          <w:rFonts w:hint="eastAsia" w:ascii="楷体_GB2312" w:hAnsi="宋体" w:eastAsia="楷体_GB2312"/>
          <w:b/>
          <w:bCs/>
          <w:szCs w:val="21"/>
        </w:rPr>
        <w:t>认购：指在</w:t>
      </w:r>
      <w:r>
        <w:rPr>
          <w:rFonts w:ascii="楷体_GB2312" w:hAnsi="宋体" w:eastAsia="楷体_GB2312"/>
          <w:b/>
          <w:bCs/>
          <w:szCs w:val="21"/>
        </w:rPr>
        <w:t>理财产品的募集期内，</w:t>
      </w:r>
      <w:r>
        <w:rPr>
          <w:rFonts w:hint="eastAsia" w:ascii="楷体_GB2312" w:hAnsi="宋体" w:eastAsia="楷体_GB2312"/>
          <w:b/>
          <w:bCs/>
          <w:szCs w:val="21"/>
        </w:rPr>
        <w:t>投资者根据《产品说明书》约定申请购买本产品理财产品份额的行为。</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24</w:t>
      </w:r>
      <w:r>
        <w:rPr>
          <w:rFonts w:ascii="楷体_GB2312" w:hAnsi="宋体" w:eastAsia="楷体_GB2312"/>
          <w:b/>
          <w:bCs/>
          <w:szCs w:val="21"/>
        </w:rPr>
        <w:t>.</w:t>
      </w:r>
      <w:r>
        <w:rPr>
          <w:rFonts w:hint="eastAsia" w:ascii="楷体_GB2312" w:hAnsi="宋体" w:eastAsia="楷体_GB2312"/>
          <w:b/>
          <w:bCs/>
          <w:szCs w:val="21"/>
        </w:rPr>
        <w:t>申购/赎回：指在理财产品的开放日，投资者向销售机构提出对理财产品份额进行购买/卖出的行为。</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lang w:val="en-US" w:eastAsia="zh-CN"/>
        </w:rPr>
        <w:t>25</w:t>
      </w:r>
      <w:r>
        <w:rPr>
          <w:rFonts w:ascii="楷体_GB2312" w:hAnsi="宋体" w:eastAsia="楷体_GB2312"/>
          <w:b/>
          <w:bCs/>
          <w:szCs w:val="21"/>
        </w:rPr>
        <w:t>.</w:t>
      </w:r>
      <w:r>
        <w:rPr>
          <w:rFonts w:hint="eastAsia" w:ascii="楷体_GB2312" w:hAnsi="宋体" w:eastAsia="楷体_GB2312"/>
          <w:b/>
          <w:bCs/>
          <w:szCs w:val="21"/>
        </w:rPr>
        <w:t>巨额赎回：在理财产品存续期内，若理财产品任一赎回开放日净赎回</w:t>
      </w:r>
      <w:r>
        <w:rPr>
          <w:rFonts w:hint="eastAsia" w:ascii="楷体_GB2312" w:hAnsi="宋体" w:eastAsia="楷体_GB2312"/>
          <w:b/>
          <w:bCs/>
          <w:szCs w:val="21"/>
          <w:lang w:val="en-US" w:eastAsia="zh-CN"/>
        </w:rPr>
        <w:t>申请份</w:t>
      </w:r>
      <w:r>
        <w:rPr>
          <w:rFonts w:hint="eastAsia" w:ascii="楷体_GB2312" w:hAnsi="宋体" w:eastAsia="楷体_GB2312"/>
          <w:b/>
          <w:bCs/>
          <w:szCs w:val="21"/>
        </w:rPr>
        <w:t>额（赎回申请份额总数扣除申购申请份额总数）超过本理财产品上一</w:t>
      </w:r>
      <w:r>
        <w:rPr>
          <w:rFonts w:hint="eastAsia" w:ascii="楷体_GB2312" w:hAnsi="宋体" w:eastAsia="楷体_GB2312"/>
          <w:b/>
          <w:bCs/>
          <w:szCs w:val="21"/>
          <w:lang w:val="en-US" w:eastAsia="zh-CN"/>
        </w:rPr>
        <w:t>交易日</w:t>
      </w:r>
      <w:r>
        <w:rPr>
          <w:rFonts w:hint="eastAsia" w:ascii="楷体_GB2312" w:hAnsi="宋体" w:eastAsia="楷体_GB2312"/>
          <w:b/>
          <w:bCs/>
          <w:szCs w:val="21"/>
        </w:rPr>
        <w:t>日终份额的</w:t>
      </w:r>
      <w:r>
        <w:rPr>
          <w:rFonts w:hint="eastAsia" w:ascii="楷体_GB2312" w:hAnsi="宋体" w:eastAsia="楷体_GB2312"/>
          <w:b/>
          <w:bCs/>
          <w:color w:val="C00000"/>
          <w:szCs w:val="21"/>
          <w:u w:val="single"/>
        </w:rPr>
        <w:t>10%</w:t>
      </w:r>
      <w:r>
        <w:rPr>
          <w:rFonts w:hint="eastAsia" w:ascii="楷体_GB2312" w:hAnsi="宋体" w:eastAsia="楷体_GB2312"/>
          <w:b/>
          <w:bCs/>
          <w:szCs w:val="21"/>
        </w:rPr>
        <w:t>时，即为发生巨额赎回。</w:t>
      </w:r>
    </w:p>
    <w:p>
      <w:pPr>
        <w:spacing w:line="360" w:lineRule="auto"/>
        <w:ind w:firstLine="422" w:firstLineChars="200"/>
        <w:contextualSpacing/>
        <w:rPr>
          <w:rFonts w:hint="eastAsia" w:ascii="楷体_GB2312" w:hAnsi="宋体" w:eastAsia="楷体_GB2312"/>
          <w:b/>
          <w:bCs/>
          <w:color w:val="auto"/>
          <w:szCs w:val="21"/>
        </w:rPr>
      </w:pPr>
      <w:r>
        <w:rPr>
          <w:rFonts w:hint="eastAsia" w:ascii="楷体_GB2312" w:hAnsi="宋体" w:eastAsia="楷体_GB2312"/>
          <w:b/>
          <w:bCs/>
          <w:color w:val="auto"/>
          <w:szCs w:val="21"/>
          <w:lang w:val="en-US" w:eastAsia="zh-CN"/>
        </w:rPr>
        <w:t xml:space="preserve">26.高流动性资产：指现金或者到期日在一年以内的国债、中央银行票据和政策性金融债券。 </w:t>
      </w:r>
    </w:p>
    <w:p>
      <w:pPr>
        <w:spacing w:line="360" w:lineRule="auto"/>
        <w:ind w:firstLine="422" w:firstLineChars="200"/>
        <w:contextualSpacing/>
        <w:rPr>
          <w:rFonts w:hint="eastAsia" w:ascii="楷体_GB2312" w:hAnsi="宋体" w:eastAsia="楷体_GB2312"/>
          <w:b/>
          <w:bCs/>
          <w:color w:val="auto"/>
          <w:szCs w:val="21"/>
        </w:rPr>
      </w:pPr>
      <w:r>
        <w:rPr>
          <w:rFonts w:hint="eastAsia" w:ascii="楷体_GB2312" w:hAnsi="宋体" w:eastAsia="楷体_GB2312"/>
          <w:b/>
          <w:bCs/>
          <w:color w:val="auto"/>
          <w:szCs w:val="21"/>
          <w:lang w:val="en-US" w:eastAsia="zh-CN"/>
        </w:rPr>
        <w:t xml:space="preserve">27.流动性受限资产：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 资产支持证券（票据），因发行人债务违约无法进行转让或交易的债券和非金融企业债务融资工具，以及其他流动性受限资产。法律法规或监管机构另有规定的，从其规定。 </w:t>
      </w:r>
    </w:p>
    <w:p>
      <w:pPr>
        <w:spacing w:line="360" w:lineRule="auto"/>
        <w:ind w:firstLine="422" w:firstLineChars="200"/>
        <w:contextualSpacing/>
        <w:rPr>
          <w:rFonts w:hint="eastAsia" w:ascii="楷体_GB2312" w:hAnsi="宋体" w:eastAsia="楷体_GB2312"/>
          <w:b/>
          <w:bCs/>
          <w:color w:val="auto"/>
          <w:szCs w:val="21"/>
          <w:lang w:val="en-US" w:eastAsia="zh-CN"/>
        </w:rPr>
      </w:pPr>
      <w:r>
        <w:rPr>
          <w:rFonts w:hint="eastAsia" w:ascii="楷体_GB2312" w:hAnsi="宋体" w:eastAsia="楷体_GB2312"/>
          <w:b/>
          <w:bCs/>
          <w:color w:val="auto"/>
          <w:szCs w:val="21"/>
          <w:lang w:val="en-US" w:eastAsia="zh-CN"/>
        </w:rPr>
        <w:t xml:space="preserve">28.7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 </w:t>
      </w:r>
    </w:p>
    <w:p>
      <w:pPr>
        <w:spacing w:line="360" w:lineRule="auto"/>
        <w:ind w:firstLine="422" w:firstLineChars="200"/>
        <w:contextualSpacing/>
        <w:rPr>
          <w:rFonts w:hint="eastAsia" w:ascii="楷体_GB2312" w:hAnsi="宋体" w:eastAsia="楷体_GB2312"/>
          <w:b/>
          <w:bCs/>
          <w:color w:val="auto"/>
          <w:szCs w:val="21"/>
          <w:highlight w:val="none"/>
        </w:rPr>
      </w:pPr>
      <w:r>
        <w:rPr>
          <w:rFonts w:hint="eastAsia" w:ascii="楷体_GB2312" w:hAnsi="宋体" w:eastAsia="楷体_GB2312"/>
          <w:b/>
          <w:bCs/>
          <w:color w:val="auto"/>
          <w:szCs w:val="21"/>
          <w:highlight w:val="none"/>
          <w:lang w:val="en-US" w:eastAsia="zh-CN"/>
        </w:rPr>
        <w:t>29.摆动定价机制：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确保投资者的合法权益不受损害并得到公平对待。</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（四）相关账户</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理财托管账户/理财产品账户：指理财产品管理人以理财产品的名义在托管人处单独开立的资金管理账户，理财产品资金的一切收支活动，均必须通过该账户进行。</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（五）期间与日期</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1.</w:t>
      </w:r>
      <w:r>
        <w:rPr>
          <w:rFonts w:hint="eastAsia" w:ascii="楷体_GB2312" w:hAnsi="宋体" w:eastAsia="楷体_GB2312"/>
          <w:b/>
          <w:bCs/>
          <w:szCs w:val="21"/>
        </w:rPr>
        <w:t>交易日：指上海证券交易所和深圳证券交易所的正常开盘交易日。</w:t>
      </w:r>
    </w:p>
    <w:p>
      <w:pPr>
        <w:spacing w:line="360" w:lineRule="auto"/>
        <w:ind w:firstLine="422" w:firstLineChars="200"/>
        <w:contextualSpacing/>
        <w:rPr>
          <w:rFonts w:hint="eastAsia" w:ascii="楷体_GB2312" w:hAnsi="宋体" w:eastAsia="楷体_GB2312"/>
          <w:b/>
          <w:bCs/>
          <w:szCs w:val="21"/>
        </w:rPr>
      </w:pPr>
      <w:r>
        <w:rPr>
          <w:rFonts w:ascii="楷体_GB2312" w:hAnsi="宋体" w:eastAsia="楷体_GB2312"/>
          <w:b/>
          <w:bCs/>
          <w:szCs w:val="21"/>
        </w:rPr>
        <w:t>2.</w:t>
      </w:r>
      <w:r>
        <w:rPr>
          <w:rFonts w:hint="eastAsia" w:ascii="楷体_GB2312" w:hAnsi="宋体" w:eastAsia="楷体_GB2312"/>
          <w:b/>
          <w:bCs/>
          <w:szCs w:val="21"/>
        </w:rPr>
        <w:t>银行工作日：指除中国法定节假日和公休日外的其他日。</w:t>
      </w:r>
    </w:p>
    <w:p>
      <w:pPr>
        <w:spacing w:line="360" w:lineRule="auto"/>
        <w:ind w:firstLine="422" w:firstLineChars="200"/>
        <w:contextualSpacing/>
        <w:rPr>
          <w:rFonts w:hint="eastAsia" w:ascii="楷体" w:hAnsi="楷体" w:eastAsia="楷体" w:cs="楷体"/>
          <w:b/>
          <w:bCs/>
          <w:szCs w:val="21"/>
          <w:highlight w:val="none"/>
          <w:u w:val="none"/>
          <w:lang w:val="en-US" w:eastAsia="zh-CN"/>
        </w:rPr>
      </w:pPr>
      <w:r>
        <w:rPr>
          <w:rFonts w:hint="eastAsia" w:ascii="楷体" w:hAnsi="楷体" w:eastAsia="楷体" w:cs="楷体"/>
          <w:b/>
          <w:bCs/>
          <w:szCs w:val="21"/>
          <w:highlight w:val="none"/>
          <w:u w:val="none"/>
          <w:lang w:val="en-US" w:eastAsia="zh-CN"/>
        </w:rPr>
        <w:t>3.工作日：指交易日或银行工作日，本《产品说明书》中“工作日”指【交易日】。</w:t>
      </w:r>
    </w:p>
    <w:p>
      <w:pPr>
        <w:spacing w:line="360" w:lineRule="auto"/>
        <w:ind w:firstLine="422" w:firstLineChars="200"/>
        <w:contextualSpacing/>
        <w:rPr>
          <w:rFonts w:ascii="楷体_GB2312" w:hAnsi="宋体" w:eastAsia="楷体_GB2312"/>
          <w:b/>
          <w:bCs/>
          <w:color w:val="auto"/>
          <w:szCs w:val="21"/>
        </w:rPr>
      </w:pPr>
      <w:r>
        <w:rPr>
          <w:rFonts w:hint="eastAsia" w:ascii="楷体_GB2312" w:hAnsi="宋体" w:eastAsia="楷体_GB2312"/>
          <w:b/>
          <w:bCs/>
          <w:color w:val="auto"/>
          <w:szCs w:val="21"/>
          <w:lang w:val="en-US" w:eastAsia="zh-CN"/>
        </w:rPr>
        <w:t>4</w:t>
      </w:r>
      <w:r>
        <w:rPr>
          <w:rFonts w:hint="eastAsia" w:ascii="楷体_GB2312" w:hAnsi="宋体" w:eastAsia="楷体_GB2312"/>
          <w:b/>
          <w:bCs/>
          <w:color w:val="auto"/>
          <w:szCs w:val="21"/>
        </w:rPr>
        <w:t>.自然日：包括正常的工作日和周末休假日，也包括假期。</w:t>
      </w:r>
    </w:p>
    <w:p>
      <w:pPr>
        <w:spacing w:line="360" w:lineRule="auto"/>
        <w:ind w:firstLine="422" w:firstLineChars="200"/>
        <w:contextualSpacing/>
        <w:rPr>
          <w:rFonts w:ascii="楷体_GB2312" w:hAnsi="宋体" w:eastAsia="楷体_GB2312"/>
          <w:b/>
          <w:bCs/>
          <w:color w:val="auto"/>
          <w:szCs w:val="21"/>
        </w:rPr>
      </w:pPr>
      <w:r>
        <w:rPr>
          <w:rFonts w:hint="eastAsia" w:ascii="楷体_GB2312" w:hAnsi="宋体" w:eastAsia="楷体_GB2312"/>
          <w:b/>
          <w:bCs/>
          <w:szCs w:val="21"/>
          <w:lang w:val="en-US" w:eastAsia="zh-CN"/>
        </w:rPr>
        <w:t>5</w:t>
      </w:r>
      <w:r>
        <w:rPr>
          <w:rFonts w:ascii="楷体_GB2312" w:hAnsi="宋体" w:eastAsia="楷体_GB2312"/>
          <w:b/>
          <w:bCs/>
          <w:szCs w:val="21"/>
        </w:rPr>
        <w:t>.</w:t>
      </w:r>
      <w:r>
        <w:rPr>
          <w:rFonts w:hint="eastAsia" w:ascii="楷体_GB2312" w:hAnsi="宋体" w:eastAsia="楷体_GB2312"/>
          <w:b/>
          <w:bCs/>
          <w:szCs w:val="21"/>
        </w:rPr>
        <w:t>认购期：指理财产品成立前，理财产品管理人接受理财产品认购的时间。但在该期间内如认购人提交认购申请的认购份额提前达到《产品说明书》所载的发行规模上限的，管理人有权暂停接受认购申请，</w:t>
      </w:r>
      <w:r>
        <w:rPr>
          <w:rFonts w:hint="eastAsia" w:ascii="楷体_GB2312" w:hAnsi="宋体" w:eastAsia="楷体_GB2312"/>
          <w:b/>
          <w:bCs/>
          <w:color w:val="auto"/>
          <w:szCs w:val="21"/>
        </w:rPr>
        <w:t>该情况下产品成立日保持不变。</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6</w:t>
      </w:r>
      <w:r>
        <w:rPr>
          <w:rFonts w:ascii="楷体_GB2312" w:hAnsi="宋体" w:eastAsia="楷体_GB2312"/>
          <w:b/>
          <w:bCs/>
          <w:szCs w:val="21"/>
        </w:rPr>
        <w:t>.</w:t>
      </w:r>
      <w:r>
        <w:rPr>
          <w:rFonts w:hint="eastAsia" w:ascii="楷体_GB2312" w:hAnsi="宋体" w:eastAsia="楷体_GB2312"/>
          <w:b/>
          <w:bCs/>
          <w:szCs w:val="21"/>
        </w:rPr>
        <w:t>产品成立日：指达到《产品说明书》约定的成立条件后理财产品成立的日期。</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7</w:t>
      </w:r>
      <w:r>
        <w:rPr>
          <w:rFonts w:ascii="楷体_GB2312" w:hAnsi="宋体" w:eastAsia="楷体_GB2312"/>
          <w:b/>
          <w:bCs/>
          <w:szCs w:val="21"/>
        </w:rPr>
        <w:t>.</w:t>
      </w:r>
      <w:r>
        <w:rPr>
          <w:rFonts w:hint="eastAsia" w:ascii="楷体_GB2312" w:hAnsi="宋体" w:eastAsia="楷体_GB2312"/>
          <w:b/>
          <w:bCs/>
          <w:szCs w:val="21"/>
        </w:rPr>
        <w:t>理财产品预计到期日/预计到期日：指</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约定的预计到期日，如遇非</w:t>
      </w:r>
      <w:r>
        <w:rPr>
          <w:rFonts w:hint="eastAsia" w:ascii="楷体_GB2312" w:hAnsi="宋体" w:eastAsia="楷体_GB2312"/>
          <w:b/>
          <w:bCs/>
          <w:color w:val="auto"/>
          <w:szCs w:val="21"/>
          <w:lang w:eastAsia="zh-CN"/>
        </w:rPr>
        <w:t>【</w:t>
      </w:r>
      <w:r>
        <w:rPr>
          <w:rFonts w:hint="eastAsia" w:ascii="楷体_GB2312" w:hAnsi="宋体" w:eastAsia="楷体_GB2312"/>
          <w:b/>
          <w:bCs/>
          <w:color w:val="C00000"/>
          <w:szCs w:val="21"/>
          <w:lang w:val="en-US" w:eastAsia="zh-CN"/>
        </w:rPr>
        <w:t>交易日</w:t>
      </w:r>
      <w:r>
        <w:rPr>
          <w:rFonts w:hint="eastAsia" w:ascii="楷体_GB2312" w:hAnsi="宋体" w:eastAsia="楷体_GB2312"/>
          <w:b/>
          <w:bCs/>
          <w:color w:val="auto"/>
          <w:szCs w:val="21"/>
          <w:lang w:eastAsia="zh-CN"/>
        </w:rPr>
        <w:t>】</w:t>
      </w:r>
      <w:r>
        <w:rPr>
          <w:rFonts w:hint="eastAsia" w:ascii="楷体_GB2312" w:hAnsi="宋体" w:eastAsia="楷体_GB2312"/>
          <w:b/>
          <w:bCs/>
          <w:color w:val="auto"/>
          <w:szCs w:val="21"/>
        </w:rPr>
        <w:t>顺延至下一个</w:t>
      </w:r>
      <w:r>
        <w:rPr>
          <w:rFonts w:hint="eastAsia" w:ascii="楷体_GB2312" w:hAnsi="宋体" w:eastAsia="楷体_GB2312"/>
          <w:b/>
          <w:bCs/>
          <w:color w:val="auto"/>
          <w:szCs w:val="21"/>
          <w:lang w:eastAsia="zh-CN"/>
        </w:rPr>
        <w:t>【</w:t>
      </w:r>
      <w:r>
        <w:rPr>
          <w:rFonts w:hint="eastAsia" w:ascii="楷体_GB2312" w:hAnsi="宋体" w:eastAsia="楷体_GB2312"/>
          <w:b/>
          <w:bCs/>
          <w:color w:val="C00000"/>
          <w:szCs w:val="21"/>
          <w:lang w:val="en-US" w:eastAsia="zh-CN"/>
        </w:rPr>
        <w:t>交易</w:t>
      </w:r>
      <w:r>
        <w:rPr>
          <w:rFonts w:hint="eastAsia" w:ascii="楷体_GB2312" w:hAnsi="宋体" w:eastAsia="楷体_GB2312"/>
          <w:b/>
          <w:bCs/>
          <w:color w:val="C00000"/>
          <w:szCs w:val="21"/>
        </w:rPr>
        <w:t>日</w:t>
      </w:r>
      <w:r>
        <w:rPr>
          <w:rFonts w:hint="eastAsia" w:ascii="楷体_GB2312" w:hAnsi="宋体" w:eastAsia="楷体_GB2312"/>
          <w:b/>
          <w:bCs/>
          <w:color w:val="auto"/>
          <w:szCs w:val="21"/>
          <w:lang w:eastAsia="zh-CN"/>
        </w:rPr>
        <w:t>】</w:t>
      </w:r>
      <w:r>
        <w:rPr>
          <w:rFonts w:hint="eastAsia" w:ascii="楷体_GB2312" w:hAnsi="宋体" w:eastAsia="楷体_GB2312"/>
          <w:b/>
          <w:bCs/>
          <w:szCs w:val="21"/>
        </w:rPr>
        <w:t>。</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8</w:t>
      </w:r>
      <w:r>
        <w:rPr>
          <w:rFonts w:ascii="楷体_GB2312" w:hAnsi="宋体" w:eastAsia="楷体_GB2312"/>
          <w:b/>
          <w:bCs/>
          <w:szCs w:val="21"/>
        </w:rPr>
        <w:t>.</w:t>
      </w:r>
      <w:r>
        <w:rPr>
          <w:rFonts w:hint="eastAsia" w:ascii="楷体_GB2312" w:hAnsi="宋体" w:eastAsia="楷体_GB2312"/>
          <w:b/>
          <w:bCs/>
          <w:szCs w:val="21"/>
        </w:rPr>
        <w:t>理财产品到期日/终止日：指理财产品实际终止之日，根据实际情况，是指理财产品预计到期日，或管理人根据本《产品说明书》约定宣布本理财产品早于理财产品预计到期日而终止之日或宣布本理财产品延长后的终止之日（含延长后的到期终止之日，以及管理人在延期期限内根据本《产品说明书》约定宣布本理财产品终止之日）。</w:t>
      </w:r>
    </w:p>
    <w:p>
      <w:pPr>
        <w:spacing w:line="360" w:lineRule="auto"/>
        <w:ind w:firstLine="422" w:firstLineChars="200"/>
        <w:contextualSpacing/>
        <w:rPr>
          <w:rFonts w:ascii="楷体_GB2312" w:hAnsi="宋体" w:eastAsia="楷体_GB2312"/>
          <w:b/>
          <w:bCs/>
          <w:color w:val="auto"/>
          <w:szCs w:val="21"/>
        </w:rPr>
      </w:pPr>
      <w:r>
        <w:rPr>
          <w:rFonts w:hint="eastAsia" w:ascii="楷体_GB2312" w:hAnsi="宋体" w:eastAsia="楷体_GB2312"/>
          <w:b/>
          <w:bCs/>
          <w:color w:val="auto"/>
          <w:szCs w:val="21"/>
          <w:lang w:val="en-US" w:eastAsia="zh-CN"/>
        </w:rPr>
        <w:t>9</w:t>
      </w:r>
      <w:r>
        <w:rPr>
          <w:rFonts w:ascii="楷体_GB2312" w:hAnsi="宋体" w:eastAsia="楷体_GB2312"/>
          <w:b/>
          <w:bCs/>
          <w:color w:val="auto"/>
          <w:szCs w:val="21"/>
        </w:rPr>
        <w:t>.</w:t>
      </w:r>
      <w:r>
        <w:rPr>
          <w:rFonts w:hint="eastAsia" w:ascii="楷体_GB2312" w:hAnsi="宋体" w:eastAsia="楷体_GB2312"/>
          <w:b/>
          <w:bCs/>
          <w:color w:val="auto"/>
          <w:szCs w:val="21"/>
        </w:rPr>
        <w:t>预计存续期：指理财产品成立日起，至理财产品预计到期日的期间。</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10</w:t>
      </w:r>
      <w:r>
        <w:rPr>
          <w:rFonts w:ascii="楷体_GB2312" w:hAnsi="宋体" w:eastAsia="楷体_GB2312"/>
          <w:b/>
          <w:bCs/>
          <w:szCs w:val="21"/>
        </w:rPr>
        <w:t>.</w:t>
      </w:r>
      <w:r>
        <w:rPr>
          <w:rFonts w:hint="eastAsia" w:ascii="楷体_GB2312" w:hAnsi="宋体" w:eastAsia="楷体_GB2312"/>
          <w:b/>
          <w:bCs/>
          <w:szCs w:val="21"/>
        </w:rPr>
        <w:t>产品存续期：指自理财产品成立日起，至理财产品终止日的期间。</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1</w:t>
      </w:r>
      <w:r>
        <w:rPr>
          <w:rFonts w:hint="eastAsia" w:ascii="楷体_GB2312" w:hAnsi="宋体" w:eastAsia="楷体_GB2312"/>
          <w:b/>
          <w:bCs/>
          <w:szCs w:val="21"/>
          <w:lang w:val="en-US" w:eastAsia="zh-CN"/>
        </w:rPr>
        <w:t>1</w:t>
      </w:r>
      <w:r>
        <w:rPr>
          <w:rFonts w:ascii="楷体_GB2312" w:hAnsi="宋体" w:eastAsia="楷体_GB2312"/>
          <w:b/>
          <w:bCs/>
          <w:szCs w:val="21"/>
        </w:rPr>
        <w:t>.</w:t>
      </w:r>
      <w:r>
        <w:rPr>
          <w:rFonts w:hint="eastAsia" w:ascii="楷体_GB2312" w:hAnsi="宋体" w:eastAsia="楷体_GB2312"/>
          <w:b/>
          <w:bCs/>
          <w:szCs w:val="21"/>
        </w:rPr>
        <w:t>估值日：指产品管理人对理财产品项下资产进行估值的日期。</w:t>
      </w:r>
    </w:p>
    <w:p>
      <w:pPr>
        <w:spacing w:line="360" w:lineRule="auto"/>
        <w:ind w:firstLine="422" w:firstLineChars="200"/>
        <w:contextualSpacing/>
        <w:rPr>
          <w:rFonts w:ascii="楷体_GB2312" w:hAnsi="宋体" w:eastAsia="楷体_GB2312"/>
          <w:b/>
          <w:bCs/>
          <w:color w:val="auto"/>
          <w:szCs w:val="21"/>
        </w:rPr>
      </w:pPr>
      <w:r>
        <w:rPr>
          <w:rFonts w:hint="eastAsia" w:ascii="楷体_GB2312" w:hAnsi="宋体" w:eastAsia="楷体_GB2312"/>
          <w:b/>
          <w:bCs/>
          <w:color w:val="auto"/>
          <w:szCs w:val="21"/>
        </w:rPr>
        <w:t>1</w:t>
      </w:r>
      <w:r>
        <w:rPr>
          <w:rFonts w:hint="eastAsia" w:ascii="楷体_GB2312" w:hAnsi="宋体" w:eastAsia="楷体_GB2312"/>
          <w:b/>
          <w:bCs/>
          <w:color w:val="auto"/>
          <w:szCs w:val="21"/>
          <w:lang w:val="en-US" w:eastAsia="zh-CN"/>
        </w:rPr>
        <w:t>2</w:t>
      </w:r>
      <w:r>
        <w:rPr>
          <w:rFonts w:hint="eastAsia" w:ascii="楷体_GB2312" w:hAnsi="宋体" w:eastAsia="楷体_GB2312"/>
          <w:b/>
          <w:bCs/>
          <w:color w:val="auto"/>
          <w:szCs w:val="21"/>
        </w:rPr>
        <w:t>.投资封闭期：产品发售后暂停受理申购、赎回业务的一段封闭的时间。</w:t>
      </w:r>
    </w:p>
    <w:p>
      <w:pPr>
        <w:spacing w:line="360" w:lineRule="auto"/>
        <w:ind w:firstLine="422" w:firstLineChars="200"/>
        <w:contextualSpacing/>
        <w:rPr>
          <w:rFonts w:ascii="楷体_GB2312" w:hAnsi="宋体" w:eastAsia="楷体_GB2312"/>
          <w:b/>
          <w:bCs/>
          <w:color w:val="auto"/>
          <w:szCs w:val="21"/>
        </w:rPr>
      </w:pPr>
      <w:r>
        <w:rPr>
          <w:rFonts w:ascii="楷体_GB2312" w:hAnsi="宋体" w:eastAsia="楷体_GB2312"/>
          <w:b/>
          <w:bCs/>
          <w:color w:val="auto"/>
          <w:szCs w:val="21"/>
        </w:rPr>
        <w:t>1</w:t>
      </w:r>
      <w:r>
        <w:rPr>
          <w:rFonts w:hint="eastAsia" w:ascii="楷体_GB2312" w:hAnsi="宋体" w:eastAsia="楷体_GB2312"/>
          <w:b/>
          <w:bCs/>
          <w:color w:val="auto"/>
          <w:szCs w:val="21"/>
          <w:lang w:val="en-US" w:eastAsia="zh-CN"/>
        </w:rPr>
        <w:t>3</w:t>
      </w:r>
      <w:r>
        <w:rPr>
          <w:rFonts w:ascii="楷体_GB2312" w:hAnsi="宋体" w:eastAsia="楷体_GB2312"/>
          <w:b/>
          <w:bCs/>
          <w:color w:val="auto"/>
          <w:szCs w:val="21"/>
        </w:rPr>
        <w:t>.</w:t>
      </w:r>
      <w:r>
        <w:rPr>
          <w:rFonts w:hint="eastAsia" w:ascii="楷体_GB2312" w:hAnsi="宋体" w:eastAsia="楷体_GB2312"/>
          <w:b/>
          <w:bCs/>
          <w:color w:val="auto"/>
          <w:szCs w:val="21"/>
        </w:rPr>
        <w:t>开放日：</w:t>
      </w:r>
      <w:r>
        <w:rPr>
          <w:rFonts w:hint="eastAsia" w:ascii="楷体_GB2312" w:eastAsia="楷体_GB2312"/>
          <w:b/>
          <w:bCs/>
          <w:color w:val="auto"/>
          <w:szCs w:val="21"/>
        </w:rPr>
        <w:t>指为投资者办理本</w:t>
      </w:r>
      <w:r>
        <w:rPr>
          <w:rFonts w:ascii="楷体_GB2312" w:eastAsia="楷体_GB2312"/>
          <w:b/>
          <w:bCs/>
          <w:color w:val="auto"/>
          <w:szCs w:val="21"/>
        </w:rPr>
        <w:t>理财产品</w:t>
      </w:r>
      <w:r>
        <w:rPr>
          <w:rFonts w:hint="eastAsia" w:ascii="楷体_GB2312" w:eastAsia="楷体_GB2312"/>
          <w:b/>
          <w:bCs/>
          <w:color w:val="auto"/>
          <w:szCs w:val="21"/>
        </w:rPr>
        <w:t>份额申购、赎回或其他业务的日期。</w:t>
      </w:r>
    </w:p>
    <w:p>
      <w:pPr>
        <w:spacing w:line="360" w:lineRule="auto"/>
        <w:ind w:left="105" w:leftChars="50" w:firstLine="316" w:firstLineChars="150"/>
        <w:contextualSpacing/>
        <w:rPr>
          <w:color w:val="auto"/>
        </w:rPr>
      </w:pPr>
      <w:r>
        <w:rPr>
          <w:rFonts w:ascii="楷体_GB2312" w:hAnsi="宋体" w:eastAsia="楷体_GB2312"/>
          <w:b/>
          <w:bCs/>
          <w:color w:val="auto"/>
          <w:szCs w:val="21"/>
        </w:rPr>
        <w:t>1</w:t>
      </w:r>
      <w:r>
        <w:rPr>
          <w:rFonts w:hint="eastAsia" w:ascii="楷体_GB2312" w:hAnsi="宋体" w:eastAsia="楷体_GB2312"/>
          <w:b/>
          <w:bCs/>
          <w:color w:val="auto"/>
          <w:szCs w:val="21"/>
          <w:lang w:val="en-US" w:eastAsia="zh-CN"/>
        </w:rPr>
        <w:t>4</w:t>
      </w:r>
      <w:r>
        <w:rPr>
          <w:rFonts w:ascii="楷体_GB2312" w:hAnsi="宋体" w:eastAsia="楷体_GB2312"/>
          <w:b/>
          <w:bCs/>
          <w:color w:val="auto"/>
          <w:szCs w:val="21"/>
        </w:rPr>
        <w:t>.</w:t>
      </w:r>
      <w:r>
        <w:rPr>
          <w:rFonts w:hint="eastAsia" w:ascii="楷体_GB2312" w:hAnsi="宋体" w:eastAsia="楷体_GB2312"/>
          <w:b/>
          <w:bCs/>
          <w:color w:val="auto"/>
          <w:szCs w:val="21"/>
        </w:rPr>
        <w:t>确认日：产品管理人</w:t>
      </w:r>
      <w:r>
        <w:rPr>
          <w:rFonts w:hint="eastAsia" w:ascii="楷体_GB2312" w:eastAsia="楷体_GB2312"/>
          <w:b/>
          <w:bCs/>
          <w:color w:val="auto"/>
          <w:szCs w:val="21"/>
        </w:rPr>
        <w:t>对投资者的有效申请进行确认的时间</w:t>
      </w:r>
      <w:r>
        <w:rPr>
          <w:rFonts w:hint="eastAsia" w:ascii="楷体_GB2312" w:hAnsi="宋体" w:eastAsia="楷体_GB2312"/>
          <w:b/>
          <w:bCs/>
          <w:color w:val="auto"/>
          <w:szCs w:val="21"/>
        </w:rPr>
        <w:t>。</w:t>
      </w:r>
    </w:p>
    <w:p>
      <w:pPr>
        <w:spacing w:line="360" w:lineRule="auto"/>
        <w:ind w:left="0" w:leftChars="0" w:firstLine="422" w:firstLineChars="200"/>
        <w:contextualSpacing/>
      </w:pPr>
      <w:r>
        <w:rPr>
          <w:rFonts w:ascii="楷体_GB2312" w:hAnsi="宋体" w:eastAsia="楷体_GB2312"/>
          <w:b/>
          <w:bCs/>
          <w:color w:val="auto"/>
          <w:szCs w:val="21"/>
        </w:rPr>
        <w:t>1</w:t>
      </w:r>
      <w:r>
        <w:rPr>
          <w:rFonts w:hint="eastAsia" w:ascii="楷体_GB2312" w:hAnsi="宋体" w:eastAsia="楷体_GB2312"/>
          <w:b/>
          <w:bCs/>
          <w:color w:val="auto"/>
          <w:szCs w:val="21"/>
          <w:lang w:val="en-US" w:eastAsia="zh-CN"/>
        </w:rPr>
        <w:t>5</w:t>
      </w:r>
      <w:r>
        <w:rPr>
          <w:rFonts w:ascii="楷体_GB2312" w:hAnsi="宋体" w:eastAsia="楷体_GB2312"/>
          <w:b/>
          <w:bCs/>
          <w:color w:val="auto"/>
          <w:szCs w:val="21"/>
        </w:rPr>
        <w:t>.收益分配基准日</w:t>
      </w:r>
      <w:r>
        <w:rPr>
          <w:rFonts w:hint="eastAsia" w:ascii="楷体_GB2312" w:hAnsi="宋体" w:eastAsia="楷体_GB2312"/>
          <w:b/>
          <w:bCs/>
          <w:color w:val="auto"/>
          <w:szCs w:val="21"/>
        </w:rPr>
        <w:t>：是指</w:t>
      </w:r>
      <w:r>
        <w:rPr>
          <w:rFonts w:ascii="楷体_GB2312" w:hAnsi="宋体" w:eastAsia="楷体_GB2312"/>
          <w:b/>
          <w:bCs/>
          <w:color w:val="auto"/>
          <w:szCs w:val="21"/>
        </w:rPr>
        <w:t>可供分配利润的计算截止日。</w:t>
      </w:r>
    </w:p>
    <w:p>
      <w:pPr>
        <w:spacing w:line="360" w:lineRule="auto"/>
        <w:ind w:firstLine="422" w:firstLineChars="200"/>
        <w:contextualSpacing/>
        <w:rPr>
          <w:rFonts w:ascii="楷体_GB2312" w:hAnsi="宋体" w:eastAsia="楷体"/>
          <w:b/>
          <w:bCs/>
          <w:color w:val="auto"/>
          <w:szCs w:val="21"/>
        </w:rPr>
      </w:pPr>
      <w:r>
        <w:rPr>
          <w:rFonts w:hint="eastAsia" w:ascii="楷体_GB2312" w:hAnsi="宋体" w:eastAsia="楷体_GB2312"/>
          <w:b/>
          <w:bCs/>
          <w:color w:val="auto"/>
          <w:szCs w:val="21"/>
        </w:rPr>
        <w:t>1</w:t>
      </w:r>
      <w:r>
        <w:rPr>
          <w:rFonts w:hint="eastAsia" w:ascii="楷体_GB2312" w:hAnsi="宋体" w:eastAsia="楷体_GB2312"/>
          <w:b/>
          <w:bCs/>
          <w:color w:val="auto"/>
          <w:szCs w:val="21"/>
          <w:lang w:val="en-US" w:eastAsia="zh-CN"/>
        </w:rPr>
        <w:t>6</w:t>
      </w:r>
      <w:r>
        <w:rPr>
          <w:rFonts w:hint="eastAsia" w:ascii="楷体_GB2312" w:hAnsi="宋体" w:eastAsia="楷体_GB2312"/>
          <w:b/>
          <w:bCs/>
          <w:color w:val="auto"/>
          <w:szCs w:val="21"/>
        </w:rPr>
        <w:t>.最短持有期：</w:t>
      </w:r>
      <w:r>
        <w:rPr>
          <w:rFonts w:hint="eastAsia" w:ascii="楷体" w:hAnsi="楷体" w:eastAsia="楷体"/>
          <w:b/>
          <w:bCs/>
          <w:color w:val="auto"/>
        </w:rPr>
        <w:t>即每笔理财产品份额从认</w:t>
      </w:r>
      <w:r>
        <w:rPr>
          <w:rFonts w:ascii="楷体" w:hAnsi="楷体" w:eastAsia="楷体"/>
          <w:b/>
          <w:bCs/>
          <w:color w:val="auto"/>
        </w:rPr>
        <w:t>/</w:t>
      </w:r>
      <w:r>
        <w:rPr>
          <w:rFonts w:hint="eastAsia" w:ascii="楷体" w:hAnsi="楷体" w:eastAsia="楷体"/>
          <w:b/>
          <w:bCs/>
          <w:color w:val="auto"/>
        </w:rPr>
        <w:t>申购对应</w:t>
      </w:r>
      <w:r>
        <w:rPr>
          <w:rFonts w:hint="eastAsia" w:ascii="楷体" w:hAnsi="楷体" w:eastAsia="楷体"/>
          <w:b/>
          <w:bCs/>
          <w:color w:val="auto"/>
          <w:lang w:val="en-US" w:eastAsia="zh-CN"/>
        </w:rPr>
        <w:t>的成立日/</w:t>
      </w:r>
      <w:r>
        <w:rPr>
          <w:rFonts w:hint="eastAsia" w:ascii="楷体" w:hAnsi="楷体" w:eastAsia="楷体"/>
          <w:b/>
          <w:bCs/>
          <w:color w:val="auto"/>
        </w:rPr>
        <w:t>确认日起，到可以提出赎回申请的最短时间限制。</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1</w:t>
      </w:r>
      <w:r>
        <w:rPr>
          <w:rFonts w:hint="eastAsia" w:ascii="楷体_GB2312" w:hAnsi="宋体" w:eastAsia="楷体_GB2312"/>
          <w:b/>
          <w:bCs/>
          <w:szCs w:val="21"/>
          <w:lang w:val="en-US" w:eastAsia="zh-CN"/>
        </w:rPr>
        <w:t>7</w:t>
      </w:r>
      <w:r>
        <w:rPr>
          <w:rFonts w:ascii="楷体_GB2312" w:hAnsi="宋体" w:eastAsia="楷体_GB2312"/>
          <w:b/>
          <w:bCs/>
          <w:szCs w:val="21"/>
        </w:rPr>
        <w:t>.</w:t>
      </w:r>
      <w:r>
        <w:rPr>
          <w:rFonts w:hint="eastAsia" w:ascii="楷体_GB2312" w:hAnsi="宋体" w:eastAsia="楷体_GB2312"/>
          <w:b/>
          <w:bCs/>
          <w:szCs w:val="21"/>
        </w:rPr>
        <w:t>节假日临时调整：如因国家相关主管部门临时调整节假日安排，导致产品原定开放日、估值日等日期安排发生变化的，原则上采用顺延方式对原定日期安排进行调整，如有特殊安排，</w:t>
      </w:r>
      <w:bookmarkStart w:id="2" w:name="_Hlk99533877"/>
      <w:r>
        <w:rPr>
          <w:rFonts w:hint="eastAsia" w:ascii="楷体_GB2312" w:hAnsi="宋体" w:eastAsia="楷体_GB2312"/>
          <w:b/>
          <w:bCs/>
          <w:szCs w:val="21"/>
        </w:rPr>
        <w:t>以管理人通过</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“信息披露”</w:t>
      </w:r>
      <w:r>
        <w:rPr>
          <w:rFonts w:ascii="楷体_GB2312" w:hAnsi="宋体" w:eastAsia="楷体_GB2312"/>
          <w:b/>
          <w:bCs/>
          <w:szCs w:val="21"/>
        </w:rPr>
        <w:t>约定</w:t>
      </w:r>
      <w:r>
        <w:rPr>
          <w:rFonts w:hint="eastAsia" w:ascii="楷体_GB2312" w:hAnsi="宋体" w:eastAsia="楷体_GB2312"/>
          <w:b/>
          <w:bCs/>
          <w:szCs w:val="21"/>
        </w:rPr>
        <w:t>的信息披露方式披露的调整方式为准。</w:t>
      </w:r>
    </w:p>
    <w:p>
      <w:pPr>
        <w:spacing w:line="360" w:lineRule="auto"/>
        <w:ind w:firstLine="422" w:firstLineChars="200"/>
        <w:contextualSpacing/>
        <w:rPr>
          <w:rFonts w:hint="default" w:ascii="楷体_GB2312" w:hAnsi="宋体" w:eastAsia="楷体_GB2312"/>
          <w:b/>
          <w:bCs/>
          <w:color w:val="auto"/>
          <w:szCs w:val="21"/>
        </w:rPr>
      </w:pPr>
      <w:r>
        <w:rPr>
          <w:rFonts w:hint="eastAsia" w:ascii="楷体_GB2312" w:hAnsi="宋体" w:eastAsia="楷体_GB2312"/>
          <w:b/>
          <w:bCs/>
          <w:color w:val="auto"/>
          <w:szCs w:val="21"/>
          <w:lang w:val="en-US" w:eastAsia="zh-CN"/>
        </w:rPr>
        <w:t>18.清算期：指自本理财产品终止日至投资者理财利益到账日之间的期间。</w:t>
      </w:r>
    </w:p>
    <w:bookmarkEnd w:id="2"/>
    <w:p>
      <w:pPr>
        <w:pStyle w:val="3"/>
        <w:spacing w:before="0" w:after="0" w:line="360" w:lineRule="auto"/>
        <w:ind w:firstLine="422" w:firstLineChars="200"/>
        <w:rPr>
          <w:rFonts w:ascii="楷体" w:hAnsi="楷体" w:eastAsia="楷体"/>
          <w:sz w:val="21"/>
        </w:rPr>
      </w:pPr>
      <w:r>
        <w:rPr>
          <w:rFonts w:hint="eastAsia" w:ascii="楷体" w:hAnsi="楷体" w:eastAsia="楷体"/>
          <w:sz w:val="21"/>
        </w:rPr>
        <w:t>（六）相关事件用语</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不可抗力：指理财产品各方不能预见、不能避免且不能克服的客观情况，该事件妨碍、影响或延误任何一方依相关理财</w:t>
      </w:r>
      <w:r>
        <w:rPr>
          <w:rFonts w:hint="eastAsia" w:ascii="楷体_GB2312" w:hAnsi="宋体" w:eastAsia="楷体_GB2312"/>
          <w:b/>
          <w:bCs/>
          <w:szCs w:val="21"/>
          <w:lang w:eastAsia="zh-CN"/>
        </w:rPr>
        <w:t>产品销售文件</w:t>
      </w:r>
      <w:r>
        <w:rPr>
          <w:rFonts w:hint="eastAsia" w:ascii="楷体_GB2312" w:hAnsi="宋体" w:eastAsia="楷体_GB2312"/>
          <w:b/>
          <w:bCs/>
          <w:szCs w:val="21"/>
        </w:rPr>
        <w:t>履行其全部或部分义务。该事件包括但不限于：</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a</w:t>
      </w:r>
      <w:r>
        <w:rPr>
          <w:rFonts w:hint="eastAsia" w:ascii="楷体_GB2312" w:hAnsi="宋体" w:eastAsia="楷体_GB2312"/>
          <w:b/>
          <w:bCs/>
          <w:szCs w:val="21"/>
        </w:rPr>
        <w:t>.地震、台风、海啸、洪水、火灾、停电、瘟疫；</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b.战争、政变、恐怖主义行动、骚乱、罢工；</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c.</w:t>
      </w:r>
      <w:r>
        <w:rPr>
          <w:rFonts w:hint="eastAsia" w:ascii="楷体_GB2312" w:hAnsi="宋体" w:eastAsia="楷体_GB2312"/>
          <w:b/>
          <w:bCs/>
          <w:szCs w:val="21"/>
          <w:lang w:val="en-US" w:eastAsia="zh-CN"/>
        </w:rPr>
        <w:t>新的</w:t>
      </w:r>
      <w:r>
        <w:rPr>
          <w:rFonts w:hint="eastAsia" w:ascii="楷体_GB2312" w:hAnsi="宋体" w:eastAsia="楷体_GB2312"/>
          <w:b/>
          <w:bCs/>
          <w:szCs w:val="21"/>
        </w:rPr>
        <w:t>适用法律或国家政策的颁布或实施、对原适用法律或国家政策的新修改；</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d.金融管理部门强制要求终止理财产品（该等要求不可归咎于任何一方）；</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e.因理财产品各方和/或其关联方运营网络系统遭受黑客攻击、电信部门技术调整或故障等原因而造成的理财产品各方和/或其关联方之服务、营业的中断或者延迟。</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（七）其他</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lang w:val="en-US" w:eastAsia="zh-CN"/>
        </w:rPr>
        <w:t>1.</w:t>
      </w:r>
      <w:r>
        <w:rPr>
          <w:rFonts w:hint="eastAsia" w:ascii="楷体_GB2312" w:hAnsi="宋体" w:eastAsia="楷体_GB2312"/>
          <w:b/>
          <w:bCs/>
          <w:szCs w:val="21"/>
        </w:rPr>
        <w:t>适用法律：指在理财</w:t>
      </w:r>
      <w:r>
        <w:rPr>
          <w:rFonts w:hint="eastAsia" w:ascii="楷体_GB2312" w:hAnsi="宋体" w:eastAsia="楷体_GB2312"/>
          <w:b/>
          <w:bCs/>
          <w:szCs w:val="21"/>
          <w:lang w:eastAsia="zh-CN"/>
        </w:rPr>
        <w:t>产品销售文件</w:t>
      </w:r>
      <w:r>
        <w:rPr>
          <w:rFonts w:hint="eastAsia" w:ascii="楷体_GB2312" w:hAnsi="宋体" w:eastAsia="楷体_GB2312"/>
          <w:b/>
          <w:bCs/>
          <w:szCs w:val="21"/>
        </w:rPr>
        <w:t>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2"/>
        <w:spacing w:before="120" w:after="120" w:line="240" w:lineRule="auto"/>
        <w:rPr>
          <w:rFonts w:ascii="楷体" w:hAnsi="楷体" w:eastAsia="楷体"/>
          <w:sz w:val="28"/>
          <w:szCs w:val="28"/>
        </w:rPr>
      </w:pPr>
      <w:r>
        <w:rPr>
          <w:rFonts w:hint="eastAsia" w:ascii="楷体" w:hAnsi="楷体" w:eastAsia="楷体"/>
          <w:sz w:val="28"/>
          <w:szCs w:val="28"/>
        </w:rPr>
        <w:t>三</w:t>
      </w:r>
      <w:r>
        <w:rPr>
          <w:rFonts w:ascii="楷体" w:hAnsi="楷体" w:eastAsia="楷体"/>
          <w:sz w:val="28"/>
          <w:szCs w:val="28"/>
        </w:rPr>
        <w:t>、</w:t>
      </w:r>
      <w:r>
        <w:rPr>
          <w:rFonts w:hint="eastAsia" w:ascii="楷体" w:hAnsi="楷体" w:eastAsia="楷体"/>
          <w:sz w:val="28"/>
          <w:szCs w:val="28"/>
        </w:rPr>
        <w:t>产品概述</w:t>
      </w:r>
    </w:p>
    <w:tbl>
      <w:tblPr>
        <w:tblStyle w:val="14"/>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376"/>
        <w:gridCol w:w="614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ascii="楷体" w:hAnsi="楷体" w:eastAsia="楷体" w:cs="Times New Roman"/>
                <w:b/>
                <w:bCs/>
              </w:rPr>
            </w:pPr>
            <w:r>
              <w:rPr>
                <w:rFonts w:hint="eastAsia" w:ascii="楷体" w:hAnsi="楷体" w:eastAsia="楷体" w:cs="Times New Roman"/>
                <w:b/>
                <w:bCs/>
                <w:lang w:val="en-US" w:eastAsia="zh-CN"/>
              </w:rPr>
              <w:t>理财</w:t>
            </w:r>
            <w:r>
              <w:rPr>
                <w:rFonts w:hint="eastAsia" w:ascii="楷体" w:hAnsi="楷体" w:eastAsia="楷体" w:cs="Times New Roman"/>
                <w:b/>
                <w:bCs/>
              </w:rPr>
              <w:t>产品名称</w:t>
            </w:r>
          </w:p>
        </w:tc>
        <w:tc>
          <w:tcPr>
            <w:tcW w:w="6146" w:type="dxa"/>
          </w:tcPr>
          <w:p>
            <w:pPr>
              <w:rPr>
                <w:rFonts w:ascii="楷体" w:hAnsi="楷体" w:eastAsia="楷体"/>
                <w:b/>
                <w:bCs/>
              </w:rPr>
            </w:pPr>
            <w:r>
              <w:rPr>
                <w:rFonts w:hint="eastAsia" w:ascii="楷体" w:hAnsi="楷体" w:eastAsia="楷体"/>
                <w:b/>
                <w:bCs/>
              </w:rPr>
              <w:t>上银理财</w:t>
            </w:r>
            <w:r>
              <w:rPr>
                <w:rFonts w:hint="eastAsia" w:ascii="楷体" w:hAnsi="楷体" w:eastAsia="楷体"/>
                <w:b/>
                <w:bCs/>
                <w:lang w:eastAsia="zh-CN"/>
              </w:rPr>
              <w:t>【</w:t>
            </w:r>
            <w:r>
              <w:rPr>
                <w:rFonts w:hint="eastAsia" w:ascii="楷体" w:hAnsi="楷体" w:eastAsia="楷体"/>
                <w:b/>
                <w:bCs/>
                <w:color w:val="auto"/>
                <w:lang w:val="en-US" w:eastAsia="zh-CN"/>
              </w:rPr>
              <w:t>“易享利”系列开放式（3个月持有期）理财产品WPEK24M0305期</w:t>
            </w:r>
            <w:r>
              <w:rPr>
                <w:rFonts w:hint="eastAsia" w:ascii="楷体" w:hAnsi="楷体" w:eastAsia="楷体"/>
                <w:b/>
                <w:bCs/>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376" w:type="dxa"/>
            <w:vAlign w:val="center"/>
          </w:tcPr>
          <w:p>
            <w:pPr>
              <w:rPr>
                <w:rFonts w:hint="eastAsia" w:ascii="楷体" w:hAnsi="楷体" w:eastAsia="楷体" w:cs="Times New Roman"/>
                <w:b/>
                <w:bCs/>
                <w:lang w:val="en-US" w:eastAsia="zh-CN"/>
              </w:rPr>
            </w:pPr>
            <w:r>
              <w:rPr>
                <w:rFonts w:hint="eastAsia" w:ascii="楷体" w:hAnsi="楷体" w:eastAsia="楷体" w:cs="Times New Roman"/>
                <w:b/>
                <w:bCs/>
              </w:rPr>
              <w:t>产品</w:t>
            </w:r>
            <w:r>
              <w:rPr>
                <w:rFonts w:hint="eastAsia" w:ascii="楷体" w:hAnsi="楷体" w:eastAsia="楷体" w:cs="Times New Roman"/>
                <w:b/>
                <w:bCs/>
                <w:lang w:val="en-US" w:eastAsia="zh-CN"/>
              </w:rPr>
              <w:t>销售名称</w:t>
            </w:r>
          </w:p>
        </w:tc>
        <w:tc>
          <w:tcPr>
            <w:tcW w:w="6146" w:type="dxa"/>
            <w:vAlign w:val="top"/>
          </w:tcPr>
          <w:p>
            <w:pPr>
              <w:rPr>
                <w:rFonts w:hint="eastAsia" w:ascii="楷体" w:hAnsi="楷体" w:eastAsia="楷体"/>
                <w:b/>
                <w:bCs/>
                <w:color w:val="auto"/>
                <w:lang w:val="en-US" w:eastAsia="zh-CN"/>
              </w:rPr>
            </w:pPr>
            <w:r>
              <w:rPr>
                <w:rFonts w:hint="eastAsia" w:ascii="楷体" w:hAnsi="楷体" w:eastAsia="楷体"/>
                <w:b/>
                <w:bCs/>
                <w:color w:val="auto"/>
                <w:lang w:eastAsia="zh-CN"/>
              </w:rPr>
              <w:t>【</w:t>
            </w:r>
            <w:r>
              <w:rPr>
                <w:rFonts w:hint="eastAsia" w:ascii="楷体" w:hAnsi="楷体" w:eastAsia="楷体"/>
                <w:b/>
                <w:bCs/>
                <w:color w:val="auto"/>
                <w:lang w:val="en-US" w:eastAsia="zh-CN"/>
              </w:rPr>
              <w:t>上银理财</w:t>
            </w:r>
            <w:r>
              <w:rPr>
                <w:rFonts w:hint="eastAsia" w:ascii="楷体" w:hAnsi="楷体" w:eastAsia="楷体"/>
                <w:b/>
                <w:bCs/>
                <w:color w:val="auto"/>
                <w:lang w:eastAsia="zh-CN"/>
              </w:rPr>
              <w:t>易享利</w:t>
            </w:r>
            <w:r>
              <w:rPr>
                <w:rFonts w:hint="eastAsia" w:ascii="楷体" w:hAnsi="楷体" w:eastAsia="楷体"/>
                <w:b/>
                <w:bCs/>
                <w:color w:val="auto"/>
                <w:lang w:val="en-US" w:eastAsia="zh-CN"/>
              </w:rPr>
              <w:t>-90天持有期5号Q】，</w:t>
            </w:r>
          </w:p>
          <w:p>
            <w:pPr>
              <w:rPr>
                <w:rFonts w:hint="eastAsia" w:ascii="楷体" w:hAnsi="楷体" w:eastAsia="楷体"/>
                <w:b/>
                <w:bCs/>
                <w:lang w:val="en-US" w:eastAsia="zh-CN"/>
              </w:rPr>
            </w:pPr>
            <w:r>
              <w:rPr>
                <w:rFonts w:hint="eastAsia" w:ascii="楷体" w:hAnsi="楷体" w:eastAsia="楷体"/>
                <w:b/>
                <w:bCs/>
                <w:color w:val="auto"/>
                <w:lang w:val="en-US" w:eastAsia="zh-CN"/>
              </w:rPr>
              <w:t>适用于【Q】类份额</w:t>
            </w:r>
            <w:r>
              <w:rPr>
                <w:rFonts w:hint="eastAsia" w:ascii="楷体" w:hAnsi="楷体" w:eastAsia="楷体"/>
                <w:b/>
                <w:bCs/>
                <w:lang w:val="en-US"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ascii="楷体" w:hAnsi="楷体" w:eastAsia="楷体"/>
                <w:b/>
                <w:bCs/>
              </w:rPr>
            </w:pPr>
            <w:r>
              <w:rPr>
                <w:rFonts w:ascii="楷体" w:hAnsi="楷体" w:eastAsia="楷体"/>
                <w:b/>
                <w:bCs/>
              </w:rPr>
              <w:t>产品</w:t>
            </w:r>
            <w:r>
              <w:rPr>
                <w:rFonts w:hint="eastAsia" w:ascii="楷体" w:hAnsi="楷体" w:eastAsia="楷体"/>
                <w:b/>
                <w:bCs/>
                <w:lang w:val="en-US" w:eastAsia="zh-CN"/>
              </w:rPr>
              <w:t>登记</w:t>
            </w:r>
            <w:r>
              <w:rPr>
                <w:rFonts w:ascii="楷体" w:hAnsi="楷体" w:eastAsia="楷体"/>
                <w:b/>
                <w:bCs/>
              </w:rPr>
              <w:t>编码</w:t>
            </w:r>
          </w:p>
        </w:tc>
        <w:tc>
          <w:tcPr>
            <w:tcW w:w="6146" w:type="dxa"/>
            <w:vAlign w:val="center"/>
          </w:tcPr>
          <w:p>
            <w:pPr>
              <w:rPr>
                <w:rFonts w:hint="eastAsia" w:ascii="楷体" w:hAnsi="楷体" w:eastAsia="楷体"/>
                <w:b/>
                <w:bCs/>
                <w:color w:val="auto"/>
                <w:lang w:val="en-US" w:eastAsia="zh-CN"/>
              </w:rPr>
            </w:pPr>
            <w:r>
              <w:rPr>
                <w:rFonts w:hint="eastAsia" w:ascii="楷体" w:hAnsi="楷体" w:eastAsia="楷体"/>
                <w:b/>
                <w:bCs/>
                <w:color w:val="auto"/>
                <w:lang w:eastAsia="zh-CN"/>
              </w:rPr>
              <w:t>【</w:t>
            </w:r>
            <w:r>
              <w:rPr>
                <w:rFonts w:hint="eastAsia" w:ascii="楷体" w:hAnsi="楷体" w:eastAsia="楷体"/>
                <w:b/>
                <w:bCs/>
                <w:color w:val="auto"/>
                <w:highlight w:val="none"/>
                <w:lang w:eastAsia="zh-CN"/>
              </w:rPr>
              <w:t>Z7007124000082</w:t>
            </w:r>
            <w:r>
              <w:rPr>
                <w:rFonts w:hint="eastAsia" w:ascii="楷体" w:hAnsi="楷体" w:eastAsia="楷体"/>
                <w:b/>
                <w:bCs/>
                <w:color w:val="auto"/>
                <w:lang w:val="en-US" w:eastAsia="zh-CN"/>
              </w:rPr>
              <w:t>】</w:t>
            </w:r>
          </w:p>
          <w:p>
            <w:pPr>
              <w:rPr>
                <w:rFonts w:ascii="楷体" w:hAnsi="楷体" w:eastAsia="楷体"/>
                <w:b/>
                <w:bCs/>
                <w:color w:val="auto"/>
              </w:rPr>
            </w:pPr>
            <w:r>
              <w:rPr>
                <w:rFonts w:hint="eastAsia" w:ascii="楷体" w:hAnsi="楷体" w:eastAsia="楷体"/>
                <w:b/>
                <w:bCs/>
                <w:color w:val="auto"/>
                <w:szCs w:val="22"/>
                <w:lang w:val="en-US" w:eastAsia="zh-CN" w:bidi="ar"/>
              </w:rPr>
              <w:t>本理财产品在全国银行业理财信息登记系统对理财产品进行信息登记后，由全国银行业理财信息登记系统发放的唯一性的理财产品编码。投资者可依据登记编码在中国理财网（</w:t>
            </w:r>
            <w:r>
              <w:rPr>
                <w:rFonts w:ascii="楷体" w:hAnsi="楷体" w:eastAsia="楷体"/>
                <w:b/>
                <w:bCs/>
                <w:color w:val="auto"/>
              </w:rPr>
              <w:t>www.chinawealth.com.cn</w:t>
            </w:r>
            <w:r>
              <w:rPr>
                <w:rFonts w:hint="eastAsia" w:ascii="楷体" w:hAnsi="楷体" w:eastAsia="楷体"/>
                <w:b/>
                <w:bCs/>
                <w:color w:val="auto"/>
                <w:szCs w:val="22"/>
                <w:lang w:val="en-US" w:eastAsia="zh-CN" w:bidi="ar"/>
              </w:rPr>
              <w:t>）查询产品信息。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cs="Times New Roman"/>
                <w:b/>
                <w:bCs/>
                <w:lang w:val="en-US" w:eastAsia="zh-CN"/>
              </w:rPr>
              <w:t>产品代码</w:t>
            </w:r>
          </w:p>
        </w:tc>
        <w:tc>
          <w:tcPr>
            <w:tcW w:w="6146" w:type="dxa"/>
            <w:vAlign w:val="top"/>
          </w:tcPr>
          <w:p>
            <w:pPr>
              <w:rPr>
                <w:rFonts w:hint="eastAsia" w:ascii="楷体" w:hAnsi="楷体" w:eastAsia="楷体"/>
                <w:b/>
                <w:bCs/>
                <w:color w:val="auto"/>
              </w:rPr>
            </w:pPr>
            <w:r>
              <w:rPr>
                <w:rFonts w:hint="eastAsia" w:ascii="楷体" w:hAnsi="楷体" w:eastAsia="楷体"/>
                <w:b/>
                <w:bCs/>
                <w:color w:val="auto"/>
                <w:lang w:eastAsia="zh-CN"/>
              </w:rPr>
              <w:t>【WPEK24M0305</w:t>
            </w:r>
            <w:r>
              <w:rPr>
                <w:rFonts w:hint="eastAsia" w:ascii="楷体" w:hAnsi="楷体" w:eastAsia="楷体"/>
                <w:b/>
                <w:bCs/>
                <w:color w:val="auto"/>
                <w:lang w:val="en-US"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376" w:type="dxa"/>
            <w:vAlign w:val="center"/>
          </w:tcPr>
          <w:p>
            <w:pPr>
              <w:rPr>
                <w:rFonts w:hint="eastAsia" w:ascii="楷体" w:hAnsi="楷体" w:eastAsia="楷体"/>
                <w:b/>
                <w:bCs/>
              </w:rPr>
            </w:pPr>
            <w:r>
              <w:rPr>
                <w:rFonts w:hint="eastAsia" w:ascii="楷体" w:hAnsi="楷体" w:eastAsia="楷体" w:cs="Times New Roman"/>
                <w:b/>
                <w:bCs/>
                <w:lang w:val="en-US" w:eastAsia="zh-CN"/>
              </w:rPr>
              <w:t>销售</w:t>
            </w:r>
            <w:r>
              <w:rPr>
                <w:rFonts w:hint="eastAsia" w:ascii="楷体" w:hAnsi="楷体" w:eastAsia="楷体" w:cs="Times New Roman"/>
                <w:b/>
                <w:bCs/>
              </w:rPr>
              <w:t>代码</w:t>
            </w:r>
          </w:p>
        </w:tc>
        <w:tc>
          <w:tcPr>
            <w:tcW w:w="6146" w:type="dxa"/>
            <w:vAlign w:val="top"/>
          </w:tcPr>
          <w:p>
            <w:pPr>
              <w:rPr>
                <w:rFonts w:hint="eastAsia" w:ascii="楷体" w:hAnsi="楷体" w:eastAsia="楷体"/>
                <w:b/>
                <w:bCs/>
                <w:color w:val="auto"/>
                <w:lang w:val="en-US" w:eastAsia="zh-CN"/>
              </w:rPr>
            </w:pPr>
            <w:r>
              <w:rPr>
                <w:rFonts w:hint="eastAsia" w:ascii="楷体" w:hAnsi="楷体" w:eastAsia="楷体"/>
                <w:b/>
                <w:bCs/>
                <w:color w:val="auto"/>
                <w:lang w:val="en-US" w:eastAsia="zh-CN"/>
              </w:rPr>
              <w:t>【Q】类份额，【</w:t>
            </w:r>
            <w:r>
              <w:rPr>
                <w:rFonts w:hint="eastAsia" w:ascii="楷体" w:hAnsi="楷体" w:eastAsia="楷体"/>
                <w:b/>
                <w:bCs/>
                <w:color w:val="auto"/>
                <w:lang w:eastAsia="zh-CN"/>
              </w:rPr>
              <w:t>WPEK24M0305</w:t>
            </w:r>
            <w:r>
              <w:rPr>
                <w:rFonts w:hint="eastAsia" w:ascii="楷体" w:hAnsi="楷体" w:eastAsia="楷体"/>
                <w:b/>
                <w:bCs/>
                <w:color w:val="auto"/>
                <w:lang w:val="en-US" w:eastAsia="zh-CN"/>
              </w:rPr>
              <w:t>Q】</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imes New Roman"/>
                <w:b/>
                <w:bCs/>
              </w:rPr>
            </w:pPr>
            <w:r>
              <w:rPr>
                <w:rFonts w:hint="eastAsia" w:ascii="楷体" w:hAnsi="楷体" w:eastAsia="楷体"/>
                <w:b/>
                <w:bCs/>
                <w:lang w:val="en-US" w:eastAsia="zh-CN"/>
              </w:rPr>
              <w:t>产品份额类别</w:t>
            </w:r>
          </w:p>
        </w:tc>
        <w:tc>
          <w:tcPr>
            <w:tcW w:w="6146" w:type="dxa"/>
            <w:vAlign w:val="top"/>
          </w:tcPr>
          <w:p>
            <w:pPr>
              <w:keepNext w:val="0"/>
              <w:keepLines w:val="0"/>
              <w:widowControl/>
              <w:numPr>
                <w:ilvl w:val="0"/>
                <w:numId w:val="1"/>
              </w:numPr>
              <w:suppressLineNumbers w:val="0"/>
              <w:jc w:val="left"/>
              <w:rPr>
                <w:rFonts w:hint="eastAsia" w:ascii="楷体" w:hAnsi="楷体" w:eastAsia="楷体" w:cstheme="minorBidi"/>
                <w:b/>
                <w:bCs/>
                <w:kern w:val="2"/>
                <w:sz w:val="21"/>
                <w:szCs w:val="22"/>
                <w:lang w:val="en-US" w:eastAsia="zh-CN" w:bidi="ar"/>
              </w:rPr>
            </w:pPr>
            <w:r>
              <w:rPr>
                <w:rFonts w:hint="eastAsia" w:ascii="楷体" w:hAnsi="楷体" w:eastAsia="楷体" w:cstheme="minorBidi"/>
                <w:b/>
                <w:bCs/>
                <w:color w:val="auto"/>
                <w:kern w:val="2"/>
                <w:sz w:val="21"/>
                <w:szCs w:val="22"/>
                <w:lang w:val="en-US" w:eastAsia="zh-CN" w:bidi="ar"/>
              </w:rPr>
              <w:t>本产品根据投资者购买理财产品的金额、投资者类型、</w:t>
            </w:r>
            <w:r>
              <w:rPr>
                <w:rFonts w:hint="eastAsia" w:ascii="楷体" w:hAnsi="楷体" w:eastAsia="楷体" w:cstheme="minorBidi"/>
                <w:b/>
                <w:bCs/>
                <w:kern w:val="2"/>
                <w:sz w:val="21"/>
                <w:szCs w:val="22"/>
                <w:lang w:val="en-US" w:eastAsia="zh-CN" w:bidi="ar"/>
              </w:rPr>
              <w:t>销售渠道</w:t>
            </w:r>
            <w:r>
              <w:rPr>
                <w:rFonts w:hint="eastAsia" w:ascii="楷体" w:hAnsi="楷体" w:eastAsia="楷体" w:cstheme="minorBidi"/>
                <w:b/>
                <w:bCs/>
                <w:color w:val="auto"/>
                <w:kern w:val="2"/>
                <w:sz w:val="21"/>
                <w:szCs w:val="22"/>
                <w:lang w:val="en-US" w:eastAsia="zh-CN" w:bidi="ar"/>
              </w:rPr>
              <w:t xml:space="preserve">等因素，对投资者所持有的理财产品份额设置不同的理财产品份额类别。 </w:t>
            </w:r>
          </w:p>
          <w:p>
            <w:pPr>
              <w:keepNext w:val="0"/>
              <w:keepLines w:val="0"/>
              <w:widowControl/>
              <w:suppressLineNumbers w:val="0"/>
              <w:jc w:val="left"/>
              <w:rPr>
                <w:rFonts w:hint="eastAsia" w:ascii="楷体" w:hAnsi="楷体" w:eastAsia="楷体"/>
                <w:b/>
                <w:bCs/>
              </w:rPr>
            </w:pPr>
            <w:r>
              <w:rPr>
                <w:rFonts w:hint="eastAsia" w:ascii="楷体" w:hAnsi="楷体" w:eastAsia="楷体" w:cstheme="minorBidi"/>
                <w:b/>
                <w:bCs/>
                <w:kern w:val="2"/>
                <w:sz w:val="21"/>
                <w:szCs w:val="22"/>
                <w:lang w:val="en-US" w:eastAsia="zh-CN" w:bidi="ar"/>
              </w:rPr>
              <w:t>2、</w:t>
            </w:r>
            <w:r>
              <w:rPr>
                <w:rFonts w:hint="eastAsia" w:ascii="楷体" w:hAnsi="楷体" w:eastAsia="楷体" w:cstheme="minorBidi"/>
                <w:b/>
                <w:bCs/>
                <w:color w:val="auto"/>
                <w:kern w:val="2"/>
                <w:sz w:val="21"/>
                <w:szCs w:val="22"/>
                <w:lang w:val="en-US" w:eastAsia="zh-CN" w:bidi="ar"/>
              </w:rPr>
              <w:t>本产品设置不同的理财产品份额，每类理财产品份额</w:t>
            </w:r>
            <w:r>
              <w:rPr>
                <w:rFonts w:hint="eastAsia" w:ascii="楷体" w:hAnsi="楷体" w:eastAsia="楷体" w:cstheme="minorBidi"/>
                <w:b/>
                <w:bCs/>
                <w:kern w:val="2"/>
                <w:sz w:val="21"/>
                <w:szCs w:val="22"/>
                <w:lang w:val="en-US" w:eastAsia="zh-CN" w:bidi="ar"/>
              </w:rPr>
              <w:t>以下内容将可能</w:t>
            </w:r>
            <w:r>
              <w:rPr>
                <w:rFonts w:hint="eastAsia" w:ascii="楷体" w:hAnsi="楷体" w:eastAsia="楷体" w:cstheme="minorBidi"/>
                <w:b/>
                <w:bCs/>
                <w:color w:val="auto"/>
                <w:kern w:val="2"/>
                <w:sz w:val="21"/>
                <w:szCs w:val="22"/>
                <w:lang w:val="en-US" w:eastAsia="zh-CN" w:bidi="ar"/>
              </w:rPr>
              <w:t xml:space="preserve">单独设置： </w:t>
            </w:r>
          </w:p>
          <w:p>
            <w:pPr>
              <w:keepNext w:val="0"/>
              <w:keepLines w:val="0"/>
              <w:widowControl/>
              <w:suppressLineNumbers w:val="0"/>
              <w:jc w:val="left"/>
              <w:rPr>
                <w:rFonts w:hint="eastAsia" w:ascii="楷体" w:hAnsi="楷体" w:eastAsia="楷体"/>
                <w:b/>
                <w:bCs/>
                <w:color w:val="auto"/>
                <w:lang w:bidi="ar"/>
              </w:rPr>
            </w:pPr>
            <w:r>
              <w:rPr>
                <w:rFonts w:hint="eastAsia" w:ascii="楷体" w:hAnsi="楷体" w:eastAsia="楷体" w:cstheme="minorBidi"/>
                <w:b/>
                <w:bCs/>
                <w:color w:val="auto"/>
                <w:kern w:val="2"/>
                <w:sz w:val="21"/>
                <w:szCs w:val="22"/>
                <w:lang w:val="en-US" w:eastAsia="zh-CN" w:bidi="ar"/>
              </w:rPr>
              <w:t xml:space="preserve">（1）产品销售名称 </w:t>
            </w:r>
          </w:p>
          <w:p>
            <w:pPr>
              <w:keepNext w:val="0"/>
              <w:keepLines w:val="0"/>
              <w:widowControl/>
              <w:suppressLineNumbers w:val="0"/>
              <w:jc w:val="left"/>
              <w:rPr>
                <w:rFonts w:hint="eastAsia" w:ascii="楷体" w:hAnsi="楷体" w:eastAsia="楷体" w:cstheme="minorBidi"/>
                <w:b/>
                <w:bCs/>
                <w:color w:val="auto"/>
                <w:kern w:val="2"/>
                <w:sz w:val="21"/>
                <w:szCs w:val="22"/>
                <w:lang w:val="en-US" w:eastAsia="zh-CN" w:bidi="ar"/>
              </w:rPr>
            </w:pPr>
            <w:r>
              <w:rPr>
                <w:rFonts w:hint="eastAsia" w:ascii="楷体" w:hAnsi="楷体" w:eastAsia="楷体" w:cstheme="minorBidi"/>
                <w:b/>
                <w:bCs/>
                <w:color w:val="auto"/>
                <w:kern w:val="2"/>
                <w:sz w:val="21"/>
                <w:szCs w:val="22"/>
                <w:lang w:val="en-US" w:eastAsia="zh-CN" w:bidi="ar"/>
              </w:rPr>
              <w:t>（2）销售代码</w:t>
            </w:r>
          </w:p>
          <w:p>
            <w:pPr>
              <w:keepNext w:val="0"/>
              <w:keepLines w:val="0"/>
              <w:widowControl/>
              <w:suppressLineNumbers w:val="0"/>
              <w:jc w:val="left"/>
              <w:rPr>
                <w:rFonts w:hint="eastAsia" w:ascii="楷体" w:hAnsi="楷体" w:eastAsia="楷体" w:cstheme="minorBidi"/>
                <w:b/>
                <w:bCs/>
                <w:color w:val="auto"/>
                <w:kern w:val="2"/>
                <w:sz w:val="21"/>
                <w:szCs w:val="22"/>
                <w:lang w:val="en-US" w:eastAsia="zh-CN" w:bidi="ar"/>
              </w:rPr>
            </w:pPr>
            <w:r>
              <w:rPr>
                <w:rFonts w:hint="eastAsia" w:ascii="楷体" w:hAnsi="楷体" w:eastAsia="楷体" w:cstheme="minorBidi"/>
                <w:b/>
                <w:bCs/>
                <w:color w:val="auto"/>
                <w:kern w:val="2"/>
                <w:sz w:val="21"/>
                <w:szCs w:val="22"/>
                <w:lang w:val="en-US" w:eastAsia="zh-CN" w:bidi="ar"/>
              </w:rPr>
              <w:t>（3）销售机构</w:t>
            </w:r>
          </w:p>
          <w:p>
            <w:pPr>
              <w:keepNext w:val="0"/>
              <w:keepLines w:val="0"/>
              <w:widowControl/>
              <w:suppressLineNumbers w:val="0"/>
              <w:jc w:val="left"/>
              <w:rPr>
                <w:color w:val="auto"/>
                <w:highlight w:val="none"/>
              </w:rPr>
            </w:pPr>
            <w:r>
              <w:rPr>
                <w:rFonts w:hint="eastAsia" w:ascii="楷体" w:hAnsi="楷体" w:eastAsia="楷体" w:cstheme="minorBidi"/>
                <w:b/>
                <w:bCs/>
                <w:color w:val="auto"/>
                <w:kern w:val="2"/>
                <w:sz w:val="21"/>
                <w:szCs w:val="22"/>
                <w:highlight w:val="none"/>
                <w:lang w:val="en-US" w:eastAsia="zh-CN" w:bidi="ar"/>
              </w:rPr>
              <w:t>（4）发售对象</w:t>
            </w:r>
          </w:p>
          <w:p>
            <w:pPr>
              <w:keepNext w:val="0"/>
              <w:keepLines w:val="0"/>
              <w:widowControl/>
              <w:suppressLineNumbers w:val="0"/>
              <w:jc w:val="left"/>
              <w:rPr>
                <w:rFonts w:hint="eastAsia"/>
                <w:color w:val="auto"/>
                <w:highlight w:val="none"/>
                <w:lang w:val="en-US" w:eastAsia="zh-CN"/>
              </w:rPr>
            </w:pPr>
            <w:r>
              <w:rPr>
                <w:rFonts w:hint="eastAsia" w:ascii="楷体" w:hAnsi="楷体" w:eastAsia="楷体" w:cstheme="minorBidi"/>
                <w:b/>
                <w:bCs/>
                <w:color w:val="auto"/>
                <w:kern w:val="2"/>
                <w:sz w:val="21"/>
                <w:szCs w:val="22"/>
                <w:highlight w:val="none"/>
                <w:lang w:val="en-US" w:eastAsia="zh-CN" w:bidi="ar"/>
              </w:rPr>
              <w:t>（5）费率设置</w:t>
            </w:r>
          </w:p>
          <w:p>
            <w:pPr>
              <w:keepNext w:val="0"/>
              <w:keepLines w:val="0"/>
              <w:widowControl/>
              <w:suppressLineNumbers w:val="0"/>
              <w:jc w:val="left"/>
              <w:rPr>
                <w:rFonts w:hint="eastAsia" w:ascii="楷体" w:hAnsi="楷体" w:eastAsia="楷体" w:cstheme="minorBidi"/>
                <w:b/>
                <w:bCs/>
                <w:color w:val="auto"/>
                <w:kern w:val="2"/>
                <w:sz w:val="21"/>
                <w:szCs w:val="22"/>
                <w:highlight w:val="none"/>
                <w:lang w:val="en-US" w:eastAsia="zh-CN" w:bidi="ar"/>
              </w:rPr>
            </w:pPr>
            <w:r>
              <w:rPr>
                <w:rFonts w:hint="eastAsia" w:ascii="楷体" w:hAnsi="楷体" w:eastAsia="楷体" w:cstheme="minorBidi"/>
                <w:b/>
                <w:bCs/>
                <w:color w:val="auto"/>
                <w:kern w:val="2"/>
                <w:sz w:val="21"/>
                <w:szCs w:val="22"/>
                <w:highlight w:val="none"/>
                <w:lang w:val="en-US" w:eastAsia="zh-CN" w:bidi="ar"/>
              </w:rPr>
              <w:t xml:space="preserve">（6）收费方式 </w:t>
            </w:r>
          </w:p>
          <w:p>
            <w:pPr>
              <w:keepNext w:val="0"/>
              <w:keepLines w:val="0"/>
              <w:widowControl/>
              <w:suppressLineNumbers w:val="0"/>
              <w:jc w:val="left"/>
              <w:rPr>
                <w:rFonts w:hint="default" w:ascii="楷体" w:hAnsi="楷体" w:eastAsia="楷体"/>
                <w:b/>
                <w:bCs/>
                <w:color w:val="auto"/>
                <w:highlight w:val="none"/>
                <w:lang w:bidi="ar"/>
              </w:rPr>
            </w:pPr>
            <w:r>
              <w:rPr>
                <w:rFonts w:hint="eastAsia" w:ascii="楷体" w:hAnsi="楷体" w:eastAsia="楷体" w:cstheme="minorBidi"/>
                <w:b/>
                <w:bCs/>
                <w:color w:val="auto"/>
                <w:kern w:val="2"/>
                <w:sz w:val="21"/>
                <w:szCs w:val="22"/>
                <w:highlight w:val="none"/>
                <w:lang w:val="en-US" w:eastAsia="zh-CN" w:bidi="ar"/>
              </w:rPr>
              <w:t>（7）业绩比较基准</w:t>
            </w:r>
          </w:p>
          <w:p>
            <w:pPr>
              <w:keepNext w:val="0"/>
              <w:keepLines w:val="0"/>
              <w:widowControl/>
              <w:suppressLineNumbers w:val="0"/>
              <w:jc w:val="left"/>
              <w:rPr>
                <w:rFonts w:hint="eastAsia" w:ascii="楷体" w:hAnsi="楷体" w:eastAsia="楷体"/>
                <w:b/>
                <w:bCs/>
                <w:color w:val="auto"/>
                <w:highlight w:val="none"/>
                <w:lang w:bidi="ar"/>
              </w:rPr>
            </w:pPr>
            <w:r>
              <w:rPr>
                <w:rFonts w:hint="eastAsia" w:ascii="楷体" w:hAnsi="楷体" w:eastAsia="楷体" w:cstheme="minorBidi"/>
                <w:b/>
                <w:bCs/>
                <w:color w:val="auto"/>
                <w:kern w:val="2"/>
                <w:sz w:val="21"/>
                <w:szCs w:val="22"/>
                <w:highlight w:val="none"/>
                <w:lang w:val="en-US" w:eastAsia="zh-CN" w:bidi="ar"/>
              </w:rPr>
              <w:t xml:space="preserve">（8）销售起点金额及递增金额（认购、申购的起点金额） </w:t>
            </w:r>
          </w:p>
          <w:p>
            <w:pPr>
              <w:keepNext w:val="0"/>
              <w:keepLines w:val="0"/>
              <w:widowControl/>
              <w:suppressLineNumbers w:val="0"/>
              <w:jc w:val="left"/>
              <w:rPr>
                <w:rFonts w:hint="eastAsia" w:ascii="楷体" w:hAnsi="楷体" w:eastAsia="楷体"/>
                <w:b/>
                <w:bCs/>
                <w:color w:val="auto"/>
                <w:highlight w:val="none"/>
              </w:rPr>
            </w:pPr>
            <w:r>
              <w:rPr>
                <w:rFonts w:hint="eastAsia" w:ascii="楷体" w:hAnsi="楷体" w:eastAsia="楷体" w:cstheme="minorBidi"/>
                <w:b/>
                <w:bCs/>
                <w:color w:val="auto"/>
                <w:kern w:val="2"/>
                <w:sz w:val="21"/>
                <w:szCs w:val="22"/>
                <w:highlight w:val="none"/>
                <w:lang w:val="en-US" w:eastAsia="zh-CN" w:bidi="ar"/>
              </w:rPr>
              <w:t xml:space="preserve">（9）投资者认购、申购和赎回的数量限制 </w:t>
            </w:r>
          </w:p>
          <w:p>
            <w:pPr>
              <w:keepNext w:val="0"/>
              <w:keepLines w:val="0"/>
              <w:widowControl/>
              <w:suppressLineNumbers w:val="0"/>
              <w:jc w:val="left"/>
              <w:rPr>
                <w:rFonts w:hint="eastAsia" w:ascii="楷体" w:hAnsi="楷体" w:eastAsia="楷体"/>
                <w:b/>
                <w:bCs/>
                <w:color w:val="auto"/>
                <w:highlight w:val="none"/>
              </w:rPr>
            </w:pPr>
            <w:r>
              <w:rPr>
                <w:rFonts w:hint="eastAsia" w:ascii="楷体" w:hAnsi="楷体" w:eastAsia="楷体" w:cstheme="minorBidi"/>
                <w:b/>
                <w:bCs/>
                <w:color w:val="auto"/>
                <w:kern w:val="2"/>
                <w:sz w:val="21"/>
                <w:szCs w:val="22"/>
                <w:highlight w:val="none"/>
                <w:lang w:val="en-US" w:eastAsia="zh-CN" w:bidi="ar"/>
              </w:rPr>
              <w:t>（10）投资者持有本产品的最高限额、最低限额</w:t>
            </w:r>
            <w:r>
              <w:rPr>
                <w:rFonts w:hint="eastAsia" w:ascii="楷体" w:hAnsi="楷体" w:eastAsia="楷体" w:cstheme="minorBidi"/>
                <w:b/>
                <w:bCs/>
                <w:color w:val="auto"/>
                <w:kern w:val="2"/>
                <w:sz w:val="21"/>
                <w:szCs w:val="22"/>
                <w:highlight w:val="none"/>
                <w:lang w:val="en-US" w:eastAsia="zh-CN" w:bidi="ar"/>
              </w:rPr>
              <w:br w:type="textWrapping"/>
            </w:r>
            <w:r>
              <w:rPr>
                <w:rFonts w:hint="eastAsia" w:ascii="楷体" w:hAnsi="楷体" w:eastAsia="楷体" w:cstheme="minorBidi"/>
                <w:b/>
                <w:bCs/>
                <w:color w:val="auto"/>
                <w:kern w:val="2"/>
                <w:sz w:val="21"/>
                <w:szCs w:val="22"/>
                <w:highlight w:val="none"/>
                <w:lang w:val="en-US" w:eastAsia="zh-CN" w:bidi="ar"/>
              </w:rPr>
              <w:t xml:space="preserve">（11）产品规模上限 </w:t>
            </w:r>
          </w:p>
          <w:p>
            <w:pPr>
              <w:keepNext w:val="0"/>
              <w:keepLines w:val="0"/>
              <w:widowControl/>
              <w:suppressLineNumbers w:val="0"/>
              <w:jc w:val="left"/>
              <w:rPr>
                <w:rFonts w:hint="eastAsia" w:ascii="楷体" w:hAnsi="楷体" w:eastAsia="楷体"/>
                <w:b/>
                <w:bCs/>
                <w:color w:val="auto"/>
                <w:highlight w:val="none"/>
              </w:rPr>
            </w:pPr>
            <w:r>
              <w:rPr>
                <w:rFonts w:hint="eastAsia" w:ascii="楷体" w:hAnsi="楷体" w:eastAsia="楷体" w:cstheme="minorBidi"/>
                <w:b/>
                <w:bCs/>
                <w:color w:val="auto"/>
                <w:kern w:val="2"/>
                <w:sz w:val="21"/>
                <w:szCs w:val="22"/>
                <w:highlight w:val="none"/>
                <w:lang w:val="en-US" w:eastAsia="zh-CN" w:bidi="ar"/>
              </w:rPr>
              <w:t xml:space="preserve">（12）分别计算和公告产品份额净值 </w:t>
            </w:r>
          </w:p>
          <w:p>
            <w:pPr>
              <w:keepNext w:val="0"/>
              <w:keepLines w:val="0"/>
              <w:widowControl/>
              <w:suppressLineNumbers w:val="0"/>
              <w:jc w:val="left"/>
              <w:rPr>
                <w:rFonts w:hint="eastAsia" w:ascii="楷体" w:hAnsi="楷体" w:eastAsia="楷体" w:cstheme="minorBidi"/>
                <w:b/>
                <w:bCs/>
                <w:kern w:val="2"/>
                <w:sz w:val="21"/>
                <w:szCs w:val="22"/>
                <w:lang w:val="en-US" w:eastAsia="zh-CN" w:bidi="ar"/>
              </w:rPr>
            </w:pPr>
            <w:r>
              <w:rPr>
                <w:rFonts w:hint="eastAsia" w:ascii="楷体" w:hAnsi="楷体" w:eastAsia="楷体" w:cstheme="minorBidi"/>
                <w:b/>
                <w:bCs/>
                <w:color w:val="auto"/>
                <w:kern w:val="2"/>
                <w:sz w:val="21"/>
                <w:szCs w:val="22"/>
                <w:lang w:val="en-US" w:eastAsia="zh-CN" w:bidi="ar"/>
              </w:rPr>
              <w:t>3</w:t>
            </w:r>
            <w:r>
              <w:rPr>
                <w:rFonts w:hint="eastAsia" w:ascii="楷体" w:hAnsi="楷体" w:eastAsia="楷体" w:cstheme="minorBidi"/>
                <w:b/>
                <w:bCs/>
                <w:kern w:val="2"/>
                <w:sz w:val="21"/>
                <w:szCs w:val="22"/>
                <w:lang w:val="en-US" w:eastAsia="zh-CN" w:bidi="ar"/>
              </w:rPr>
              <w:t>、</w:t>
            </w:r>
            <w:r>
              <w:rPr>
                <w:rFonts w:hint="eastAsia" w:ascii="楷体" w:hAnsi="楷体" w:eastAsia="楷体" w:cstheme="minorBidi"/>
                <w:b/>
                <w:bCs/>
                <w:color w:val="auto"/>
                <w:kern w:val="2"/>
                <w:sz w:val="21"/>
                <w:szCs w:val="22"/>
                <w:lang w:val="en-US" w:eastAsia="zh-CN" w:bidi="ar"/>
              </w:rPr>
              <w:t xml:space="preserve">投资者可根据实际情况自行选择认购的产品份额类别。 </w:t>
            </w:r>
          </w:p>
          <w:p>
            <w:pPr>
              <w:keepNext w:val="0"/>
              <w:keepLines w:val="0"/>
              <w:widowControl/>
              <w:suppressLineNumbers w:val="0"/>
              <w:jc w:val="left"/>
              <w:rPr>
                <w:rFonts w:hint="default" w:ascii="楷体" w:hAnsi="楷体" w:eastAsia="楷体"/>
                <w:b/>
                <w:bCs/>
                <w:lang w:bidi="ar"/>
              </w:rPr>
            </w:pPr>
            <w:r>
              <w:rPr>
                <w:rFonts w:hint="eastAsia" w:ascii="楷体" w:hAnsi="楷体" w:eastAsia="楷体" w:cstheme="minorBidi"/>
                <w:b/>
                <w:bCs/>
                <w:kern w:val="2"/>
                <w:sz w:val="21"/>
                <w:szCs w:val="22"/>
                <w:lang w:val="en-US" w:eastAsia="zh-CN" w:bidi="ar"/>
              </w:rPr>
              <w:t xml:space="preserve">4、管理人有权根据实际情况增加新的产品份额类别、停止现有产品份额类别的销售、调整产品份额类别设置或对份额分类方法及规则进行调整。如有调整，以管理人公告为准。 </w:t>
            </w:r>
          </w:p>
          <w:p>
            <w:pPr>
              <w:widowControl/>
              <w:jc w:val="left"/>
              <w:rPr>
                <w:rFonts w:hint="eastAsia" w:ascii="楷体" w:hAnsi="楷体" w:eastAsia="楷体"/>
                <w:b/>
                <w:bCs/>
                <w:color w:val="C00000"/>
                <w:lang w:val="en-US" w:eastAsia="zh-CN"/>
              </w:rPr>
            </w:pPr>
            <w:r>
              <w:rPr>
                <w:rFonts w:hint="eastAsia" w:ascii="楷体" w:hAnsi="楷体" w:eastAsia="楷体" w:cstheme="minorBidi"/>
                <w:b/>
                <w:bCs/>
                <w:color w:val="auto"/>
                <w:kern w:val="2"/>
                <w:sz w:val="21"/>
                <w:szCs w:val="22"/>
                <w:lang w:val="en-US" w:eastAsia="zh-CN" w:bidi="ar"/>
              </w:rPr>
              <w:t>注：本《产品说明书》所列示产品份额类别仅为本产品项下某</w:t>
            </w:r>
            <w:r>
              <w:rPr>
                <w:rFonts w:hint="eastAsia" w:ascii="楷体" w:hAnsi="楷体" w:eastAsia="楷体" w:cstheme="minorBidi"/>
                <w:b/>
                <w:bCs/>
                <w:kern w:val="2"/>
                <w:sz w:val="21"/>
                <w:szCs w:val="22"/>
                <w:lang w:val="en-US" w:eastAsia="zh-CN" w:bidi="ar"/>
              </w:rPr>
              <w:t>一</w:t>
            </w:r>
            <w:r>
              <w:rPr>
                <w:rFonts w:hint="eastAsia" w:ascii="楷体" w:hAnsi="楷体" w:eastAsia="楷体" w:cstheme="minorBidi"/>
                <w:b/>
                <w:bCs/>
                <w:color w:val="auto"/>
                <w:kern w:val="2"/>
                <w:sz w:val="21"/>
                <w:szCs w:val="22"/>
                <w:lang w:val="en-US" w:eastAsia="zh-CN" w:bidi="ar"/>
              </w:rPr>
              <w:t>类或某几类产品份额。其他类别的产品份额情况以产品管理人披露为准。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heme="minorBidi"/>
                <w:b/>
                <w:bCs/>
                <w:kern w:val="2"/>
                <w:sz w:val="21"/>
                <w:szCs w:val="22"/>
                <w:lang w:val="en-US" w:eastAsia="zh-CN" w:bidi="ar-SA"/>
              </w:rPr>
            </w:pPr>
            <w:r>
              <w:rPr>
                <w:rFonts w:hint="eastAsia" w:ascii="楷体" w:hAnsi="楷体" w:eastAsia="楷体"/>
                <w:b/>
                <w:bCs/>
              </w:rPr>
              <w:t>募集方式</w:t>
            </w:r>
          </w:p>
        </w:tc>
        <w:tc>
          <w:tcPr>
            <w:tcW w:w="6146" w:type="dxa"/>
            <w:vAlign w:val="top"/>
          </w:tcPr>
          <w:p>
            <w:pPr>
              <w:rPr>
                <w:rFonts w:hint="eastAsia" w:ascii="楷体" w:hAnsi="楷体" w:eastAsia="楷体" w:cstheme="minorBidi"/>
                <w:b/>
                <w:bCs/>
                <w:color w:val="auto"/>
                <w:kern w:val="2"/>
                <w:sz w:val="21"/>
                <w:szCs w:val="22"/>
                <w:lang w:val="en-US" w:eastAsia="zh-CN" w:bidi="ar-SA"/>
              </w:rPr>
            </w:pPr>
            <w:r>
              <w:rPr>
                <w:rFonts w:hint="eastAsia" w:ascii="楷体" w:hAnsi="楷体" w:eastAsia="楷体"/>
                <w:b/>
                <w:bCs/>
                <w:color w:val="auto"/>
                <w:lang w:eastAsia="zh-CN"/>
              </w:rPr>
              <w:t>【</w:t>
            </w:r>
            <w:r>
              <w:rPr>
                <w:rFonts w:hint="eastAsia" w:ascii="楷体" w:hAnsi="楷体" w:eastAsia="楷体"/>
                <w:b/>
                <w:bCs/>
                <w:color w:val="auto"/>
              </w:rPr>
              <w:t>公募</w:t>
            </w:r>
            <w:r>
              <w:rPr>
                <w:rFonts w:hint="eastAsia" w:ascii="楷体" w:hAnsi="楷体" w:eastAsia="楷体"/>
                <w:b/>
                <w:bCs/>
                <w:color w:val="auto"/>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default" w:ascii="楷体" w:hAnsi="楷体" w:eastAsia="楷体"/>
                <w:b/>
                <w:bCs/>
                <w:lang w:val="en-US" w:eastAsia="zh-CN"/>
              </w:rPr>
            </w:pPr>
            <w:r>
              <w:rPr>
                <w:rFonts w:hint="eastAsia" w:ascii="楷体" w:hAnsi="楷体" w:eastAsia="楷体"/>
                <w:b/>
                <w:bCs/>
                <w:lang w:val="en-US" w:eastAsia="zh-CN"/>
              </w:rPr>
              <w:t>产品运作方式</w:t>
            </w:r>
          </w:p>
        </w:tc>
        <w:tc>
          <w:tcPr>
            <w:tcW w:w="6146" w:type="dxa"/>
            <w:vAlign w:val="top"/>
          </w:tcPr>
          <w:p>
            <w:pPr>
              <w:rPr>
                <w:rFonts w:hint="eastAsia" w:ascii="楷体" w:hAnsi="楷体" w:eastAsia="楷体"/>
                <w:b/>
                <w:bCs/>
                <w:color w:val="auto"/>
                <w:lang w:val="en-US" w:eastAsia="zh-CN"/>
              </w:rPr>
            </w:pPr>
            <w:r>
              <w:rPr>
                <w:rFonts w:hint="eastAsia" w:ascii="楷体" w:hAnsi="楷体" w:eastAsia="楷体"/>
                <w:b/>
                <w:bCs/>
                <w:color w:val="auto"/>
                <w:lang w:val="en-US" w:eastAsia="zh-CN"/>
              </w:rPr>
              <w:t>【开放式】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imes New Roman"/>
                <w:b/>
                <w:bCs/>
                <w:kern w:val="2"/>
                <w:sz w:val="21"/>
                <w:szCs w:val="22"/>
                <w:lang w:val="en-US" w:eastAsia="zh-CN" w:bidi="ar-SA"/>
              </w:rPr>
            </w:pPr>
            <w:r>
              <w:rPr>
                <w:rFonts w:hint="eastAsia" w:ascii="楷体" w:hAnsi="楷体" w:eastAsia="楷体"/>
                <w:b/>
                <w:bCs/>
              </w:rPr>
              <w:t>产品</w:t>
            </w:r>
            <w:r>
              <w:rPr>
                <w:rFonts w:hint="eastAsia" w:ascii="楷体" w:hAnsi="楷体" w:eastAsia="楷体"/>
                <w:b/>
                <w:bCs/>
                <w:lang w:val="en-US" w:eastAsia="zh-CN"/>
              </w:rPr>
              <w:t>类型</w:t>
            </w:r>
          </w:p>
        </w:tc>
        <w:tc>
          <w:tcPr>
            <w:tcW w:w="6146" w:type="dxa"/>
            <w:vAlign w:val="top"/>
          </w:tcPr>
          <w:p>
            <w:pPr>
              <w:rPr>
                <w:rFonts w:hint="eastAsia" w:ascii="楷体" w:hAnsi="楷体" w:eastAsia="楷体"/>
                <w:b/>
                <w:bCs/>
                <w:color w:val="auto"/>
                <w:lang w:eastAsia="zh-CN"/>
              </w:rPr>
            </w:pPr>
            <w:r>
              <w:rPr>
                <w:rFonts w:hint="eastAsia" w:ascii="楷体" w:hAnsi="楷体" w:eastAsia="楷体"/>
                <w:b/>
                <w:bCs/>
                <w:color w:val="auto"/>
                <w:lang w:eastAsia="zh-CN"/>
              </w:rPr>
              <w:t>【</w:t>
            </w:r>
            <w:r>
              <w:rPr>
                <w:rFonts w:hint="eastAsia" w:ascii="楷体" w:hAnsi="楷体" w:eastAsia="楷体"/>
                <w:b/>
                <w:bCs/>
                <w:color w:val="auto"/>
              </w:rPr>
              <w:t>固定收益类</w:t>
            </w:r>
            <w:r>
              <w:rPr>
                <w:rFonts w:hint="eastAsia" w:ascii="楷体" w:hAnsi="楷体" w:eastAsia="楷体"/>
                <w:b/>
                <w:bCs/>
                <w:color w:val="auto"/>
                <w:lang w:eastAsia="zh-CN"/>
              </w:rPr>
              <w:t>】</w:t>
            </w:r>
          </w:p>
          <w:p>
            <w:pPr>
              <w:rPr>
                <w:rFonts w:hint="eastAsia" w:ascii="楷体" w:hAnsi="楷体" w:eastAsia="楷体"/>
                <w:b/>
                <w:bCs/>
                <w:color w:val="auto"/>
                <w:lang w:val="en-US" w:eastAsia="zh-CN"/>
              </w:rPr>
            </w:pPr>
            <w:r>
              <w:rPr>
                <w:rFonts w:hint="eastAsia" w:ascii="楷体" w:hAnsi="楷体" w:eastAsia="楷体"/>
                <w:b/>
                <w:bCs/>
              </w:rPr>
              <w:t>固定收益类理财产品</w:t>
            </w:r>
            <w:r>
              <w:rPr>
                <w:rFonts w:hint="eastAsia" w:ascii="楷体" w:hAnsi="楷体" w:eastAsia="楷体"/>
                <w:b/>
                <w:bCs/>
                <w:lang w:val="en-US" w:eastAsia="zh-CN"/>
              </w:rPr>
              <w:t>是</w:t>
            </w:r>
            <w:r>
              <w:rPr>
                <w:rFonts w:hint="eastAsia" w:ascii="楷体" w:hAnsi="楷体" w:eastAsia="楷体"/>
                <w:b/>
                <w:bCs/>
              </w:rPr>
              <w:t>指投资于存款、债券等债权类资产的比例不低于80%的理财产品。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imes New Roman"/>
                <w:b/>
                <w:bCs/>
                <w:kern w:val="2"/>
                <w:sz w:val="21"/>
                <w:szCs w:val="22"/>
                <w:lang w:val="en-US" w:eastAsia="zh-CN" w:bidi="ar-SA"/>
              </w:rPr>
            </w:pPr>
            <w:r>
              <w:rPr>
                <w:rFonts w:hint="eastAsia" w:ascii="楷体" w:hAnsi="楷体" w:eastAsia="楷体"/>
                <w:b/>
                <w:bCs/>
                <w:lang w:val="en-US" w:eastAsia="zh-CN"/>
              </w:rPr>
              <w:t>产品</w:t>
            </w:r>
            <w:r>
              <w:rPr>
                <w:rFonts w:hint="eastAsia" w:ascii="楷体" w:hAnsi="楷体" w:eastAsia="楷体"/>
                <w:b/>
                <w:bCs/>
              </w:rPr>
              <w:t>收益类型</w:t>
            </w:r>
          </w:p>
        </w:tc>
        <w:tc>
          <w:tcPr>
            <w:tcW w:w="6146" w:type="dxa"/>
            <w:vAlign w:val="top"/>
          </w:tcPr>
          <w:p>
            <w:pPr>
              <w:rPr>
                <w:rFonts w:hint="eastAsia" w:ascii="楷体" w:hAnsi="楷体" w:eastAsia="楷体" w:cstheme="minorBidi"/>
                <w:b/>
                <w:bCs/>
                <w:color w:val="auto"/>
                <w:kern w:val="2"/>
                <w:sz w:val="21"/>
                <w:szCs w:val="22"/>
                <w:lang w:val="en-US" w:eastAsia="zh-CN" w:bidi="ar-SA"/>
              </w:rPr>
            </w:pPr>
            <w:r>
              <w:rPr>
                <w:rFonts w:hint="eastAsia" w:ascii="楷体" w:hAnsi="楷体" w:eastAsia="楷体"/>
                <w:b/>
                <w:bCs/>
                <w:color w:val="auto"/>
                <w:lang w:eastAsia="zh-CN"/>
              </w:rPr>
              <w:t>【</w:t>
            </w:r>
            <w:r>
              <w:rPr>
                <w:rFonts w:hint="eastAsia" w:ascii="楷体" w:hAnsi="楷体" w:eastAsia="楷体"/>
                <w:b/>
                <w:bCs/>
                <w:color w:val="auto"/>
              </w:rPr>
              <w:t>非保本浮动收益型</w:t>
            </w:r>
            <w:r>
              <w:rPr>
                <w:rFonts w:hint="eastAsia" w:ascii="楷体" w:hAnsi="楷体" w:eastAsia="楷体"/>
                <w:b/>
                <w:bCs/>
                <w:color w:val="auto"/>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rPr>
              <w:t>投资及收益币种</w:t>
            </w:r>
          </w:p>
        </w:tc>
        <w:tc>
          <w:tcPr>
            <w:tcW w:w="6146" w:type="dxa"/>
            <w:vAlign w:val="top"/>
          </w:tcPr>
          <w:p>
            <w:pPr>
              <w:rPr>
                <w:rFonts w:hint="eastAsia" w:ascii="楷体" w:hAnsi="楷体" w:eastAsia="楷体"/>
                <w:b/>
                <w:bCs/>
                <w:color w:val="auto"/>
                <w:lang w:eastAsia="zh-CN"/>
              </w:rPr>
            </w:pPr>
            <w:r>
              <w:rPr>
                <w:rFonts w:hint="eastAsia" w:ascii="楷体" w:hAnsi="楷体" w:eastAsia="楷体"/>
                <w:b/>
                <w:bCs/>
                <w:color w:val="auto"/>
                <w:lang w:eastAsia="zh-CN"/>
              </w:rPr>
              <w:t>【</w:t>
            </w:r>
            <w:r>
              <w:rPr>
                <w:rFonts w:hint="eastAsia" w:ascii="楷体" w:hAnsi="楷体" w:eastAsia="楷体"/>
                <w:b/>
                <w:bCs/>
                <w:color w:val="auto"/>
              </w:rPr>
              <w:t>人民币</w:t>
            </w:r>
            <w:r>
              <w:rPr>
                <w:rFonts w:hint="eastAsia" w:ascii="楷体" w:hAnsi="楷体" w:eastAsia="楷体"/>
                <w:b/>
                <w:bCs/>
                <w:color w:val="auto"/>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rPr>
              <w:t>产品风险评级</w:t>
            </w:r>
          </w:p>
        </w:tc>
        <w:tc>
          <w:tcPr>
            <w:tcW w:w="6146" w:type="dxa"/>
            <w:vAlign w:val="top"/>
          </w:tcPr>
          <w:p>
            <w:pPr>
              <w:rPr>
                <w:rFonts w:hint="eastAsia" w:ascii="楷体" w:hAnsi="楷体" w:eastAsia="楷体"/>
                <w:b/>
                <w:bCs/>
              </w:rPr>
            </w:pPr>
            <w:r>
              <w:rPr>
                <w:rFonts w:hint="eastAsia" w:ascii="楷体" w:hAnsi="楷体" w:eastAsia="楷体"/>
                <w:b/>
                <w:bCs/>
              </w:rPr>
              <w:t>本产品管理人内部评级为</w:t>
            </w:r>
            <w:r>
              <w:rPr>
                <w:rFonts w:hint="eastAsia" w:ascii="楷体" w:hAnsi="楷体" w:eastAsia="楷体"/>
                <w:b/>
                <w:bCs/>
                <w:lang w:val="en-US" w:eastAsia="zh-CN"/>
              </w:rPr>
              <w:t>【</w:t>
            </w:r>
            <w:r>
              <w:rPr>
                <w:rFonts w:hint="eastAsia" w:ascii="楷体" w:hAnsi="楷体" w:eastAsia="楷体"/>
                <w:b/>
                <w:bCs/>
                <w:color w:val="C00000"/>
                <w:u w:val="single"/>
              </w:rPr>
              <w:t>中低风险（二级风险）</w:t>
            </w:r>
            <w:r>
              <w:rPr>
                <w:rFonts w:hint="eastAsia" w:ascii="楷体" w:hAnsi="楷体" w:eastAsia="楷体"/>
                <w:b/>
                <w:bCs/>
                <w:lang w:eastAsia="zh-CN"/>
              </w:rPr>
              <w:t>】</w:t>
            </w:r>
            <w:r>
              <w:rPr>
                <w:rFonts w:hint="eastAsia" w:ascii="楷体" w:hAnsi="楷体" w:eastAsia="楷体"/>
                <w:b/>
                <w:bCs/>
                <w:color w:val="auto"/>
                <w:u w:val="none"/>
                <w:lang w:eastAsia="zh-CN"/>
              </w:rPr>
              <w:t>。</w:t>
            </w:r>
            <w:r>
              <w:rPr>
                <w:rFonts w:hint="eastAsia" w:ascii="楷体" w:hAnsi="楷体" w:eastAsia="楷体"/>
                <w:b/>
                <w:bCs/>
                <w:lang w:val="en-US" w:eastAsia="zh-CN"/>
              </w:rPr>
              <w:t>产品</w:t>
            </w:r>
            <w:r>
              <w:rPr>
                <w:rFonts w:ascii="楷体" w:hAnsi="楷体" w:eastAsia="楷体"/>
                <w:b/>
                <w:bCs/>
              </w:rPr>
              <w:t>通过</w:t>
            </w:r>
            <w:r>
              <w:rPr>
                <w:rFonts w:hint="eastAsia" w:ascii="楷体" w:hAnsi="楷体" w:eastAsia="楷体"/>
                <w:b/>
                <w:bCs/>
              </w:rPr>
              <w:t>代理销售</w:t>
            </w:r>
            <w:r>
              <w:rPr>
                <w:rFonts w:ascii="楷体" w:hAnsi="楷体" w:eastAsia="楷体"/>
                <w:b/>
                <w:bCs/>
              </w:rPr>
              <w:t>机构销售的，</w:t>
            </w:r>
            <w:r>
              <w:rPr>
                <w:rFonts w:hint="eastAsia" w:ascii="楷体" w:hAnsi="楷体" w:eastAsia="楷体"/>
                <w:b/>
                <w:bCs/>
              </w:rPr>
              <w:t>代理销售</w:t>
            </w:r>
            <w:r>
              <w:rPr>
                <w:rFonts w:ascii="楷体" w:hAnsi="楷体" w:eastAsia="楷体"/>
                <w:b/>
                <w:bCs/>
              </w:rPr>
              <w:t>机构</w:t>
            </w:r>
            <w:r>
              <w:rPr>
                <w:rFonts w:hint="eastAsia" w:ascii="楷体" w:hAnsi="楷体" w:eastAsia="楷体"/>
                <w:b/>
                <w:bCs/>
              </w:rPr>
              <w:t>将</w:t>
            </w:r>
            <w:r>
              <w:rPr>
                <w:rFonts w:ascii="楷体" w:hAnsi="楷体" w:eastAsia="楷体"/>
                <w:b/>
                <w:bCs/>
              </w:rPr>
              <w:t>根据</w:t>
            </w:r>
            <w:r>
              <w:rPr>
                <w:rFonts w:hint="eastAsia" w:ascii="楷体" w:hAnsi="楷体" w:eastAsia="楷体"/>
                <w:b/>
                <w:bCs/>
              </w:rPr>
              <w:t>代理销售</w:t>
            </w:r>
            <w:r>
              <w:rPr>
                <w:rFonts w:ascii="楷体" w:hAnsi="楷体" w:eastAsia="楷体"/>
                <w:b/>
                <w:bCs/>
              </w:rPr>
              <w:t>机构的方式和方法，独立、审慎地对代理销售的本理财</w:t>
            </w:r>
            <w:r>
              <w:rPr>
                <w:rFonts w:hint="eastAsia" w:ascii="楷体" w:hAnsi="楷体" w:eastAsia="楷体"/>
                <w:b/>
                <w:bCs/>
              </w:rPr>
              <w:t>产品</w:t>
            </w:r>
            <w:r>
              <w:rPr>
                <w:rFonts w:ascii="楷体" w:hAnsi="楷体" w:eastAsia="楷体"/>
                <w:b/>
                <w:bCs/>
              </w:rPr>
              <w:t>进行销售评级，销售评级与管理人评级结果不一致的，</w:t>
            </w:r>
            <w:r>
              <w:rPr>
                <w:rFonts w:hint="eastAsia" w:ascii="楷体" w:hAnsi="楷体" w:eastAsia="楷体"/>
                <w:b/>
                <w:bCs/>
              </w:rPr>
              <w:t>代理销售机构将采用对应较高风险等级的评级结果并予以披露，本理财产品的</w:t>
            </w:r>
            <w:r>
              <w:rPr>
                <w:rFonts w:ascii="楷体" w:hAnsi="楷体" w:eastAsia="楷体"/>
                <w:b/>
                <w:bCs/>
              </w:rPr>
              <w:t>最终</w:t>
            </w:r>
            <w:r>
              <w:rPr>
                <w:rFonts w:hint="eastAsia" w:ascii="楷体" w:hAnsi="楷体" w:eastAsia="楷体"/>
                <w:b/>
                <w:bCs/>
              </w:rPr>
              <w:t>评级以代理销售机构最终披露的评级结果为准。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highlight w:val="none"/>
                <w:lang w:val="en-US" w:eastAsia="zh-CN"/>
              </w:rPr>
              <w:t>销售对象</w:t>
            </w:r>
          </w:p>
        </w:tc>
        <w:tc>
          <w:tcPr>
            <w:tcW w:w="6146" w:type="dxa"/>
            <w:vAlign w:val="top"/>
          </w:tcPr>
          <w:p>
            <w:pPr>
              <w:rPr>
                <w:rFonts w:hint="eastAsia" w:ascii="楷体" w:hAnsi="楷体" w:eastAsia="楷体"/>
                <w:b/>
                <w:bCs/>
                <w:color w:val="auto"/>
                <w:lang w:val="en-US" w:eastAsia="zh-CN"/>
              </w:rPr>
            </w:pPr>
            <w:r>
              <w:rPr>
                <w:rFonts w:hint="eastAsia" w:ascii="楷体" w:hAnsi="楷体" w:eastAsia="楷体"/>
                <w:b/>
                <w:bCs/>
                <w:color w:val="auto"/>
                <w:lang w:val="en-US" w:eastAsia="zh-CN"/>
              </w:rPr>
              <w:t>本产品适合以下类型投资者：</w:t>
            </w:r>
          </w:p>
          <w:p>
            <w:pPr>
              <w:rPr>
                <w:rFonts w:hint="eastAsia" w:ascii="楷体" w:hAnsi="楷体" w:eastAsia="楷体"/>
                <w:b/>
                <w:bCs/>
                <w:color w:val="auto"/>
                <w:lang w:val="en-US" w:eastAsia="zh-CN"/>
              </w:rPr>
            </w:pPr>
            <w:r>
              <w:rPr>
                <w:rFonts w:hint="default" w:ascii="楷体" w:hAnsi="楷体" w:eastAsia="楷体"/>
                <w:b/>
                <w:bCs/>
                <w:color w:val="auto"/>
                <w:lang w:val="en-US" w:eastAsia="zh-CN"/>
              </w:rPr>
              <w:sym w:font="Wingdings 2" w:char="0052"/>
            </w:r>
            <w:r>
              <w:rPr>
                <w:rFonts w:hint="eastAsia" w:ascii="楷体" w:hAnsi="楷体" w:eastAsia="楷体"/>
                <w:b/>
                <w:bCs/>
                <w:color w:val="auto"/>
                <w:lang w:val="en-US" w:eastAsia="zh-CN"/>
              </w:rPr>
              <w:t xml:space="preserve"> 个人投资者</w:t>
            </w:r>
          </w:p>
          <w:p>
            <w:pPr>
              <w:rPr>
                <w:rFonts w:hint="eastAsia" w:ascii="楷体" w:hAnsi="楷体" w:eastAsia="楷体"/>
                <w:b/>
                <w:bCs/>
                <w:color w:val="auto"/>
                <w:lang w:val="en-US" w:eastAsia="zh-CN"/>
              </w:rPr>
            </w:pPr>
            <w:r>
              <w:rPr>
                <w:rFonts w:hint="eastAsia" w:ascii="楷体" w:hAnsi="楷体" w:eastAsia="楷体"/>
                <w:b/>
                <w:bCs/>
                <w:color w:val="auto"/>
                <w:lang w:val="en-US" w:eastAsia="zh-CN"/>
              </w:rPr>
              <w:t>（客户</w:t>
            </w:r>
            <w:r>
              <w:rPr>
                <w:rFonts w:hint="eastAsia" w:ascii="楷体" w:hAnsi="楷体" w:eastAsia="楷体"/>
                <w:b/>
                <w:bCs/>
                <w:color w:val="auto"/>
              </w:rPr>
              <w:t>风险承受能力评级</w:t>
            </w:r>
            <w:r>
              <w:rPr>
                <w:rFonts w:hint="eastAsia" w:ascii="楷体" w:hAnsi="楷体" w:eastAsia="楷体"/>
                <w:b/>
                <w:bCs/>
                <w:color w:val="auto"/>
                <w:lang w:val="en-US" w:eastAsia="zh-CN"/>
              </w:rPr>
              <w:t>为【</w:t>
            </w:r>
            <w:r>
              <w:rPr>
                <w:rFonts w:hint="eastAsia" w:ascii="楷体_GB2312" w:hAnsi="宋体" w:eastAsia="楷体_GB2312"/>
                <w:b/>
                <w:bCs/>
                <w:color w:val="auto"/>
                <w:szCs w:val="21"/>
                <w:highlight w:val="none"/>
              </w:rPr>
              <w:t>稳健型</w:t>
            </w:r>
            <w:r>
              <w:rPr>
                <w:rFonts w:ascii="楷体_GB2312" w:hAnsi="宋体" w:eastAsia="楷体_GB2312"/>
                <w:b/>
                <w:bCs/>
                <w:color w:val="auto"/>
                <w:szCs w:val="21"/>
                <w:highlight w:val="none"/>
              </w:rPr>
              <w:t>、</w:t>
            </w:r>
            <w:r>
              <w:rPr>
                <w:rFonts w:hint="eastAsia" w:ascii="楷体_GB2312" w:hAnsi="宋体" w:eastAsia="楷体_GB2312"/>
                <w:b/>
                <w:bCs/>
                <w:color w:val="auto"/>
                <w:szCs w:val="21"/>
                <w:highlight w:val="none"/>
              </w:rPr>
              <w:t>平衡型、成长型</w:t>
            </w:r>
            <w:r>
              <w:rPr>
                <w:rFonts w:hint="eastAsia" w:ascii="楷体_GB2312" w:hAnsi="宋体" w:eastAsia="楷体_GB2312"/>
                <w:b/>
                <w:bCs/>
                <w:color w:val="auto"/>
                <w:szCs w:val="21"/>
                <w:highlight w:val="none"/>
                <w:lang w:eastAsia="zh-CN"/>
              </w:rPr>
              <w:t>、</w:t>
            </w:r>
            <w:r>
              <w:rPr>
                <w:rFonts w:hint="eastAsia" w:ascii="楷体_GB2312" w:hAnsi="宋体" w:eastAsia="楷体_GB2312"/>
                <w:b/>
                <w:bCs/>
                <w:color w:val="auto"/>
                <w:szCs w:val="21"/>
                <w:highlight w:val="none"/>
              </w:rPr>
              <w:t>进取型</w:t>
            </w:r>
            <w:r>
              <w:rPr>
                <w:rFonts w:hint="eastAsia" w:ascii="楷体" w:hAnsi="楷体" w:eastAsia="楷体"/>
                <w:b/>
                <w:bCs/>
                <w:color w:val="auto"/>
                <w:lang w:val="en-US" w:eastAsia="zh-CN"/>
              </w:rPr>
              <w:t>】）</w:t>
            </w:r>
          </w:p>
          <w:p>
            <w:pPr>
              <w:rPr>
                <w:rFonts w:hint="default" w:ascii="楷体" w:hAnsi="楷体" w:eastAsia="楷体"/>
                <w:b/>
                <w:bCs/>
                <w:color w:val="auto"/>
                <w:lang w:val="en-US" w:eastAsia="zh-CN"/>
              </w:rPr>
            </w:pPr>
            <w:r>
              <w:rPr>
                <w:rFonts w:hint="default" w:ascii="楷体" w:hAnsi="楷体" w:eastAsia="楷体"/>
                <w:b/>
                <w:bCs/>
                <w:color w:val="auto"/>
                <w:lang w:val="en-US" w:eastAsia="zh-CN"/>
              </w:rPr>
              <w:sym w:font="Wingdings 2" w:char="0052"/>
            </w:r>
            <w:r>
              <w:rPr>
                <w:rFonts w:hint="eastAsia" w:ascii="楷体" w:hAnsi="楷体" w:eastAsia="楷体"/>
                <w:b/>
                <w:bCs/>
                <w:color w:val="auto"/>
                <w:lang w:val="en-US" w:eastAsia="zh-CN"/>
              </w:rPr>
              <w:t xml:space="preserve"> 机构投资者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default" w:ascii="楷体" w:hAnsi="楷体" w:eastAsia="楷体"/>
                <w:b/>
                <w:bCs/>
                <w:lang w:val="en-US" w:eastAsia="zh-CN"/>
              </w:rPr>
            </w:pPr>
            <w:r>
              <w:rPr>
                <w:rFonts w:hint="eastAsia" w:ascii="楷体" w:hAnsi="楷体" w:eastAsia="楷体"/>
                <w:b/>
                <w:bCs/>
                <w:lang w:val="en-US" w:eastAsia="zh-CN"/>
              </w:rPr>
              <w:t>销售场景</w:t>
            </w:r>
          </w:p>
        </w:tc>
        <w:tc>
          <w:tcPr>
            <w:tcW w:w="6146" w:type="dxa"/>
            <w:vAlign w:val="top"/>
          </w:tcPr>
          <w:p>
            <w:pPr>
              <w:rPr>
                <w:rFonts w:hint="eastAsia" w:ascii="楷体" w:hAnsi="楷体" w:eastAsia="楷体"/>
                <w:b/>
                <w:bCs/>
                <w:color w:val="auto"/>
              </w:rPr>
            </w:pPr>
            <w:r>
              <w:rPr>
                <w:rFonts w:hint="eastAsia" w:ascii="楷体" w:hAnsi="楷体" w:eastAsia="楷体"/>
                <w:b/>
                <w:bCs/>
                <w:color w:val="auto"/>
                <w:lang w:val="en-US" w:eastAsia="zh-CN"/>
              </w:rPr>
              <w:t xml:space="preserve">本产品可在销售机构线上渠道或线下渠道等场景进行销售。 </w:t>
            </w:r>
          </w:p>
          <w:p>
            <w:pPr>
              <w:rPr>
                <w:rFonts w:hint="eastAsia" w:ascii="楷体" w:hAnsi="楷体" w:eastAsia="楷体"/>
                <w:b/>
                <w:bCs/>
                <w:color w:val="auto"/>
              </w:rPr>
            </w:pPr>
            <w:r>
              <w:rPr>
                <w:rFonts w:hint="eastAsia" w:ascii="楷体" w:hAnsi="楷体" w:eastAsia="楷体"/>
                <w:b/>
                <w:bCs/>
                <w:color w:val="auto"/>
                <w:lang w:val="en-US" w:eastAsia="zh-CN"/>
              </w:rPr>
              <w:t xml:space="preserve">特别提示：当销售机构销售产品风险评级为 R4 及以上的理财产品时，可在销售机构的营业网点进行，也可依据销售机构的政策在营业网点之外的其他场景进行（具体政策以销售机构公布执行 </w:t>
            </w:r>
          </w:p>
          <w:p>
            <w:pPr>
              <w:rPr>
                <w:rFonts w:hint="eastAsia" w:ascii="楷体" w:hAnsi="楷体" w:eastAsia="楷体"/>
                <w:b/>
                <w:bCs/>
                <w:color w:val="auto"/>
              </w:rPr>
            </w:pPr>
            <w:r>
              <w:rPr>
                <w:rFonts w:hint="eastAsia" w:ascii="楷体" w:hAnsi="楷体" w:eastAsia="楷体"/>
                <w:b/>
                <w:bCs/>
                <w:color w:val="auto"/>
                <w:lang w:val="en-US" w:eastAsia="zh-CN"/>
              </w:rPr>
              <w:t>的为准）。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default" w:ascii="楷体" w:hAnsi="楷体" w:eastAsia="楷体"/>
                <w:b/>
                <w:bCs/>
                <w:lang w:val="en-US" w:eastAsia="zh-CN"/>
              </w:rPr>
            </w:pPr>
            <w:r>
              <w:rPr>
                <w:rFonts w:hint="eastAsia" w:ascii="楷体" w:hAnsi="楷体" w:eastAsia="楷体"/>
                <w:b/>
                <w:bCs/>
                <w:lang w:val="en-US" w:eastAsia="zh-CN"/>
              </w:rPr>
              <w:t>销售机构</w:t>
            </w:r>
          </w:p>
        </w:tc>
        <w:tc>
          <w:tcPr>
            <w:tcW w:w="6146" w:type="dxa"/>
            <w:vAlign w:val="top"/>
          </w:tcPr>
          <w:p>
            <w:pPr>
              <w:rPr>
                <w:rFonts w:hint="eastAsia" w:ascii="楷体" w:hAnsi="楷体" w:eastAsia="楷体"/>
                <w:b/>
                <w:bCs/>
                <w:color w:val="auto"/>
              </w:rPr>
            </w:pPr>
            <w:r>
              <w:rPr>
                <w:rFonts w:hint="default" w:ascii="楷体" w:hAnsi="楷体" w:eastAsia="楷体"/>
                <w:b/>
                <w:bCs/>
                <w:color w:val="auto"/>
                <w:lang w:val="en-US" w:eastAsia="zh-CN"/>
              </w:rPr>
              <w:sym w:font="Wingdings 2" w:char="00A3"/>
            </w:r>
            <w:r>
              <w:rPr>
                <w:rFonts w:hint="eastAsia" w:ascii="楷体" w:hAnsi="楷体" w:eastAsia="楷体"/>
                <w:b/>
                <w:bCs/>
                <w:color w:val="auto"/>
                <w:lang w:val="en-US" w:eastAsia="zh-CN"/>
              </w:rPr>
              <w:t xml:space="preserve"> 直销适用 </w:t>
            </w:r>
          </w:p>
          <w:p>
            <w:pPr>
              <w:rPr>
                <w:rFonts w:hint="eastAsia" w:ascii="楷体" w:hAnsi="楷体" w:eastAsia="楷体"/>
                <w:b/>
                <w:bCs/>
                <w:color w:val="auto"/>
              </w:rPr>
            </w:pPr>
            <w:r>
              <w:rPr>
                <w:rFonts w:hint="eastAsia" w:ascii="楷体" w:hAnsi="楷体" w:eastAsia="楷体"/>
                <w:b/>
                <w:bCs/>
                <w:color w:val="auto"/>
                <w:lang w:val="en-US" w:eastAsia="zh-CN"/>
              </w:rPr>
              <w:t xml:space="preserve">本产品由产品管理人销售。 </w:t>
            </w:r>
          </w:p>
          <w:p>
            <w:pPr>
              <w:rPr>
                <w:rFonts w:hint="eastAsia" w:ascii="楷体" w:hAnsi="楷体" w:eastAsia="楷体"/>
                <w:b/>
                <w:bCs/>
                <w:color w:val="auto"/>
              </w:rPr>
            </w:pPr>
            <w:r>
              <w:rPr>
                <w:rFonts w:hint="default" w:ascii="楷体" w:hAnsi="楷体" w:eastAsia="楷体"/>
                <w:b/>
                <w:bCs/>
                <w:color w:val="auto"/>
                <w:lang w:val="en-US" w:eastAsia="zh-CN"/>
              </w:rPr>
              <w:sym w:font="Wingdings 2" w:char="0052"/>
            </w:r>
            <w:r>
              <w:rPr>
                <w:rFonts w:hint="eastAsia" w:ascii="楷体" w:hAnsi="楷体" w:eastAsia="楷体"/>
                <w:b/>
                <w:bCs/>
                <w:color w:val="auto"/>
                <w:lang w:val="en-US" w:eastAsia="zh-CN"/>
              </w:rPr>
              <w:t xml:space="preserve"> 代销适用 </w:t>
            </w:r>
          </w:p>
          <w:p>
            <w:pPr>
              <w:rPr>
                <w:rFonts w:hint="eastAsia" w:ascii="楷体" w:hAnsi="楷体" w:eastAsia="楷体"/>
                <w:b/>
                <w:bCs/>
                <w:color w:val="auto"/>
              </w:rPr>
            </w:pPr>
            <w:r>
              <w:rPr>
                <w:rFonts w:hint="eastAsia" w:ascii="楷体" w:hAnsi="楷体" w:eastAsia="楷体"/>
                <w:b/>
                <w:bCs/>
                <w:color w:val="auto"/>
                <w:lang w:val="en-US" w:eastAsia="zh-CN"/>
              </w:rPr>
              <w:t xml:space="preserve">本产品由代理销售机构销售。 </w:t>
            </w:r>
          </w:p>
          <w:p>
            <w:pPr>
              <w:rPr>
                <w:rFonts w:hint="eastAsia" w:ascii="楷体" w:hAnsi="楷体" w:eastAsia="楷体"/>
                <w:b/>
                <w:bCs/>
                <w:color w:val="auto"/>
              </w:rPr>
            </w:pPr>
            <w:r>
              <w:rPr>
                <w:rFonts w:hint="eastAsia" w:ascii="楷体" w:hAnsi="楷体" w:eastAsia="楷体"/>
                <w:b/>
                <w:bCs/>
                <w:color w:val="auto"/>
                <w:lang w:val="en-US" w:eastAsia="zh-CN"/>
              </w:rPr>
              <w:t>代理销售机构合作业务情况以产品管理人公告为准，具体代理销售机构以《</w:t>
            </w:r>
            <w:r>
              <w:rPr>
                <w:rFonts w:hint="eastAsia" w:ascii="楷体_GB2312" w:hAnsi="宋体" w:eastAsia="楷体_GB2312"/>
                <w:b/>
                <w:bCs/>
                <w:color w:val="auto"/>
                <w:szCs w:val="21"/>
              </w:rPr>
              <w:t>销售（代理销售）协议书</w:t>
            </w:r>
            <w:r>
              <w:rPr>
                <w:rFonts w:hint="eastAsia" w:ascii="楷体" w:hAnsi="楷体" w:eastAsia="楷体"/>
                <w:b/>
                <w:bCs/>
                <w:color w:val="auto"/>
                <w:lang w:val="en-US" w:eastAsia="zh-CN"/>
              </w:rPr>
              <w:t>》 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lang w:val="en-US" w:eastAsia="zh-CN"/>
              </w:rPr>
            </w:pPr>
            <w:r>
              <w:rPr>
                <w:rFonts w:hint="eastAsia" w:ascii="楷体" w:hAnsi="楷体" w:eastAsia="楷体"/>
                <w:b/>
                <w:bCs/>
                <w:lang w:val="en-US" w:eastAsia="zh-CN"/>
              </w:rPr>
              <w:t>发售对象</w:t>
            </w:r>
          </w:p>
        </w:tc>
        <w:tc>
          <w:tcPr>
            <w:tcW w:w="6146" w:type="dxa"/>
            <w:vAlign w:val="top"/>
          </w:tcPr>
          <w:p>
            <w:pPr>
              <w:numPr>
                <w:ilvl w:val="-1"/>
                <w:numId w:val="0"/>
              </w:numPr>
              <w:ind w:left="0" w:leftChars="0" w:firstLine="0" w:firstLineChars="0"/>
              <w:rPr>
                <w:rFonts w:hint="eastAsia" w:ascii="楷体" w:hAnsi="楷体" w:eastAsia="楷体"/>
                <w:b/>
                <w:bCs/>
                <w:lang w:val="en-US" w:eastAsia="zh-CN"/>
              </w:rPr>
            </w:pPr>
            <w:r>
              <w:rPr>
                <w:rFonts w:hint="eastAsia" w:ascii="楷体" w:hAnsi="楷体" w:eastAsia="楷体"/>
                <w:b/>
                <w:bCs/>
                <w:color w:val="auto"/>
                <w:highlight w:val="none"/>
                <w:lang w:eastAsia="zh-CN"/>
              </w:rPr>
              <w:t>【</w:t>
            </w:r>
            <w:r>
              <w:rPr>
                <w:rFonts w:hint="eastAsia" w:ascii="楷体" w:hAnsi="楷体" w:eastAsia="楷体"/>
                <w:b/>
                <w:bCs/>
                <w:color w:val="auto"/>
                <w:highlight w:val="none"/>
                <w:lang w:val="en-US" w:eastAsia="zh-CN"/>
              </w:rPr>
              <w:t>Q</w:t>
            </w:r>
            <w:r>
              <w:rPr>
                <w:rFonts w:hint="eastAsia" w:ascii="楷体" w:hAnsi="楷体" w:eastAsia="楷体"/>
                <w:b/>
                <w:bCs/>
                <w:color w:val="auto"/>
                <w:highlight w:val="none"/>
                <w:lang w:eastAsia="zh-CN"/>
              </w:rPr>
              <w:t>】</w:t>
            </w:r>
            <w:r>
              <w:rPr>
                <w:rFonts w:hint="eastAsia" w:ascii="楷体" w:hAnsi="楷体" w:eastAsia="楷体"/>
                <w:b/>
                <w:bCs/>
                <w:color w:val="auto"/>
                <w:highlight w:val="none"/>
                <w:lang w:val="en-US" w:eastAsia="zh-CN"/>
              </w:rPr>
              <w:t>类份额：【大众客户、机构客户】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lang w:val="en-US" w:eastAsia="zh-CN"/>
              </w:rPr>
            </w:pPr>
            <w:r>
              <w:rPr>
                <w:rFonts w:hint="eastAsia" w:ascii="楷体" w:hAnsi="楷体" w:eastAsia="楷体"/>
                <w:b/>
                <w:bCs/>
              </w:rPr>
              <w:t>发行规模</w:t>
            </w:r>
            <w:r>
              <w:rPr>
                <w:rFonts w:hint="eastAsia" w:ascii="楷体" w:hAnsi="楷体" w:eastAsia="楷体"/>
                <w:b/>
                <w:bCs/>
                <w:lang w:val="en-US" w:eastAsia="zh-CN"/>
              </w:rPr>
              <w:t>上限</w:t>
            </w:r>
          </w:p>
        </w:tc>
        <w:tc>
          <w:tcPr>
            <w:tcW w:w="6146" w:type="dxa"/>
            <w:vAlign w:val="top"/>
          </w:tcPr>
          <w:p>
            <w:pPr>
              <w:numPr>
                <w:ilvl w:val="-1"/>
                <w:numId w:val="0"/>
              </w:numPr>
              <w:ind w:left="0" w:firstLine="0"/>
              <w:rPr>
                <w:rFonts w:hint="eastAsia" w:ascii="楷体" w:hAnsi="楷体" w:eastAsia="楷体"/>
                <w:b/>
                <w:bCs/>
                <w:lang w:val="en-US" w:eastAsia="zh-CN"/>
              </w:rPr>
            </w:pPr>
            <w:r>
              <w:rPr>
                <w:rFonts w:hint="eastAsia" w:ascii="楷体" w:hAnsi="楷体" w:eastAsia="楷体"/>
                <w:b/>
                <w:bCs/>
                <w:lang w:val="en-US" w:eastAsia="zh-CN"/>
              </w:rPr>
              <w:t>发行规模上限【</w:t>
            </w:r>
            <w:r>
              <w:rPr>
                <w:rFonts w:hint="eastAsia" w:ascii="楷体" w:hAnsi="楷体" w:eastAsia="楷体"/>
                <w:b/>
                <w:bCs/>
                <w:color w:val="C00000"/>
                <w:lang w:val="en-US" w:eastAsia="zh-CN"/>
              </w:rPr>
              <w:t>50</w:t>
            </w:r>
            <w:r>
              <w:rPr>
                <w:rFonts w:hint="eastAsia" w:ascii="楷体" w:hAnsi="楷体" w:eastAsia="楷体"/>
                <w:b/>
                <w:bCs/>
                <w:lang w:val="en-US" w:eastAsia="zh-CN"/>
              </w:rPr>
              <w:t>】亿元。</w:t>
            </w:r>
          </w:p>
          <w:p>
            <w:pPr>
              <w:numPr>
                <w:ilvl w:val="-1"/>
                <w:numId w:val="0"/>
              </w:numPr>
              <w:ind w:left="0" w:leftChars="0" w:firstLine="0" w:firstLineChars="0"/>
              <w:rPr>
                <w:rFonts w:hint="eastAsia" w:ascii="楷体" w:hAnsi="楷体" w:eastAsia="楷体"/>
                <w:b/>
                <w:bCs/>
              </w:rPr>
            </w:pPr>
            <w:r>
              <w:rPr>
                <w:rFonts w:hint="eastAsia" w:ascii="楷体" w:hAnsi="楷体" w:eastAsia="楷体"/>
                <w:b/>
                <w:bCs/>
              </w:rPr>
              <w:t>若产品募集金额超出规模上限，管理人有权暂停接受认购或申购申请。管理人有权对本理财产品规模上限进行调整。</w:t>
            </w:r>
          </w:p>
          <w:p>
            <w:pPr>
              <w:numPr>
                <w:ilvl w:val="-1"/>
                <w:numId w:val="0"/>
              </w:numPr>
              <w:ind w:left="0" w:leftChars="0" w:firstLine="0" w:firstLineChars="0"/>
              <w:rPr>
                <w:rFonts w:hint="eastAsia" w:ascii="楷体" w:hAnsi="楷体" w:eastAsia="楷体"/>
                <w:b/>
                <w:bCs/>
                <w:lang w:val="en-US" w:eastAsia="zh-CN"/>
              </w:rPr>
            </w:pPr>
            <w:r>
              <w:rPr>
                <w:rFonts w:hint="eastAsia" w:ascii="楷体" w:hAnsi="楷体" w:eastAsia="楷体"/>
                <w:b/>
                <w:bCs/>
              </w:rPr>
              <w:t>销售机构实际销售规模限制可能与《产品说明书》不一致，具体以销售机构规则为准。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lang w:val="en-US" w:eastAsia="zh-CN"/>
              </w:rPr>
              <w:t>最低发行规模</w:t>
            </w:r>
          </w:p>
        </w:tc>
        <w:tc>
          <w:tcPr>
            <w:tcW w:w="6146" w:type="dxa"/>
            <w:vAlign w:val="top"/>
          </w:tcPr>
          <w:p>
            <w:pPr>
              <w:numPr>
                <w:ilvl w:val="-1"/>
                <w:numId w:val="0"/>
              </w:numPr>
              <w:ind w:left="0" w:leftChars="0" w:firstLine="0" w:firstLineChars="0"/>
              <w:rPr>
                <w:rFonts w:hint="eastAsia" w:ascii="楷体" w:hAnsi="楷体" w:eastAsia="楷体"/>
                <w:b/>
                <w:bCs/>
              </w:rPr>
            </w:pPr>
            <w:r>
              <w:rPr>
                <w:rFonts w:hint="eastAsia" w:ascii="楷体" w:hAnsi="楷体" w:eastAsia="楷体"/>
                <w:b/>
                <w:bCs/>
              </w:rPr>
              <w:t>本理财产品最低发行规模为</w:t>
            </w:r>
            <w:r>
              <w:rPr>
                <w:rFonts w:hint="eastAsia" w:ascii="楷体" w:hAnsi="楷体" w:eastAsia="楷体"/>
                <w:b/>
                <w:bCs/>
                <w:u w:val="none"/>
                <w:lang w:eastAsia="zh-CN"/>
              </w:rPr>
              <w:t>【</w:t>
            </w:r>
            <w:r>
              <w:rPr>
                <w:rFonts w:hint="eastAsia" w:ascii="楷体" w:hAnsi="楷体" w:eastAsia="楷体"/>
                <w:b/>
                <w:bCs/>
                <w:color w:val="C00000"/>
                <w:u w:val="none"/>
                <w:lang w:val="en-US" w:eastAsia="zh-CN"/>
              </w:rPr>
              <w:t>0</w:t>
            </w:r>
            <w:r>
              <w:rPr>
                <w:rFonts w:hint="eastAsia" w:ascii="楷体" w:hAnsi="楷体" w:eastAsia="楷体"/>
                <w:b/>
                <w:bCs/>
                <w:color w:val="auto"/>
                <w:u w:val="none"/>
                <w:lang w:val="en-US" w:eastAsia="zh-CN"/>
              </w:rPr>
              <w:t>】</w:t>
            </w:r>
            <w:r>
              <w:rPr>
                <w:rFonts w:hint="eastAsia" w:ascii="楷体" w:hAnsi="楷体" w:eastAsia="楷体"/>
                <w:b/>
                <w:bCs/>
                <w:color w:val="auto"/>
                <w:u w:val="none"/>
              </w:rPr>
              <w:t>元</w:t>
            </w:r>
            <w:r>
              <w:rPr>
                <w:rFonts w:hint="eastAsia" w:ascii="楷体" w:hAnsi="楷体" w:eastAsia="楷体"/>
                <w:b/>
                <w:bCs/>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color w:val="auto"/>
              </w:rPr>
            </w:pPr>
            <w:r>
              <w:rPr>
                <w:rFonts w:hint="eastAsia" w:ascii="楷体" w:hAnsi="楷体" w:eastAsia="楷体"/>
                <w:b/>
                <w:bCs/>
                <w:color w:val="auto"/>
                <w:highlight w:val="none"/>
                <w:lang w:val="en-US" w:eastAsia="zh-CN"/>
              </w:rPr>
              <w:t>产品期限</w:t>
            </w:r>
          </w:p>
        </w:tc>
        <w:tc>
          <w:tcPr>
            <w:tcW w:w="6146" w:type="dxa"/>
            <w:vAlign w:val="top"/>
          </w:tcPr>
          <w:p>
            <w:pPr>
              <w:rPr>
                <w:rFonts w:hint="default" w:ascii="楷体" w:hAnsi="楷体" w:eastAsia="楷体"/>
                <w:b/>
                <w:bCs/>
                <w:color w:val="auto"/>
                <w:highlight w:val="none"/>
                <w:lang w:val="en-US" w:eastAsia="zh-CN"/>
              </w:rPr>
            </w:pPr>
            <w:r>
              <w:rPr>
                <w:rFonts w:hint="default" w:ascii="楷体" w:hAnsi="楷体" w:eastAsia="楷体"/>
                <w:b/>
                <w:bCs/>
                <w:color w:val="auto"/>
                <w:lang w:val="en-US" w:eastAsia="zh-CN"/>
              </w:rPr>
              <w:sym w:font="Wingdings 2" w:char="0052"/>
            </w:r>
            <w:r>
              <w:rPr>
                <w:rFonts w:hint="eastAsia" w:ascii="楷体" w:hAnsi="楷体" w:eastAsia="楷体"/>
                <w:b/>
                <w:bCs/>
                <w:color w:val="auto"/>
                <w:lang w:val="en-US" w:eastAsia="zh-CN"/>
              </w:rPr>
              <w:t xml:space="preserve"> 有固定期限【</w:t>
            </w:r>
            <w:r>
              <w:rPr>
                <w:rFonts w:hint="eastAsia" w:ascii="楷体" w:hAnsi="楷体" w:eastAsia="楷体"/>
                <w:b/>
                <w:bCs/>
                <w:color w:val="C00000"/>
                <w:lang w:val="en-US" w:eastAsia="zh-CN"/>
              </w:rPr>
              <w:t>10年</w:t>
            </w:r>
            <w:r>
              <w:rPr>
                <w:rFonts w:hint="eastAsia" w:ascii="楷体" w:hAnsi="楷体" w:eastAsia="楷体"/>
                <w:b/>
                <w:bCs/>
                <w:color w:val="auto"/>
                <w:lang w:val="en-US" w:eastAsia="zh-CN"/>
              </w:rPr>
              <w:t>】</w:t>
            </w:r>
          </w:p>
          <w:p>
            <w:pPr>
              <w:rPr>
                <w:rFonts w:hint="eastAsia" w:ascii="楷体" w:hAnsi="楷体" w:eastAsia="楷体"/>
                <w:b/>
                <w:bCs/>
                <w:color w:val="auto"/>
              </w:rPr>
            </w:pPr>
            <w:r>
              <w:rPr>
                <w:rFonts w:hint="default" w:ascii="楷体" w:hAnsi="楷体" w:eastAsia="楷体"/>
                <w:b/>
                <w:bCs/>
                <w:color w:val="auto"/>
                <w:lang w:val="en-US" w:eastAsia="zh-CN"/>
              </w:rPr>
              <w:sym w:font="Wingdings 2" w:char="00A3"/>
            </w:r>
            <w:r>
              <w:rPr>
                <w:rFonts w:hint="eastAsia" w:ascii="楷体" w:hAnsi="楷体" w:eastAsia="楷体"/>
                <w:b/>
                <w:bCs/>
                <w:color w:val="auto"/>
                <w:lang w:val="en-US" w:eastAsia="zh-CN"/>
              </w:rPr>
              <w:t xml:space="preserve"> </w:t>
            </w:r>
            <w:r>
              <w:rPr>
                <w:rFonts w:hint="eastAsia" w:ascii="楷体" w:hAnsi="楷体" w:eastAsia="楷体"/>
                <w:b/>
                <w:bCs/>
                <w:color w:val="auto"/>
                <w:highlight w:val="none"/>
                <w:lang w:val="en-US" w:eastAsia="zh-CN"/>
              </w:rPr>
              <w:t>无固定期限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color w:val="FF0000"/>
                <w:highlight w:val="none"/>
                <w:lang w:val="en-US" w:eastAsia="zh-CN"/>
              </w:rPr>
            </w:pPr>
            <w:r>
              <w:rPr>
                <w:rFonts w:hint="eastAsia" w:ascii="楷体" w:hAnsi="楷体" w:eastAsia="楷体"/>
                <w:b/>
                <w:bCs/>
              </w:rPr>
              <w:t>产品认购期</w:t>
            </w:r>
          </w:p>
        </w:tc>
        <w:tc>
          <w:tcPr>
            <w:tcW w:w="6146" w:type="dxa"/>
            <w:vAlign w:val="top"/>
          </w:tcPr>
          <w:p>
            <w:pPr>
              <w:rPr>
                <w:rFonts w:hint="eastAsia" w:ascii="楷体" w:hAnsi="楷体" w:eastAsia="楷体"/>
                <w:b/>
                <w:bCs/>
                <w:color w:val="FF0000"/>
                <w:highlight w:val="none"/>
                <w:lang w:val="en-US" w:eastAsia="zh-CN"/>
              </w:rPr>
            </w:pPr>
            <w:r>
              <w:rPr>
                <w:rFonts w:hint="eastAsia" w:ascii="楷体" w:hAnsi="楷体" w:eastAsia="楷体"/>
                <w:b/>
                <w:bCs/>
                <w:color w:val="auto"/>
                <w:u w:val="single"/>
                <w:lang w:eastAsia="zh-CN"/>
              </w:rPr>
              <w:t>【</w:t>
            </w:r>
            <w:r>
              <w:rPr>
                <w:rFonts w:ascii="楷体" w:hAnsi="楷体" w:eastAsia="楷体"/>
                <w:b/>
                <w:bCs/>
                <w:color w:val="C00000"/>
                <w:u w:val="single"/>
              </w:rPr>
              <w:t>20</w:t>
            </w:r>
            <w:r>
              <w:rPr>
                <w:rFonts w:hint="eastAsia" w:ascii="楷体" w:hAnsi="楷体" w:eastAsia="楷体"/>
                <w:b/>
                <w:bCs/>
                <w:color w:val="C00000"/>
                <w:u w:val="single"/>
                <w:lang w:val="en-US" w:eastAsia="zh-CN"/>
              </w:rPr>
              <w:t>24</w:t>
            </w:r>
            <w:r>
              <w:rPr>
                <w:rFonts w:hint="eastAsia" w:ascii="楷体" w:hAnsi="楷体" w:eastAsia="楷体"/>
                <w:b/>
                <w:bCs/>
                <w:color w:val="auto"/>
                <w:u w:val="single"/>
                <w:lang w:val="en-US" w:eastAsia="zh-CN"/>
              </w:rPr>
              <w:t>】</w:t>
            </w:r>
            <w:r>
              <w:rPr>
                <w:rFonts w:ascii="楷体" w:hAnsi="楷体" w:eastAsia="楷体"/>
                <w:b/>
                <w:bCs/>
                <w:color w:val="auto"/>
                <w:u w:val="single"/>
              </w:rPr>
              <w:t>年</w:t>
            </w:r>
            <w:r>
              <w:rPr>
                <w:rFonts w:hint="eastAsia" w:ascii="楷体" w:hAnsi="楷体" w:eastAsia="楷体"/>
                <w:b/>
                <w:bCs/>
                <w:color w:val="auto"/>
                <w:u w:val="single"/>
                <w:lang w:eastAsia="zh-CN"/>
              </w:rPr>
              <w:t>【</w:t>
            </w:r>
            <w:r>
              <w:rPr>
                <w:rFonts w:hint="eastAsia" w:ascii="楷体" w:hAnsi="楷体" w:eastAsia="楷体"/>
                <w:b/>
                <w:bCs/>
                <w:color w:val="C00000"/>
                <w:u w:val="single"/>
                <w:lang w:val="en-US" w:eastAsia="zh-CN"/>
              </w:rPr>
              <w:t>5</w:t>
            </w:r>
            <w:r>
              <w:rPr>
                <w:rFonts w:hint="eastAsia" w:ascii="楷体" w:hAnsi="楷体" w:eastAsia="楷体"/>
                <w:b/>
                <w:bCs/>
                <w:color w:val="auto"/>
                <w:u w:val="single"/>
                <w:lang w:val="en-US" w:eastAsia="zh-CN"/>
              </w:rPr>
              <w:t>】</w:t>
            </w:r>
            <w:r>
              <w:rPr>
                <w:rFonts w:ascii="楷体" w:hAnsi="楷体" w:eastAsia="楷体"/>
                <w:b/>
                <w:bCs/>
                <w:color w:val="auto"/>
                <w:u w:val="single"/>
              </w:rPr>
              <w:t>月</w:t>
            </w:r>
            <w:r>
              <w:rPr>
                <w:rFonts w:hint="eastAsia" w:ascii="楷体" w:hAnsi="楷体" w:eastAsia="楷体"/>
                <w:b/>
                <w:bCs/>
                <w:color w:val="auto"/>
                <w:u w:val="single"/>
                <w:lang w:eastAsia="zh-CN"/>
              </w:rPr>
              <w:t>【</w:t>
            </w:r>
            <w:r>
              <w:rPr>
                <w:rFonts w:hint="eastAsia" w:ascii="楷体" w:hAnsi="楷体" w:eastAsia="楷体"/>
                <w:b/>
                <w:bCs/>
                <w:color w:val="C00000"/>
                <w:u w:val="single"/>
                <w:lang w:val="en-US" w:eastAsia="zh-CN"/>
              </w:rPr>
              <w:t>21</w:t>
            </w:r>
            <w:r>
              <w:rPr>
                <w:rFonts w:hint="eastAsia" w:ascii="楷体" w:hAnsi="楷体" w:eastAsia="楷体"/>
                <w:b/>
                <w:bCs/>
                <w:color w:val="auto"/>
                <w:u w:val="single"/>
                <w:lang w:val="en-US" w:eastAsia="zh-CN"/>
              </w:rPr>
              <w:t>】</w:t>
            </w:r>
            <w:r>
              <w:rPr>
                <w:rFonts w:hint="eastAsia" w:ascii="楷体" w:hAnsi="楷体" w:eastAsia="楷体"/>
                <w:b/>
                <w:bCs/>
                <w:color w:val="auto"/>
                <w:u w:val="single"/>
              </w:rPr>
              <w:t>日</w:t>
            </w:r>
            <w:r>
              <w:rPr>
                <w:rFonts w:hint="eastAsia" w:ascii="楷体" w:hAnsi="楷体" w:eastAsia="楷体"/>
                <w:b/>
                <w:bCs/>
                <w:color w:val="auto"/>
                <w:u w:val="single"/>
                <w:lang w:eastAsia="zh-CN"/>
              </w:rPr>
              <w:t>【</w:t>
            </w:r>
            <w:r>
              <w:rPr>
                <w:rFonts w:hint="eastAsia" w:ascii="楷体" w:hAnsi="楷体" w:eastAsia="楷体"/>
                <w:b/>
                <w:bCs/>
                <w:color w:val="C00000"/>
                <w:u w:val="single"/>
                <w:lang w:val="en-US" w:eastAsia="zh-CN"/>
              </w:rPr>
              <w:t>8:00</w:t>
            </w:r>
            <w:r>
              <w:rPr>
                <w:rFonts w:hint="eastAsia" w:ascii="楷体" w:hAnsi="楷体" w:eastAsia="楷体"/>
                <w:b/>
                <w:bCs/>
                <w:color w:val="auto"/>
                <w:u w:val="single"/>
                <w:lang w:eastAsia="zh-CN"/>
              </w:rPr>
              <w:t>】</w:t>
            </w:r>
            <w:r>
              <w:rPr>
                <w:rFonts w:hint="eastAsia" w:ascii="楷体" w:hAnsi="楷体" w:eastAsia="楷体"/>
                <w:b/>
                <w:bCs/>
                <w:color w:val="auto"/>
                <w:u w:val="single"/>
              </w:rPr>
              <w:t>至</w:t>
            </w:r>
            <w:r>
              <w:rPr>
                <w:rFonts w:hint="eastAsia" w:ascii="楷体" w:hAnsi="楷体" w:eastAsia="楷体"/>
                <w:b/>
                <w:bCs/>
                <w:color w:val="auto"/>
                <w:u w:val="single"/>
                <w:lang w:eastAsia="zh-CN"/>
              </w:rPr>
              <w:t>【</w:t>
            </w:r>
            <w:r>
              <w:rPr>
                <w:rFonts w:hint="eastAsia" w:ascii="楷体" w:hAnsi="楷体" w:eastAsia="楷体"/>
                <w:b/>
                <w:bCs/>
                <w:color w:val="C00000"/>
                <w:u w:val="single"/>
              </w:rPr>
              <w:t>20</w:t>
            </w:r>
            <w:r>
              <w:rPr>
                <w:rFonts w:hint="eastAsia" w:ascii="楷体" w:hAnsi="楷体" w:eastAsia="楷体"/>
                <w:b/>
                <w:bCs/>
                <w:color w:val="C00000"/>
                <w:u w:val="single"/>
                <w:lang w:val="en-US" w:eastAsia="zh-CN"/>
              </w:rPr>
              <w:t>24</w:t>
            </w:r>
            <w:r>
              <w:rPr>
                <w:rFonts w:hint="eastAsia" w:ascii="楷体" w:hAnsi="楷体" w:eastAsia="楷体"/>
                <w:b/>
                <w:bCs/>
                <w:color w:val="auto"/>
                <w:u w:val="single"/>
                <w:lang w:val="en-US" w:eastAsia="zh-CN"/>
              </w:rPr>
              <w:t>】</w:t>
            </w:r>
            <w:r>
              <w:rPr>
                <w:rFonts w:hint="eastAsia" w:ascii="楷体" w:hAnsi="楷体" w:eastAsia="楷体"/>
                <w:b/>
                <w:bCs/>
                <w:color w:val="auto"/>
                <w:u w:val="single"/>
              </w:rPr>
              <w:t>年</w:t>
            </w:r>
            <w:r>
              <w:rPr>
                <w:rFonts w:hint="eastAsia" w:ascii="楷体" w:hAnsi="楷体" w:eastAsia="楷体"/>
                <w:b/>
                <w:bCs/>
                <w:color w:val="auto"/>
                <w:u w:val="single"/>
                <w:lang w:eastAsia="zh-CN"/>
              </w:rPr>
              <w:t>【</w:t>
            </w:r>
            <w:r>
              <w:rPr>
                <w:rFonts w:hint="eastAsia" w:ascii="楷体" w:hAnsi="楷体" w:eastAsia="楷体"/>
                <w:b/>
                <w:bCs/>
                <w:color w:val="C00000"/>
                <w:u w:val="single"/>
                <w:lang w:val="en-US" w:eastAsia="zh-CN"/>
              </w:rPr>
              <w:t>5</w:t>
            </w:r>
            <w:r>
              <w:rPr>
                <w:rFonts w:hint="eastAsia" w:ascii="楷体" w:hAnsi="楷体" w:eastAsia="楷体"/>
                <w:b/>
                <w:bCs/>
                <w:color w:val="auto"/>
                <w:u w:val="single"/>
                <w:lang w:val="en-US" w:eastAsia="zh-CN"/>
              </w:rPr>
              <w:t>】</w:t>
            </w:r>
            <w:r>
              <w:rPr>
                <w:rFonts w:hint="eastAsia" w:ascii="楷体" w:hAnsi="楷体" w:eastAsia="楷体"/>
                <w:b/>
                <w:bCs/>
                <w:color w:val="auto"/>
                <w:u w:val="single"/>
              </w:rPr>
              <w:t>月</w:t>
            </w:r>
            <w:r>
              <w:rPr>
                <w:rFonts w:hint="eastAsia" w:ascii="楷体" w:hAnsi="楷体" w:eastAsia="楷体"/>
                <w:b/>
                <w:bCs/>
                <w:color w:val="auto"/>
                <w:u w:val="single"/>
                <w:lang w:eastAsia="zh-CN"/>
              </w:rPr>
              <w:t>【</w:t>
            </w:r>
            <w:r>
              <w:rPr>
                <w:rFonts w:hint="eastAsia" w:ascii="楷体" w:hAnsi="楷体" w:eastAsia="楷体"/>
                <w:b/>
                <w:bCs/>
                <w:color w:val="C00000"/>
                <w:u w:val="single"/>
                <w:lang w:val="en-US" w:eastAsia="zh-CN"/>
              </w:rPr>
              <w:t>21</w:t>
            </w:r>
            <w:r>
              <w:rPr>
                <w:rFonts w:hint="eastAsia" w:ascii="楷体" w:hAnsi="楷体" w:eastAsia="楷体"/>
                <w:b/>
                <w:bCs/>
                <w:color w:val="auto"/>
                <w:u w:val="single"/>
                <w:lang w:val="en-US" w:eastAsia="zh-CN"/>
              </w:rPr>
              <w:t>】</w:t>
            </w:r>
            <w:r>
              <w:rPr>
                <w:rFonts w:hint="eastAsia" w:ascii="楷体" w:hAnsi="楷体" w:eastAsia="楷体"/>
                <w:b/>
                <w:bCs/>
                <w:color w:val="auto"/>
                <w:u w:val="single"/>
              </w:rPr>
              <w:t>日</w:t>
            </w:r>
            <w:r>
              <w:rPr>
                <w:rFonts w:hint="eastAsia" w:ascii="楷体" w:hAnsi="楷体" w:eastAsia="楷体"/>
                <w:b/>
                <w:bCs/>
                <w:color w:val="auto"/>
                <w:u w:val="single"/>
                <w:lang w:eastAsia="zh-CN"/>
              </w:rPr>
              <w:t>【</w:t>
            </w:r>
            <w:r>
              <w:rPr>
                <w:rFonts w:hint="eastAsia" w:ascii="楷体" w:hAnsi="楷体" w:eastAsia="楷体"/>
                <w:b/>
                <w:bCs/>
                <w:color w:val="C00000"/>
                <w:u w:val="single"/>
                <w:lang w:val="en-US" w:eastAsia="zh-CN"/>
              </w:rPr>
              <w:t>16:00</w:t>
            </w:r>
            <w:r>
              <w:rPr>
                <w:rFonts w:hint="eastAsia" w:ascii="楷体" w:hAnsi="楷体" w:eastAsia="楷体"/>
                <w:b/>
                <w:bCs/>
                <w:color w:val="auto"/>
                <w:u w:val="single"/>
                <w:lang w:eastAsia="zh-CN"/>
              </w:rPr>
              <w:t>】。</w:t>
            </w:r>
            <w:r>
              <w:rPr>
                <w:rFonts w:hint="eastAsia" w:ascii="楷体" w:hAnsi="楷体" w:eastAsia="楷体"/>
                <w:b/>
                <w:bCs/>
              </w:rPr>
              <w:t>销售机构实际受理时间可能与</w:t>
            </w:r>
            <w:r>
              <w:rPr>
                <w:rFonts w:hint="eastAsia" w:ascii="楷体" w:hAnsi="楷体" w:eastAsia="楷体"/>
                <w:b/>
                <w:bCs/>
                <w:lang w:eastAsia="zh-CN"/>
              </w:rPr>
              <w:t>《</w:t>
            </w:r>
            <w:r>
              <w:rPr>
                <w:rFonts w:hint="eastAsia" w:ascii="楷体" w:hAnsi="楷体" w:eastAsia="楷体"/>
                <w:b/>
                <w:bCs/>
              </w:rPr>
              <w:t>产品说明书</w:t>
            </w:r>
            <w:r>
              <w:rPr>
                <w:rFonts w:hint="eastAsia" w:ascii="楷体" w:hAnsi="楷体" w:eastAsia="楷体"/>
                <w:b/>
                <w:bCs/>
                <w:lang w:eastAsia="zh-CN"/>
              </w:rPr>
              <w:t>》</w:t>
            </w:r>
            <w:r>
              <w:rPr>
                <w:rFonts w:hint="eastAsia" w:ascii="楷体" w:hAnsi="楷体" w:eastAsia="楷体"/>
                <w:b/>
                <w:bCs/>
              </w:rPr>
              <w:t>不一致，具体以销售机构通知为准。管理人可在认购期内公告延长或提前终止产品认购期，实际认购期以管理人公告为准。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lang w:val="en-US" w:eastAsia="zh-CN"/>
              </w:rPr>
            </w:pPr>
            <w:r>
              <w:rPr>
                <w:rFonts w:hint="eastAsia" w:ascii="楷体" w:hAnsi="楷体" w:eastAsia="楷体"/>
                <w:b/>
                <w:bCs/>
              </w:rPr>
              <w:t>产品成立日</w:t>
            </w:r>
          </w:p>
        </w:tc>
        <w:tc>
          <w:tcPr>
            <w:tcW w:w="6146" w:type="dxa"/>
            <w:vAlign w:val="top"/>
          </w:tcPr>
          <w:p>
            <w:pPr>
              <w:rPr>
                <w:rFonts w:ascii="楷体" w:hAnsi="楷体" w:eastAsia="楷体"/>
                <w:b/>
                <w:bCs/>
                <w:color w:val="auto"/>
                <w:u w:val="single"/>
              </w:rPr>
            </w:pPr>
            <w:r>
              <w:rPr>
                <w:rFonts w:hint="eastAsia" w:ascii="楷体" w:hAnsi="楷体" w:eastAsia="楷体"/>
                <w:b/>
                <w:bCs/>
                <w:color w:val="auto"/>
                <w:u w:val="single"/>
                <w:lang w:eastAsia="zh-CN"/>
              </w:rPr>
              <w:t>【</w:t>
            </w:r>
            <w:r>
              <w:rPr>
                <w:rFonts w:ascii="楷体" w:hAnsi="楷体" w:eastAsia="楷体"/>
                <w:b/>
                <w:bCs/>
                <w:color w:val="C00000"/>
                <w:u w:val="single"/>
              </w:rPr>
              <w:t>20</w:t>
            </w:r>
            <w:r>
              <w:rPr>
                <w:rFonts w:hint="eastAsia" w:ascii="楷体" w:hAnsi="楷体" w:eastAsia="楷体"/>
                <w:b/>
                <w:bCs/>
                <w:color w:val="C00000"/>
                <w:u w:val="single"/>
                <w:lang w:val="en-US" w:eastAsia="zh-CN"/>
              </w:rPr>
              <w:t>24</w:t>
            </w:r>
            <w:r>
              <w:rPr>
                <w:rFonts w:hint="eastAsia" w:ascii="楷体" w:hAnsi="楷体" w:eastAsia="楷体"/>
                <w:b/>
                <w:bCs/>
                <w:color w:val="auto"/>
                <w:u w:val="single"/>
                <w:lang w:val="en-US" w:eastAsia="zh-CN"/>
              </w:rPr>
              <w:t>】</w:t>
            </w:r>
            <w:r>
              <w:rPr>
                <w:rFonts w:ascii="楷体" w:hAnsi="楷体" w:eastAsia="楷体"/>
                <w:b/>
                <w:bCs/>
                <w:color w:val="auto"/>
                <w:u w:val="single"/>
              </w:rPr>
              <w:t>年</w:t>
            </w:r>
            <w:r>
              <w:rPr>
                <w:rFonts w:hint="eastAsia" w:ascii="楷体" w:hAnsi="楷体" w:eastAsia="楷体"/>
                <w:b/>
                <w:bCs/>
                <w:color w:val="auto"/>
                <w:u w:val="single"/>
                <w:lang w:eastAsia="zh-CN"/>
              </w:rPr>
              <w:t>【</w:t>
            </w:r>
            <w:r>
              <w:rPr>
                <w:rFonts w:hint="eastAsia" w:ascii="楷体" w:hAnsi="楷体" w:eastAsia="楷体"/>
                <w:b/>
                <w:bCs/>
                <w:color w:val="C00000"/>
                <w:u w:val="single"/>
                <w:lang w:val="en-US" w:eastAsia="zh-CN"/>
              </w:rPr>
              <w:t>5</w:t>
            </w:r>
            <w:r>
              <w:rPr>
                <w:rFonts w:hint="eastAsia" w:ascii="楷体" w:hAnsi="楷体" w:eastAsia="楷体"/>
                <w:b/>
                <w:bCs/>
                <w:color w:val="auto"/>
                <w:u w:val="single"/>
                <w:lang w:val="en-US" w:eastAsia="zh-CN"/>
              </w:rPr>
              <w:t>】</w:t>
            </w:r>
            <w:r>
              <w:rPr>
                <w:rFonts w:ascii="楷体" w:hAnsi="楷体" w:eastAsia="楷体"/>
                <w:b/>
                <w:bCs/>
                <w:color w:val="auto"/>
                <w:u w:val="single"/>
              </w:rPr>
              <w:t>月</w:t>
            </w:r>
            <w:r>
              <w:rPr>
                <w:rFonts w:hint="eastAsia" w:ascii="楷体" w:hAnsi="楷体" w:eastAsia="楷体"/>
                <w:b/>
                <w:bCs/>
                <w:color w:val="auto"/>
                <w:u w:val="single"/>
                <w:lang w:eastAsia="zh-CN"/>
              </w:rPr>
              <w:t>【</w:t>
            </w:r>
            <w:r>
              <w:rPr>
                <w:rFonts w:hint="eastAsia" w:ascii="楷体" w:hAnsi="楷体" w:eastAsia="楷体"/>
                <w:b/>
                <w:bCs/>
                <w:color w:val="C00000"/>
                <w:u w:val="single"/>
                <w:lang w:val="en-US" w:eastAsia="zh-CN"/>
              </w:rPr>
              <w:t>22</w:t>
            </w:r>
            <w:r>
              <w:rPr>
                <w:rFonts w:hint="eastAsia" w:ascii="楷体" w:hAnsi="楷体" w:eastAsia="楷体"/>
                <w:b/>
                <w:bCs/>
                <w:color w:val="auto"/>
                <w:u w:val="single"/>
                <w:lang w:val="en-US" w:eastAsia="zh-CN"/>
              </w:rPr>
              <w:t>】</w:t>
            </w:r>
            <w:r>
              <w:rPr>
                <w:rFonts w:ascii="楷体" w:hAnsi="楷体" w:eastAsia="楷体"/>
                <w:b/>
                <w:bCs/>
                <w:color w:val="auto"/>
                <w:u w:val="single"/>
              </w:rPr>
              <w:t>日</w:t>
            </w:r>
          </w:p>
          <w:p>
            <w:pPr>
              <w:rPr>
                <w:rFonts w:ascii="楷体" w:hAnsi="楷体" w:eastAsia="楷体"/>
                <w:b/>
                <w:bCs/>
                <w:color w:val="C00000"/>
                <w:u w:val="none"/>
              </w:rPr>
            </w:pPr>
            <w:r>
              <w:rPr>
                <w:rFonts w:hint="eastAsia" w:ascii="楷体" w:hAnsi="楷体" w:eastAsia="楷体"/>
                <w:b/>
                <w:bCs/>
                <w:color w:val="auto"/>
                <w:u w:val="none"/>
                <w:lang w:eastAsia="zh-CN"/>
              </w:rPr>
              <w:t>（</w:t>
            </w:r>
            <w:r>
              <w:rPr>
                <w:rFonts w:hint="eastAsia" w:ascii="楷体" w:hAnsi="楷体" w:eastAsia="楷体"/>
                <w:b/>
                <w:bCs/>
              </w:rPr>
              <w:t>如遇非</w:t>
            </w:r>
            <w:r>
              <w:rPr>
                <w:rFonts w:hint="eastAsia" w:ascii="楷体" w:hAnsi="楷体" w:eastAsia="楷体"/>
                <w:b/>
                <w:bCs/>
                <w:lang w:eastAsia="zh-CN"/>
              </w:rPr>
              <w:t>【</w:t>
            </w:r>
            <w:r>
              <w:rPr>
                <w:rFonts w:hint="eastAsia" w:ascii="楷体" w:hAnsi="楷体" w:eastAsia="楷体"/>
                <w:b/>
                <w:bCs/>
                <w:color w:val="C00000"/>
                <w:lang w:val="en-US" w:eastAsia="zh-CN"/>
              </w:rPr>
              <w:t>交易</w:t>
            </w:r>
            <w:r>
              <w:rPr>
                <w:rFonts w:hint="eastAsia" w:ascii="楷体" w:hAnsi="楷体" w:eastAsia="楷体"/>
                <w:b/>
                <w:bCs/>
                <w:color w:val="C00000"/>
              </w:rPr>
              <w:t>日</w:t>
            </w:r>
            <w:r>
              <w:rPr>
                <w:rFonts w:hint="eastAsia" w:ascii="楷体" w:hAnsi="楷体" w:eastAsia="楷体"/>
                <w:b/>
                <w:bCs/>
                <w:lang w:eastAsia="zh-CN"/>
              </w:rPr>
              <w:t>】</w:t>
            </w:r>
            <w:r>
              <w:rPr>
                <w:rFonts w:hint="eastAsia" w:ascii="楷体" w:hAnsi="楷体" w:eastAsia="楷体"/>
                <w:b/>
                <w:bCs/>
              </w:rPr>
              <w:t>顺延至下一个</w:t>
            </w:r>
            <w:r>
              <w:rPr>
                <w:rFonts w:hint="eastAsia" w:ascii="楷体" w:hAnsi="楷体" w:eastAsia="楷体"/>
                <w:b/>
                <w:bCs/>
                <w:lang w:eastAsia="zh-CN"/>
              </w:rPr>
              <w:t>【</w:t>
            </w:r>
            <w:r>
              <w:rPr>
                <w:rFonts w:hint="eastAsia" w:ascii="楷体" w:hAnsi="楷体" w:eastAsia="楷体"/>
                <w:b/>
                <w:bCs/>
                <w:color w:val="C00000"/>
                <w:lang w:val="en-US" w:eastAsia="zh-CN"/>
              </w:rPr>
              <w:t>交易</w:t>
            </w:r>
            <w:r>
              <w:rPr>
                <w:rFonts w:hint="eastAsia" w:ascii="楷体" w:hAnsi="楷体" w:eastAsia="楷体"/>
                <w:b/>
                <w:bCs/>
                <w:color w:val="C00000"/>
              </w:rPr>
              <w:t>日</w:t>
            </w:r>
            <w:r>
              <w:rPr>
                <w:rFonts w:hint="eastAsia" w:ascii="楷体" w:hAnsi="楷体" w:eastAsia="楷体"/>
                <w:b/>
                <w:bCs/>
                <w:lang w:eastAsia="zh-CN"/>
              </w:rPr>
              <w:t>】</w:t>
            </w:r>
            <w:r>
              <w:rPr>
                <w:rFonts w:hint="eastAsia" w:ascii="楷体" w:hAnsi="楷体" w:eastAsia="楷体"/>
                <w:b/>
                <w:bCs/>
                <w:color w:val="auto"/>
                <w:u w:val="none"/>
                <w:lang w:eastAsia="zh-CN"/>
              </w:rPr>
              <w:t>）</w:t>
            </w:r>
            <w:r>
              <w:rPr>
                <w:rFonts w:ascii="楷体" w:hAnsi="楷体" w:eastAsia="楷体"/>
                <w:b/>
                <w:bCs/>
                <w:color w:val="auto"/>
                <w:u w:val="none"/>
              </w:rPr>
              <w:t>。</w:t>
            </w:r>
          </w:p>
          <w:p>
            <w:pPr>
              <w:rPr>
                <w:rFonts w:hint="eastAsia" w:ascii="楷体" w:hAnsi="楷体" w:eastAsia="楷体"/>
                <w:b/>
                <w:bCs/>
                <w:color w:val="auto"/>
                <w:u w:val="none"/>
                <w:lang w:val="en-US" w:eastAsia="zh-CN"/>
              </w:rPr>
            </w:pPr>
            <w:r>
              <w:rPr>
                <w:rFonts w:hint="eastAsia" w:ascii="楷体" w:hAnsi="楷体" w:eastAsia="楷体"/>
                <w:b/>
                <w:bCs/>
                <w:color w:val="auto"/>
                <w:u w:val="none"/>
              </w:rPr>
              <w:t>产品管理人有权根据实际募集情况提前或延后产品成立日期，并相应调整其他产品要素，将依约定进行公告。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rPr>
              <w:t>产品</w:t>
            </w:r>
            <w:r>
              <w:rPr>
                <w:rFonts w:ascii="楷体" w:hAnsi="楷体" w:eastAsia="楷体"/>
                <w:b/>
                <w:bCs/>
              </w:rPr>
              <w:t>预计到期日</w:t>
            </w:r>
          </w:p>
        </w:tc>
        <w:tc>
          <w:tcPr>
            <w:tcW w:w="6146" w:type="dxa"/>
            <w:vAlign w:val="top"/>
          </w:tcPr>
          <w:p>
            <w:pPr>
              <w:rPr>
                <w:rFonts w:hint="eastAsia" w:ascii="楷体" w:hAnsi="楷体" w:eastAsia="楷体"/>
                <w:b/>
                <w:bCs/>
                <w:color w:val="auto"/>
                <w:u w:val="none"/>
              </w:rPr>
            </w:pPr>
            <w:r>
              <w:rPr>
                <w:rFonts w:hint="eastAsia" w:ascii="楷体" w:hAnsi="楷体" w:eastAsia="楷体"/>
                <w:b/>
                <w:bCs/>
                <w:color w:val="auto"/>
                <w:u w:val="single"/>
                <w:lang w:eastAsia="zh-CN"/>
              </w:rPr>
              <w:t>【</w:t>
            </w:r>
            <w:r>
              <w:rPr>
                <w:rFonts w:ascii="楷体" w:hAnsi="楷体" w:eastAsia="楷体"/>
                <w:b/>
                <w:bCs/>
                <w:color w:val="C00000"/>
                <w:u w:val="single"/>
              </w:rPr>
              <w:t>20</w:t>
            </w:r>
            <w:r>
              <w:rPr>
                <w:rFonts w:hint="eastAsia" w:ascii="楷体" w:hAnsi="楷体" w:eastAsia="楷体"/>
                <w:b/>
                <w:bCs/>
                <w:color w:val="C00000"/>
                <w:u w:val="single"/>
                <w:lang w:val="en-US" w:eastAsia="zh-CN"/>
              </w:rPr>
              <w:t>34</w:t>
            </w:r>
            <w:r>
              <w:rPr>
                <w:rFonts w:hint="eastAsia" w:ascii="楷体" w:hAnsi="楷体" w:eastAsia="楷体"/>
                <w:b/>
                <w:bCs/>
                <w:color w:val="auto"/>
                <w:u w:val="single"/>
                <w:lang w:val="en-US" w:eastAsia="zh-CN"/>
              </w:rPr>
              <w:t>】</w:t>
            </w:r>
            <w:r>
              <w:rPr>
                <w:rFonts w:hint="eastAsia" w:ascii="楷体" w:hAnsi="楷体" w:eastAsia="楷体"/>
                <w:b/>
                <w:bCs/>
                <w:color w:val="auto"/>
                <w:u w:val="single"/>
              </w:rPr>
              <w:t>年</w:t>
            </w:r>
            <w:r>
              <w:rPr>
                <w:rFonts w:hint="eastAsia" w:ascii="楷体" w:hAnsi="楷体" w:eastAsia="楷体"/>
                <w:b/>
                <w:bCs/>
                <w:color w:val="auto"/>
                <w:u w:val="single"/>
                <w:lang w:eastAsia="zh-CN"/>
              </w:rPr>
              <w:t>【</w:t>
            </w:r>
            <w:r>
              <w:rPr>
                <w:rFonts w:hint="eastAsia" w:ascii="楷体" w:hAnsi="楷体" w:eastAsia="楷体"/>
                <w:b/>
                <w:bCs/>
                <w:color w:val="C00000"/>
                <w:u w:val="single"/>
                <w:lang w:val="en-US" w:eastAsia="zh-CN"/>
              </w:rPr>
              <w:t>5</w:t>
            </w:r>
            <w:r>
              <w:rPr>
                <w:rFonts w:hint="eastAsia" w:ascii="楷体" w:hAnsi="楷体" w:eastAsia="楷体"/>
                <w:b/>
                <w:bCs/>
                <w:color w:val="auto"/>
                <w:u w:val="single"/>
                <w:lang w:val="en-US" w:eastAsia="zh-CN"/>
              </w:rPr>
              <w:t>】</w:t>
            </w:r>
            <w:r>
              <w:rPr>
                <w:rFonts w:hint="eastAsia" w:ascii="楷体" w:hAnsi="楷体" w:eastAsia="楷体"/>
                <w:b/>
                <w:bCs/>
                <w:color w:val="auto"/>
                <w:u w:val="single"/>
              </w:rPr>
              <w:t>月</w:t>
            </w:r>
            <w:r>
              <w:rPr>
                <w:rFonts w:hint="eastAsia" w:ascii="楷体" w:hAnsi="楷体" w:eastAsia="楷体"/>
                <w:b/>
                <w:bCs/>
                <w:color w:val="auto"/>
                <w:u w:val="single"/>
                <w:lang w:eastAsia="zh-CN"/>
              </w:rPr>
              <w:t>【</w:t>
            </w:r>
            <w:r>
              <w:rPr>
                <w:rFonts w:hint="eastAsia" w:ascii="楷体" w:hAnsi="楷体" w:eastAsia="楷体"/>
                <w:b/>
                <w:bCs/>
                <w:color w:val="C00000"/>
                <w:u w:val="single"/>
                <w:lang w:val="en-US" w:eastAsia="zh-CN"/>
              </w:rPr>
              <w:t>22</w:t>
            </w:r>
            <w:r>
              <w:rPr>
                <w:rFonts w:hint="eastAsia" w:ascii="楷体" w:hAnsi="楷体" w:eastAsia="楷体"/>
                <w:b/>
                <w:bCs/>
                <w:color w:val="auto"/>
                <w:u w:val="single"/>
                <w:lang w:val="en-US" w:eastAsia="zh-CN"/>
              </w:rPr>
              <w:t>】</w:t>
            </w:r>
            <w:r>
              <w:rPr>
                <w:rFonts w:hint="eastAsia" w:ascii="楷体" w:hAnsi="楷体" w:eastAsia="楷体"/>
                <w:b/>
                <w:bCs/>
                <w:color w:val="auto"/>
                <w:u w:val="single"/>
              </w:rPr>
              <w:t>日</w:t>
            </w:r>
            <w:r>
              <w:rPr>
                <w:rFonts w:ascii="楷体" w:hAnsi="楷体" w:eastAsia="楷体"/>
                <w:b/>
                <w:bCs/>
              </w:rPr>
              <w:t>(</w:t>
            </w:r>
            <w:r>
              <w:rPr>
                <w:rFonts w:hint="eastAsia" w:ascii="楷体" w:hAnsi="楷体" w:eastAsia="楷体"/>
                <w:b/>
                <w:bCs/>
              </w:rPr>
              <w:t>如遇非</w:t>
            </w:r>
            <w:r>
              <w:rPr>
                <w:rFonts w:hint="eastAsia" w:ascii="楷体" w:hAnsi="楷体" w:eastAsia="楷体"/>
                <w:b/>
                <w:bCs/>
                <w:lang w:eastAsia="zh-CN"/>
              </w:rPr>
              <w:t>【</w:t>
            </w:r>
            <w:r>
              <w:rPr>
                <w:rFonts w:hint="eastAsia" w:ascii="楷体" w:hAnsi="楷体" w:eastAsia="楷体"/>
                <w:b/>
                <w:bCs/>
                <w:color w:val="C00000"/>
                <w:lang w:val="en-US" w:eastAsia="zh-CN"/>
              </w:rPr>
              <w:t>交易日</w:t>
            </w:r>
            <w:r>
              <w:rPr>
                <w:rFonts w:hint="eastAsia" w:ascii="楷体" w:hAnsi="楷体" w:eastAsia="楷体"/>
                <w:b/>
                <w:bCs/>
                <w:lang w:val="en-US" w:eastAsia="zh-CN"/>
              </w:rPr>
              <w:t>】</w:t>
            </w:r>
            <w:r>
              <w:rPr>
                <w:rFonts w:hint="eastAsia" w:ascii="楷体" w:hAnsi="楷体" w:eastAsia="楷体"/>
                <w:b/>
                <w:bCs/>
              </w:rPr>
              <w:t>顺延至下一个</w:t>
            </w:r>
            <w:r>
              <w:rPr>
                <w:rFonts w:hint="eastAsia" w:ascii="楷体" w:hAnsi="楷体" w:eastAsia="楷体"/>
                <w:b/>
                <w:bCs/>
                <w:lang w:eastAsia="zh-CN"/>
              </w:rPr>
              <w:t>【</w:t>
            </w:r>
            <w:r>
              <w:rPr>
                <w:rFonts w:hint="eastAsia" w:ascii="楷体" w:hAnsi="楷体" w:eastAsia="楷体"/>
                <w:b/>
                <w:bCs/>
                <w:color w:val="C00000"/>
                <w:lang w:val="en-US" w:eastAsia="zh-CN"/>
              </w:rPr>
              <w:t>交易</w:t>
            </w:r>
            <w:r>
              <w:rPr>
                <w:rFonts w:hint="eastAsia" w:ascii="楷体" w:hAnsi="楷体" w:eastAsia="楷体"/>
                <w:b/>
                <w:bCs/>
                <w:color w:val="C00000"/>
              </w:rPr>
              <w:t>日</w:t>
            </w:r>
            <w:r>
              <w:rPr>
                <w:rFonts w:hint="eastAsia" w:ascii="楷体" w:hAnsi="楷体" w:eastAsia="楷体"/>
                <w:b/>
                <w:bCs/>
                <w:lang w:eastAsia="zh-CN"/>
              </w:rPr>
              <w:t>】</w:t>
            </w:r>
            <w:r>
              <w:rPr>
                <w:rFonts w:ascii="楷体" w:hAnsi="楷体" w:eastAsia="楷体"/>
                <w:b/>
                <w:bCs/>
              </w:rPr>
              <w:t>)</w:t>
            </w:r>
            <w:r>
              <w:rPr>
                <w:rFonts w:hint="eastAsia" w:ascii="楷体" w:hAnsi="楷体" w:eastAsia="楷体"/>
                <w:b/>
                <w:bCs/>
              </w:rPr>
              <w:t>。在</w:t>
            </w:r>
            <w:r>
              <w:rPr>
                <w:rFonts w:ascii="楷体" w:hAnsi="楷体" w:eastAsia="楷体"/>
                <w:b/>
                <w:bCs/>
              </w:rPr>
              <w:t>理财产品</w:t>
            </w:r>
            <w:r>
              <w:rPr>
                <w:rFonts w:hint="eastAsia" w:ascii="楷体" w:hAnsi="楷体" w:eastAsia="楷体"/>
                <w:b/>
                <w:bCs/>
              </w:rPr>
              <w:t>存续期内，管理人有权根据本</w:t>
            </w:r>
            <w:r>
              <w:rPr>
                <w:rFonts w:hint="eastAsia" w:ascii="楷体" w:hAnsi="楷体" w:eastAsia="楷体"/>
                <w:b/>
                <w:bCs/>
                <w:lang w:eastAsia="zh-CN"/>
              </w:rPr>
              <w:t>《</w:t>
            </w:r>
            <w:r>
              <w:rPr>
                <w:rFonts w:hint="eastAsia" w:ascii="楷体" w:hAnsi="楷体" w:eastAsia="楷体"/>
                <w:b/>
                <w:bCs/>
              </w:rPr>
              <w:t>产品说明书</w:t>
            </w:r>
            <w:r>
              <w:rPr>
                <w:rFonts w:hint="eastAsia" w:ascii="楷体" w:hAnsi="楷体" w:eastAsia="楷体"/>
                <w:b/>
                <w:bCs/>
                <w:lang w:eastAsia="zh-CN"/>
              </w:rPr>
              <w:t>》</w:t>
            </w:r>
            <w:r>
              <w:rPr>
                <w:rFonts w:hint="eastAsia" w:ascii="楷体" w:hAnsi="楷体" w:eastAsia="楷体"/>
                <w:b/>
                <w:bCs/>
              </w:rPr>
              <w:t>约定事由宣布提前或延期终止本</w:t>
            </w:r>
            <w:r>
              <w:rPr>
                <w:rFonts w:ascii="楷体" w:hAnsi="楷体" w:eastAsia="楷体"/>
                <w:b/>
                <w:bCs/>
              </w:rPr>
              <w:t>理财产品</w:t>
            </w:r>
            <w:r>
              <w:rPr>
                <w:rFonts w:hint="eastAsia" w:ascii="楷体" w:hAnsi="楷体" w:eastAsia="楷体"/>
                <w:b/>
                <w:bCs/>
              </w:rPr>
              <w:t>。如管理人提前终止或延长</w:t>
            </w:r>
            <w:r>
              <w:rPr>
                <w:rFonts w:ascii="楷体" w:hAnsi="楷体" w:eastAsia="楷体"/>
                <w:b/>
                <w:bCs/>
              </w:rPr>
              <w:t>理财产品</w:t>
            </w:r>
            <w:r>
              <w:rPr>
                <w:rFonts w:hint="eastAsia" w:ascii="楷体" w:hAnsi="楷体" w:eastAsia="楷体"/>
                <w:b/>
                <w:bCs/>
              </w:rPr>
              <w:t>期限，将</w:t>
            </w:r>
            <w:r>
              <w:rPr>
                <w:rFonts w:hint="eastAsia" w:ascii="楷体" w:hAnsi="楷体" w:eastAsia="楷体"/>
                <w:b/>
                <w:bCs/>
                <w:color w:val="auto"/>
              </w:rPr>
              <w:t>提前</w:t>
            </w:r>
            <w:r>
              <w:rPr>
                <w:rFonts w:ascii="楷体" w:hAnsi="楷体" w:eastAsia="楷体"/>
                <w:b/>
                <w:bCs/>
                <w:color w:val="auto"/>
              </w:rPr>
              <w:t>2</w:t>
            </w:r>
            <w:r>
              <w:rPr>
                <w:rFonts w:hint="eastAsia" w:ascii="楷体" w:hAnsi="楷体" w:eastAsia="楷体"/>
                <w:b/>
                <w:bCs/>
                <w:color w:val="auto"/>
              </w:rPr>
              <w:t>个工作日</w:t>
            </w:r>
            <w:r>
              <w:rPr>
                <w:rFonts w:hint="eastAsia" w:ascii="楷体" w:hAnsi="楷体" w:eastAsia="楷体"/>
                <w:b/>
                <w:bCs/>
              </w:rPr>
              <w:t>按</w:t>
            </w:r>
            <w:r>
              <w:rPr>
                <w:rFonts w:hint="eastAsia" w:ascii="楷体" w:hAnsi="楷体" w:eastAsia="楷体"/>
                <w:b/>
                <w:bCs/>
                <w:lang w:eastAsia="zh-CN"/>
              </w:rPr>
              <w:t>《</w:t>
            </w:r>
            <w:r>
              <w:rPr>
                <w:rFonts w:hint="eastAsia" w:ascii="楷体" w:hAnsi="楷体" w:eastAsia="楷体"/>
                <w:b/>
                <w:bCs/>
                <w:lang w:val="en-US" w:eastAsia="zh-CN"/>
              </w:rPr>
              <w:t>产品说明书</w:t>
            </w:r>
            <w:r>
              <w:rPr>
                <w:rFonts w:hint="eastAsia" w:ascii="楷体" w:hAnsi="楷体" w:eastAsia="楷体"/>
                <w:b/>
                <w:bCs/>
                <w:lang w:eastAsia="zh-CN"/>
              </w:rPr>
              <w:t>》</w:t>
            </w:r>
            <w:r>
              <w:rPr>
                <w:rFonts w:ascii="楷体" w:hAnsi="楷体" w:eastAsia="楷体"/>
                <w:b/>
                <w:bCs/>
              </w:rPr>
              <w:t>“</w:t>
            </w:r>
            <w:r>
              <w:rPr>
                <w:rFonts w:hint="eastAsia" w:ascii="楷体" w:hAnsi="楷体" w:eastAsia="楷体"/>
                <w:b/>
                <w:bCs/>
              </w:rPr>
              <w:t>信息披露</w:t>
            </w:r>
            <w:r>
              <w:rPr>
                <w:rFonts w:ascii="楷体" w:hAnsi="楷体" w:eastAsia="楷体"/>
                <w:b/>
                <w:bCs/>
              </w:rPr>
              <w:t>”</w:t>
            </w:r>
            <w:r>
              <w:rPr>
                <w:rFonts w:hint="eastAsia" w:ascii="楷体" w:hAnsi="楷体" w:eastAsia="楷体"/>
                <w:b/>
                <w:bCs/>
              </w:rPr>
              <w:t>约定的方式向投资者披露。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rPr>
              <w:t>产品实际</w:t>
            </w:r>
            <w:r>
              <w:rPr>
                <w:rFonts w:ascii="楷体" w:hAnsi="楷体" w:eastAsia="楷体"/>
                <w:b/>
                <w:bCs/>
              </w:rPr>
              <w:t>到期日</w:t>
            </w:r>
          </w:p>
        </w:tc>
        <w:tc>
          <w:tcPr>
            <w:tcW w:w="6146" w:type="dxa"/>
            <w:vAlign w:val="top"/>
          </w:tcPr>
          <w:p>
            <w:pPr>
              <w:rPr>
                <w:rFonts w:hint="eastAsia" w:ascii="楷体" w:hAnsi="楷体" w:eastAsia="楷体"/>
                <w:b/>
                <w:bCs/>
                <w:color w:val="auto"/>
                <w:u w:val="single"/>
                <w:lang w:eastAsia="zh-CN"/>
              </w:rPr>
            </w:pPr>
            <w:r>
              <w:rPr>
                <w:rFonts w:hint="eastAsia" w:ascii="楷体" w:hAnsi="楷体" w:eastAsia="楷体"/>
                <w:b/>
                <w:bCs/>
              </w:rPr>
              <w:t>指理财产品实际</w:t>
            </w:r>
            <w:r>
              <w:rPr>
                <w:rFonts w:ascii="楷体" w:hAnsi="楷体" w:eastAsia="楷体"/>
                <w:b/>
                <w:bCs/>
              </w:rPr>
              <w:t>终止之日，包括理财</w:t>
            </w:r>
            <w:r>
              <w:rPr>
                <w:rFonts w:hint="eastAsia" w:ascii="楷体" w:hAnsi="楷体" w:eastAsia="楷体"/>
                <w:b/>
                <w:bCs/>
              </w:rPr>
              <w:t>产品预计到期日，或管理人根据本《产品说明书》约定宣布本理财产品</w:t>
            </w:r>
            <w:r>
              <w:rPr>
                <w:rFonts w:ascii="楷体" w:hAnsi="楷体" w:eastAsia="楷体"/>
                <w:b/>
                <w:bCs/>
              </w:rPr>
              <w:t>早于理财</w:t>
            </w:r>
            <w:r>
              <w:rPr>
                <w:rFonts w:hint="eastAsia" w:ascii="楷体" w:hAnsi="楷体" w:eastAsia="楷体"/>
                <w:b/>
                <w:bCs/>
              </w:rPr>
              <w:t>产品预计到期日而终止之日或宣布本理财产品延长后的终止之日。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highlight w:val="none"/>
              </w:rPr>
              <w:t>投资封闭期</w:t>
            </w:r>
          </w:p>
        </w:tc>
        <w:tc>
          <w:tcPr>
            <w:tcW w:w="6146" w:type="dxa"/>
            <w:vAlign w:val="top"/>
          </w:tcPr>
          <w:p>
            <w:pPr>
              <w:rPr>
                <w:rFonts w:hint="eastAsia" w:ascii="楷体" w:hAnsi="楷体" w:eastAsia="楷体"/>
                <w:b/>
                <w:bCs/>
              </w:rPr>
            </w:pPr>
            <w:r>
              <w:rPr>
                <w:rFonts w:hint="eastAsia" w:ascii="楷体" w:hAnsi="楷体" w:eastAsia="楷体"/>
                <w:b/>
                <w:bCs/>
                <w:color w:val="000000" w:themeColor="text1"/>
                <w:highlight w:val="none"/>
                <w:u w:val="none"/>
                <w14:textFill>
                  <w14:solidFill>
                    <w14:schemeClr w14:val="tx1"/>
                  </w14:solidFill>
                </w14:textFill>
              </w:rPr>
              <w:t>本产品不设投资封闭期。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highlight w:val="none"/>
              </w:rPr>
            </w:pPr>
            <w:r>
              <w:rPr>
                <w:rFonts w:hint="eastAsia" w:ascii="楷体" w:hAnsi="楷体" w:eastAsia="楷体"/>
                <w:b/>
                <w:bCs/>
              </w:rPr>
              <w:t>产品开放日</w:t>
            </w:r>
          </w:p>
        </w:tc>
        <w:tc>
          <w:tcPr>
            <w:tcW w:w="6146" w:type="dxa"/>
            <w:vAlign w:val="top"/>
          </w:tcPr>
          <w:p>
            <w:pPr>
              <w:rPr>
                <w:rFonts w:ascii="楷体" w:hAnsi="楷体" w:eastAsia="楷体"/>
                <w:b/>
                <w:bCs/>
              </w:rPr>
            </w:pPr>
            <w:r>
              <w:rPr>
                <w:rFonts w:hint="eastAsia" w:ascii="楷体" w:hAnsi="楷体" w:eastAsia="楷体"/>
                <w:b/>
                <w:bCs/>
              </w:rPr>
              <w:t>在理财产品存续期内，除投资封闭期外</w:t>
            </w:r>
            <w:r>
              <w:rPr>
                <w:rFonts w:hint="eastAsia" w:ascii="楷体" w:hAnsi="楷体" w:eastAsia="楷体"/>
                <w:b/>
                <w:bCs/>
                <w:color w:val="auto"/>
              </w:rPr>
              <w:t>每一自然日</w:t>
            </w:r>
            <w:r>
              <w:rPr>
                <w:rFonts w:hint="eastAsia" w:ascii="楷体" w:hAnsi="楷体" w:eastAsia="楷体"/>
                <w:b/>
                <w:bCs/>
              </w:rPr>
              <w:t>为产品开放日，管理人将在产品开放日受理本理财产品的申购申请。</w:t>
            </w:r>
          </w:p>
          <w:p>
            <w:pPr>
              <w:rPr>
                <w:rFonts w:hint="eastAsia" w:ascii="楷体" w:hAnsi="楷体" w:eastAsia="楷体"/>
                <w:b/>
                <w:bCs/>
                <w:color w:val="auto"/>
                <w:highlight w:val="none"/>
                <w:u w:val="single"/>
                <w:lang w:eastAsia="zh-CN"/>
              </w:rPr>
            </w:pPr>
            <w:r>
              <w:rPr>
                <w:rFonts w:hint="eastAsia" w:ascii="楷体" w:hAnsi="楷体" w:eastAsia="楷体"/>
                <w:b/>
                <w:bCs/>
              </w:rPr>
              <w:t>在理财产品存续期内，管理人有权根据市场情况变化暂停本理财产品的申购，暂停公告通过</w:t>
            </w:r>
            <w:r>
              <w:rPr>
                <w:rFonts w:hint="eastAsia" w:ascii="楷体" w:hAnsi="楷体" w:eastAsia="楷体"/>
                <w:b/>
                <w:bCs/>
                <w:lang w:eastAsia="zh-CN"/>
              </w:rPr>
              <w:t>《</w:t>
            </w:r>
            <w:r>
              <w:rPr>
                <w:rFonts w:hint="eastAsia" w:ascii="楷体" w:hAnsi="楷体" w:eastAsia="楷体"/>
                <w:b/>
                <w:bCs/>
                <w:lang w:val="en-US" w:eastAsia="zh-CN"/>
              </w:rPr>
              <w:t>产品说明书</w:t>
            </w:r>
            <w:r>
              <w:rPr>
                <w:rFonts w:hint="eastAsia" w:ascii="楷体" w:hAnsi="楷体" w:eastAsia="楷体"/>
                <w:b/>
                <w:bCs/>
                <w:lang w:eastAsia="zh-CN"/>
              </w:rPr>
              <w:t>》</w:t>
            </w:r>
            <w:r>
              <w:rPr>
                <w:rFonts w:ascii="楷体" w:hAnsi="楷体" w:eastAsia="楷体"/>
                <w:b/>
                <w:bCs/>
              </w:rPr>
              <w:t>“</w:t>
            </w:r>
            <w:r>
              <w:rPr>
                <w:rFonts w:hint="eastAsia" w:ascii="楷体" w:hAnsi="楷体" w:eastAsia="楷体"/>
                <w:b/>
                <w:bCs/>
              </w:rPr>
              <w:t>信息披露</w:t>
            </w:r>
            <w:r>
              <w:rPr>
                <w:rFonts w:ascii="楷体" w:hAnsi="楷体" w:eastAsia="楷体"/>
                <w:b/>
                <w:bCs/>
              </w:rPr>
              <w:t>”</w:t>
            </w:r>
            <w:r>
              <w:rPr>
                <w:rFonts w:hint="eastAsia" w:ascii="楷体" w:hAnsi="楷体" w:eastAsia="楷体"/>
                <w:b/>
                <w:bCs/>
              </w:rPr>
              <w:t>约定的方式向投资者披露。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rPr>
              <w:t>最短持有期</w:t>
            </w:r>
          </w:p>
        </w:tc>
        <w:tc>
          <w:tcPr>
            <w:tcW w:w="6146" w:type="dxa"/>
            <w:vAlign w:val="top"/>
          </w:tcPr>
          <w:p>
            <w:pPr>
              <w:rPr>
                <w:rFonts w:hint="eastAsia" w:ascii="楷体" w:hAnsi="楷体" w:eastAsia="楷体"/>
                <w:b/>
                <w:bCs/>
                <w:color w:val="auto"/>
                <w:u w:val="none"/>
                <w:lang w:eastAsia="zh-CN"/>
              </w:rPr>
            </w:pPr>
            <w:r>
              <w:rPr>
                <w:rFonts w:hint="eastAsia" w:ascii="楷体" w:hAnsi="楷体" w:eastAsia="楷体"/>
                <w:b/>
                <w:bCs/>
                <w:color w:val="auto"/>
                <w:u w:val="none"/>
              </w:rPr>
              <w:t>指本理财产品对投资者的每笔有效认</w:t>
            </w:r>
            <w:r>
              <w:rPr>
                <w:rFonts w:ascii="楷体" w:hAnsi="楷体" w:eastAsia="楷体"/>
                <w:b/>
                <w:bCs/>
                <w:color w:val="auto"/>
                <w:u w:val="none"/>
              </w:rPr>
              <w:t>/</w:t>
            </w:r>
            <w:r>
              <w:rPr>
                <w:rFonts w:hint="eastAsia" w:ascii="楷体" w:hAnsi="楷体" w:eastAsia="楷体"/>
                <w:b/>
                <w:bCs/>
                <w:color w:val="auto"/>
                <w:u w:val="none"/>
              </w:rPr>
              <w:t>申购设置</w:t>
            </w:r>
            <w:r>
              <w:rPr>
                <w:rFonts w:hint="eastAsia" w:ascii="楷体" w:hAnsi="楷体" w:eastAsia="楷体"/>
                <w:b/>
                <w:bCs/>
                <w:color w:val="auto"/>
                <w:u w:val="none"/>
                <w:lang w:eastAsia="zh-CN"/>
              </w:rPr>
              <w:t>【</w:t>
            </w:r>
            <w:r>
              <w:rPr>
                <w:rFonts w:hint="eastAsia" w:ascii="楷体" w:hAnsi="楷体" w:eastAsia="楷体"/>
                <w:b/>
                <w:bCs/>
                <w:color w:val="C00000"/>
                <w:u w:val="single"/>
                <w:lang w:val="en-US" w:eastAsia="zh-CN"/>
              </w:rPr>
              <w:t>9</w:t>
            </w:r>
            <w:r>
              <w:rPr>
                <w:rFonts w:hint="eastAsia" w:ascii="楷体" w:hAnsi="楷体" w:eastAsia="楷体"/>
                <w:b/>
                <w:bCs/>
                <w:color w:val="C00000"/>
                <w:u w:val="single"/>
                <w:lang w:eastAsia="zh-CN"/>
              </w:rPr>
              <w:t>0</w:t>
            </w:r>
            <w:r>
              <w:rPr>
                <w:rFonts w:hint="eastAsia" w:ascii="楷体" w:hAnsi="楷体" w:eastAsia="楷体"/>
                <w:b/>
                <w:bCs/>
                <w:color w:val="auto"/>
                <w:u w:val="none"/>
                <w:lang w:eastAsia="zh-CN"/>
              </w:rPr>
              <w:t>】</w:t>
            </w:r>
            <w:r>
              <w:rPr>
                <w:rFonts w:hint="eastAsia" w:ascii="楷体" w:hAnsi="楷体" w:eastAsia="楷体"/>
                <w:b/>
                <w:bCs/>
                <w:color w:val="auto"/>
                <w:u w:val="none"/>
                <w:lang w:val="en-US" w:eastAsia="zh-CN"/>
              </w:rPr>
              <w:t>个自然日</w:t>
            </w:r>
            <w:r>
              <w:rPr>
                <w:rFonts w:hint="eastAsia" w:ascii="楷体" w:hAnsi="楷体" w:eastAsia="楷体"/>
                <w:b/>
                <w:bCs/>
                <w:color w:val="auto"/>
                <w:u w:val="none"/>
              </w:rPr>
              <w:t>的最短持有期限</w:t>
            </w:r>
            <w:r>
              <w:rPr>
                <w:rFonts w:hint="eastAsia" w:ascii="楷体" w:hAnsi="楷体" w:eastAsia="楷体"/>
                <w:b/>
                <w:bCs/>
                <w:color w:val="auto"/>
                <w:u w:val="none"/>
                <w:lang w:eastAsia="zh-CN"/>
              </w:rPr>
              <w:t>。</w:t>
            </w:r>
          </w:p>
          <w:p>
            <w:pPr>
              <w:rPr>
                <w:rFonts w:hint="eastAsia" w:ascii="楷体" w:hAnsi="楷体" w:eastAsia="楷体" w:cs="楷体"/>
                <w:b/>
                <w:bCs/>
                <w:color w:val="auto"/>
                <w:u w:val="none"/>
                <w:lang w:eastAsia="zh-CN"/>
              </w:rPr>
            </w:pPr>
            <w:r>
              <w:rPr>
                <w:rFonts w:hint="eastAsia" w:ascii="楷体" w:hAnsi="楷体" w:eastAsia="楷体"/>
                <w:b/>
                <w:bCs/>
                <w:color w:val="auto"/>
                <w:u w:val="none"/>
                <w:lang w:val="en-US" w:eastAsia="zh-CN"/>
              </w:rPr>
              <w:t>最短持有期起始日</w:t>
            </w:r>
            <w:r>
              <w:rPr>
                <w:rFonts w:hint="eastAsia" w:ascii="楷体" w:hAnsi="楷体" w:eastAsia="楷体" w:cs="楷体"/>
                <w:b/>
                <w:bCs/>
                <w:color w:val="auto"/>
                <w:u w:val="none"/>
              </w:rPr>
              <w:t>即</w:t>
            </w:r>
            <w:r>
              <w:rPr>
                <w:rFonts w:hint="eastAsia" w:ascii="楷体" w:hAnsi="楷体" w:eastAsia="楷体"/>
                <w:b/>
                <w:bCs/>
                <w:color w:val="auto"/>
                <w:u w:val="none"/>
              </w:rPr>
              <w:t>认</w:t>
            </w:r>
            <w:r>
              <w:rPr>
                <w:rFonts w:ascii="楷体" w:hAnsi="楷体" w:eastAsia="楷体"/>
                <w:b/>
                <w:bCs/>
                <w:color w:val="auto"/>
                <w:u w:val="none"/>
              </w:rPr>
              <w:t>/</w:t>
            </w:r>
            <w:r>
              <w:rPr>
                <w:rFonts w:hint="eastAsia" w:ascii="楷体" w:hAnsi="楷体" w:eastAsia="楷体"/>
                <w:b/>
                <w:bCs/>
                <w:color w:val="auto"/>
                <w:u w:val="none"/>
              </w:rPr>
              <w:t>申购</w:t>
            </w:r>
            <w:r>
              <w:rPr>
                <w:rFonts w:hint="eastAsia" w:ascii="楷体" w:hAnsi="楷体" w:eastAsia="楷体"/>
                <w:b/>
                <w:bCs/>
                <w:color w:val="auto"/>
                <w:u w:val="none"/>
                <w:lang w:val="en-US" w:eastAsia="zh-CN"/>
              </w:rPr>
              <w:t>对应的</w:t>
            </w:r>
            <w:r>
              <w:rPr>
                <w:rFonts w:hint="eastAsia" w:ascii="楷体" w:hAnsi="楷体" w:eastAsia="楷体"/>
                <w:b/>
                <w:bCs/>
                <w:color w:val="auto"/>
                <w:u w:val="none"/>
              </w:rPr>
              <w:t>成立日</w:t>
            </w:r>
            <w:r>
              <w:rPr>
                <w:rFonts w:hint="eastAsia" w:ascii="楷体" w:hAnsi="楷体" w:eastAsia="楷体"/>
                <w:b/>
                <w:bCs/>
                <w:color w:val="auto"/>
                <w:u w:val="none"/>
                <w:lang w:val="en-US" w:eastAsia="zh-CN"/>
              </w:rPr>
              <w:t>/确认</w:t>
            </w:r>
            <w:r>
              <w:rPr>
                <w:rFonts w:hint="eastAsia" w:ascii="楷体" w:hAnsi="楷体" w:eastAsia="楷体"/>
                <w:b/>
                <w:bCs/>
                <w:color w:val="auto"/>
                <w:u w:val="none"/>
              </w:rPr>
              <w:t>日</w:t>
            </w:r>
            <w:r>
              <w:rPr>
                <w:rFonts w:hint="eastAsia" w:ascii="楷体" w:hAnsi="楷体" w:eastAsia="楷体"/>
                <w:b/>
                <w:bCs/>
                <w:color w:val="auto"/>
                <w:u w:val="none"/>
                <w:lang w:eastAsia="zh-CN"/>
              </w:rPr>
              <w:t>，</w:t>
            </w:r>
            <w:r>
              <w:rPr>
                <w:rFonts w:hint="eastAsia" w:ascii="楷体" w:hAnsi="楷体" w:eastAsia="楷体" w:cs="楷体"/>
                <w:b/>
                <w:bCs/>
                <w:color w:val="auto"/>
                <w:u w:val="none"/>
              </w:rPr>
              <w:t>每笔理财产品份额从</w:t>
            </w:r>
            <w:r>
              <w:rPr>
                <w:rFonts w:hint="eastAsia" w:ascii="楷体" w:hAnsi="楷体" w:eastAsia="楷体"/>
                <w:b/>
                <w:bCs/>
                <w:color w:val="auto"/>
                <w:u w:val="none"/>
                <w:lang w:val="en-US" w:eastAsia="zh-CN"/>
              </w:rPr>
              <w:t>从最短持有期起始日</w:t>
            </w:r>
            <w:r>
              <w:rPr>
                <w:rFonts w:hint="eastAsia" w:ascii="楷体" w:hAnsi="楷体" w:eastAsia="楷体" w:cs="楷体"/>
                <w:b/>
                <w:bCs/>
                <w:color w:val="auto"/>
                <w:u w:val="none"/>
              </w:rPr>
              <w:t>起，至其后第</w:t>
            </w:r>
            <w:r>
              <w:rPr>
                <w:rFonts w:hint="eastAsia" w:ascii="楷体" w:hAnsi="楷体" w:eastAsia="楷体" w:cs="楷体"/>
                <w:b/>
                <w:bCs/>
                <w:color w:val="auto"/>
                <w:u w:val="none"/>
                <w:lang w:eastAsia="zh-CN"/>
              </w:rPr>
              <w:t>【</w:t>
            </w:r>
            <w:r>
              <w:rPr>
                <w:rFonts w:hint="eastAsia" w:ascii="楷体" w:hAnsi="楷体" w:eastAsia="楷体"/>
                <w:b/>
                <w:bCs/>
                <w:color w:val="C00000"/>
                <w:u w:val="single"/>
                <w:lang w:val="en-US" w:eastAsia="zh-CN"/>
              </w:rPr>
              <w:t>9</w:t>
            </w:r>
            <w:r>
              <w:rPr>
                <w:rFonts w:hint="eastAsia" w:ascii="楷体" w:hAnsi="楷体" w:eastAsia="楷体" w:cstheme="minorBidi"/>
                <w:b/>
                <w:bCs/>
                <w:color w:val="C00000"/>
                <w:u w:val="single"/>
                <w:lang w:eastAsia="zh-CN"/>
              </w:rPr>
              <w:t>0</w:t>
            </w:r>
            <w:r>
              <w:rPr>
                <w:rFonts w:hint="eastAsia" w:ascii="楷体" w:hAnsi="楷体" w:eastAsia="楷体" w:cs="楷体"/>
                <w:b/>
                <w:bCs/>
                <w:color w:val="auto"/>
                <w:u w:val="none"/>
                <w:lang w:eastAsia="zh-CN"/>
              </w:rPr>
              <w:t>】</w:t>
            </w:r>
            <w:r>
              <w:rPr>
                <w:rFonts w:hint="eastAsia" w:ascii="楷体" w:hAnsi="楷体" w:eastAsia="楷体" w:cs="楷体"/>
                <w:b/>
                <w:bCs/>
                <w:color w:val="auto"/>
                <w:u w:val="none"/>
              </w:rPr>
              <w:t>个自然日（不含）内，投资者不能提出赎回申请</w:t>
            </w:r>
            <w:r>
              <w:rPr>
                <w:rFonts w:hint="eastAsia" w:ascii="楷体" w:hAnsi="楷体" w:eastAsia="楷体" w:cs="楷体"/>
                <w:b/>
                <w:bCs/>
                <w:color w:val="auto"/>
                <w:u w:val="none"/>
                <w:lang w:eastAsia="zh-CN"/>
              </w:rPr>
              <w:t>。</w:t>
            </w:r>
          </w:p>
          <w:p>
            <w:pPr>
              <w:rPr>
                <w:rFonts w:hint="eastAsia" w:ascii="楷体" w:hAnsi="楷体" w:eastAsia="楷体"/>
                <w:b/>
                <w:bCs/>
              </w:rPr>
            </w:pPr>
            <w:r>
              <w:rPr>
                <w:rFonts w:hint="eastAsia" w:ascii="楷体" w:hAnsi="楷体" w:eastAsia="楷体"/>
                <w:b/>
                <w:bCs/>
                <w:color w:val="auto"/>
              </w:rPr>
              <w:t>最短持有期结束日为</w:t>
            </w:r>
            <w:r>
              <w:rPr>
                <w:rFonts w:hint="eastAsia" w:ascii="楷体" w:hAnsi="楷体" w:eastAsia="楷体" w:cs="楷体"/>
                <w:b/>
                <w:bCs/>
                <w:color w:val="auto"/>
                <w:u w:val="none"/>
              </w:rPr>
              <w:t>最短持有期起始日后的第</w:t>
            </w:r>
            <w:r>
              <w:rPr>
                <w:rFonts w:hint="eastAsia" w:ascii="楷体" w:hAnsi="楷体" w:eastAsia="楷体" w:cs="楷体"/>
                <w:b/>
                <w:bCs/>
                <w:color w:val="auto"/>
                <w:u w:val="none"/>
                <w:lang w:eastAsia="zh-CN"/>
              </w:rPr>
              <w:t>【</w:t>
            </w:r>
            <w:r>
              <w:rPr>
                <w:rFonts w:hint="eastAsia" w:ascii="楷体" w:hAnsi="楷体" w:eastAsia="楷体"/>
                <w:b/>
                <w:bCs/>
                <w:color w:val="C00000"/>
                <w:u w:val="single"/>
                <w:lang w:val="en-US" w:eastAsia="zh-CN"/>
              </w:rPr>
              <w:t>9</w:t>
            </w:r>
            <w:r>
              <w:rPr>
                <w:rFonts w:hint="eastAsia" w:ascii="楷体" w:hAnsi="楷体" w:eastAsia="楷体" w:cstheme="minorBidi"/>
                <w:b/>
                <w:bCs/>
                <w:color w:val="C00000"/>
                <w:u w:val="single"/>
                <w:lang w:eastAsia="zh-CN"/>
              </w:rPr>
              <w:t>0</w:t>
            </w:r>
            <w:r>
              <w:rPr>
                <w:rFonts w:hint="eastAsia" w:ascii="楷体" w:hAnsi="楷体" w:eastAsia="楷体" w:cs="楷体"/>
                <w:b/>
                <w:bCs/>
                <w:color w:val="auto"/>
                <w:u w:val="none"/>
                <w:lang w:eastAsia="zh-CN"/>
              </w:rPr>
              <w:t>】</w:t>
            </w:r>
            <w:r>
              <w:rPr>
                <w:rFonts w:hint="eastAsia" w:ascii="楷体" w:hAnsi="楷体" w:eastAsia="楷体" w:cs="楷体"/>
                <w:b/>
                <w:bCs/>
                <w:color w:val="auto"/>
                <w:u w:val="none"/>
              </w:rPr>
              <w:t>个自然日（</w:t>
            </w:r>
            <w:r>
              <w:rPr>
                <w:rFonts w:hint="eastAsia" w:ascii="楷体" w:hAnsi="楷体" w:eastAsia="楷体" w:cs="楷体"/>
                <w:b/>
                <w:bCs/>
                <w:color w:val="auto"/>
                <w:u w:val="none"/>
                <w:lang w:val="en-US" w:eastAsia="zh-CN"/>
              </w:rPr>
              <w:t>如</w:t>
            </w:r>
            <w:r>
              <w:rPr>
                <w:rFonts w:hint="eastAsia" w:ascii="楷体" w:hAnsi="楷体" w:eastAsia="楷体" w:cs="楷体"/>
                <w:b/>
                <w:bCs/>
                <w:color w:val="auto"/>
                <w:u w:val="none"/>
              </w:rPr>
              <w:t>遇非</w:t>
            </w:r>
            <w:r>
              <w:rPr>
                <w:rFonts w:hint="eastAsia" w:ascii="楷体" w:hAnsi="楷体" w:eastAsia="楷体" w:cs="楷体"/>
                <w:b/>
                <w:bCs/>
                <w:color w:val="auto"/>
                <w:u w:val="none"/>
                <w:lang w:eastAsia="zh-CN"/>
              </w:rPr>
              <w:t>【交易日】</w:t>
            </w:r>
            <w:r>
              <w:rPr>
                <w:rFonts w:hint="eastAsia" w:ascii="楷体" w:hAnsi="楷体" w:eastAsia="楷体" w:cs="楷体"/>
                <w:b/>
                <w:bCs/>
                <w:color w:val="auto"/>
                <w:u w:val="none"/>
                <w:lang w:val="en-US" w:eastAsia="zh-CN"/>
              </w:rPr>
              <w:t>则</w:t>
            </w:r>
            <w:r>
              <w:rPr>
                <w:rFonts w:hint="eastAsia" w:ascii="楷体" w:hAnsi="楷体" w:eastAsia="楷体" w:cs="楷体"/>
                <w:b/>
                <w:bCs/>
                <w:color w:val="auto"/>
                <w:u w:val="none"/>
              </w:rPr>
              <w:t>顺延至下一个</w:t>
            </w:r>
            <w:r>
              <w:rPr>
                <w:rFonts w:hint="eastAsia" w:ascii="楷体" w:hAnsi="楷体" w:eastAsia="楷体" w:cs="楷体"/>
                <w:b/>
                <w:bCs/>
                <w:color w:val="auto"/>
                <w:u w:val="none"/>
                <w:lang w:eastAsia="zh-CN"/>
              </w:rPr>
              <w:t>【交易日】</w:t>
            </w:r>
            <w:r>
              <w:rPr>
                <w:rFonts w:hint="eastAsia" w:ascii="楷体" w:hAnsi="楷体" w:eastAsia="楷体" w:cs="楷体"/>
                <w:b/>
                <w:bCs/>
                <w:color w:val="auto"/>
                <w:u w:val="none"/>
              </w:rPr>
              <w:t>）</w:t>
            </w:r>
            <w:r>
              <w:rPr>
                <w:rFonts w:hint="eastAsia" w:ascii="楷体" w:hAnsi="楷体" w:eastAsia="楷体" w:cs="楷体"/>
                <w:b/>
                <w:bCs/>
                <w:color w:val="auto"/>
                <w:u w:val="none"/>
                <w:lang w:eastAsia="zh-CN"/>
              </w:rPr>
              <w:t>，</w:t>
            </w:r>
            <w:r>
              <w:rPr>
                <w:rFonts w:hint="eastAsia" w:ascii="楷体" w:hAnsi="楷体" w:eastAsia="楷体"/>
                <w:b/>
                <w:bCs/>
                <w:color w:val="auto"/>
              </w:rPr>
              <w:t>从最短持有期结束日当日（含）起，</w:t>
            </w:r>
            <w:r>
              <w:rPr>
                <w:rFonts w:hint="eastAsia" w:ascii="楷体" w:hAnsi="楷体" w:eastAsia="楷体" w:cs="楷体"/>
                <w:b/>
                <w:bCs/>
                <w:color w:val="auto"/>
                <w:u w:val="none"/>
              </w:rPr>
              <w:t>投资者可以提出赎回申请。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rPr>
              <w:t>开放持有期</w:t>
            </w:r>
          </w:p>
        </w:tc>
        <w:tc>
          <w:tcPr>
            <w:tcW w:w="6146" w:type="dxa"/>
            <w:vAlign w:val="top"/>
          </w:tcPr>
          <w:p>
            <w:pPr>
              <w:rPr>
                <w:rFonts w:ascii="楷体" w:hAnsi="楷体" w:eastAsia="楷体"/>
                <w:b/>
                <w:bCs/>
              </w:rPr>
            </w:pPr>
            <w:r>
              <w:rPr>
                <w:rFonts w:hint="eastAsia" w:ascii="楷体" w:hAnsi="楷体" w:eastAsia="楷体"/>
                <w:b/>
                <w:bCs/>
              </w:rPr>
              <w:t>对于每份产品份额，最短持有期结束即进入开放持有期，开放持有期首日</w:t>
            </w:r>
            <w:r>
              <w:rPr>
                <w:rFonts w:hint="eastAsia" w:ascii="楷体" w:hAnsi="楷体" w:eastAsia="楷体"/>
                <w:b/>
                <w:bCs/>
                <w:lang w:val="en-US" w:eastAsia="zh-CN"/>
              </w:rPr>
              <w:t>即</w:t>
            </w:r>
            <w:r>
              <w:rPr>
                <w:rFonts w:hint="eastAsia" w:ascii="楷体" w:hAnsi="楷体" w:eastAsia="楷体"/>
                <w:b/>
                <w:bCs/>
              </w:rPr>
              <w:t>最短持有期结束日。管理人将在每份产品份额对应的开放持有期间受理该笔份额的赎回申请。</w:t>
            </w:r>
          </w:p>
          <w:p>
            <w:pPr>
              <w:rPr>
                <w:rFonts w:hint="eastAsia" w:ascii="楷体" w:hAnsi="楷体" w:eastAsia="楷体"/>
                <w:b/>
                <w:bCs/>
              </w:rPr>
            </w:pPr>
            <w:r>
              <w:rPr>
                <w:rFonts w:hint="eastAsia" w:ascii="楷体" w:hAnsi="楷体" w:eastAsia="楷体"/>
                <w:b/>
                <w:bCs/>
              </w:rPr>
              <w:t>在理财产品存续期内，管理人有权根据市场情况变化暂停本理财产品的赎回，暂停公告将通过</w:t>
            </w:r>
            <w:r>
              <w:rPr>
                <w:rFonts w:hint="eastAsia" w:ascii="楷体" w:hAnsi="楷体" w:eastAsia="楷体"/>
                <w:b/>
                <w:bCs/>
                <w:lang w:eastAsia="zh-CN"/>
              </w:rPr>
              <w:t>《</w:t>
            </w:r>
            <w:r>
              <w:rPr>
                <w:rFonts w:hint="eastAsia" w:ascii="楷体" w:hAnsi="楷体" w:eastAsia="楷体"/>
                <w:b/>
                <w:bCs/>
                <w:lang w:val="en-US" w:eastAsia="zh-CN"/>
              </w:rPr>
              <w:t>产品说明书</w:t>
            </w:r>
            <w:r>
              <w:rPr>
                <w:rFonts w:hint="eastAsia" w:ascii="楷体" w:hAnsi="楷体" w:eastAsia="楷体"/>
                <w:b/>
                <w:bCs/>
                <w:lang w:eastAsia="zh-CN"/>
              </w:rPr>
              <w:t>》</w:t>
            </w:r>
            <w:r>
              <w:rPr>
                <w:rFonts w:ascii="楷体" w:hAnsi="楷体" w:eastAsia="楷体"/>
                <w:b/>
                <w:bCs/>
              </w:rPr>
              <w:t>“</w:t>
            </w:r>
            <w:r>
              <w:rPr>
                <w:rFonts w:hint="eastAsia" w:ascii="楷体" w:hAnsi="楷体" w:eastAsia="楷体"/>
                <w:b/>
                <w:bCs/>
              </w:rPr>
              <w:t>信息披露</w:t>
            </w:r>
            <w:r>
              <w:rPr>
                <w:rFonts w:ascii="楷体" w:hAnsi="楷体" w:eastAsia="楷体"/>
                <w:b/>
                <w:bCs/>
              </w:rPr>
              <w:t>”</w:t>
            </w:r>
            <w:r>
              <w:rPr>
                <w:rFonts w:hint="eastAsia" w:ascii="楷体" w:hAnsi="楷体" w:eastAsia="楷体"/>
                <w:b/>
                <w:bCs/>
              </w:rPr>
              <w:t>约定的方式向投资者披露。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1" w:hRule="atLeast"/>
        </w:trPr>
        <w:tc>
          <w:tcPr>
            <w:tcW w:w="2376" w:type="dxa"/>
            <w:vAlign w:val="center"/>
          </w:tcPr>
          <w:p>
            <w:pPr>
              <w:rPr>
                <w:rFonts w:ascii="楷体" w:hAnsi="楷体" w:eastAsia="楷体"/>
                <w:b/>
                <w:bCs/>
              </w:rPr>
            </w:pPr>
            <w:r>
              <w:rPr>
                <w:rFonts w:hint="eastAsia" w:ascii="楷体" w:hAnsi="楷体" w:eastAsia="楷体"/>
                <w:b/>
                <w:bCs/>
              </w:rPr>
              <w:t>交易时段</w:t>
            </w:r>
          </w:p>
        </w:tc>
        <w:tc>
          <w:tcPr>
            <w:tcW w:w="6146" w:type="dxa"/>
          </w:tcPr>
          <w:p>
            <w:pPr>
              <w:rPr>
                <w:rFonts w:ascii="楷体" w:hAnsi="楷体" w:eastAsia="楷体"/>
                <w:b/>
                <w:bCs/>
              </w:rPr>
            </w:pPr>
            <w:r>
              <w:rPr>
                <w:rFonts w:hint="eastAsia" w:ascii="楷体" w:hAnsi="楷体" w:eastAsia="楷体"/>
                <w:b/>
                <w:bCs/>
              </w:rPr>
              <w:t>本理财产品交易时段为业务处理系统记录的每日北京时间</w:t>
            </w:r>
            <w:r>
              <w:rPr>
                <w:rFonts w:hint="eastAsia" w:ascii="楷体" w:hAnsi="楷体" w:eastAsia="楷体"/>
                <w:b/>
                <w:bCs/>
                <w:u w:val="single"/>
                <w:lang w:eastAsia="zh-CN"/>
              </w:rPr>
              <w:t>【</w:t>
            </w:r>
            <w:r>
              <w:rPr>
                <w:rFonts w:ascii="楷体" w:hAnsi="楷体" w:eastAsia="楷体"/>
                <w:b/>
                <w:bCs/>
                <w:color w:val="C00000"/>
                <w:u w:val="single"/>
              </w:rPr>
              <w:t>0:00</w:t>
            </w:r>
            <w:r>
              <w:rPr>
                <w:rFonts w:hint="eastAsia" w:ascii="楷体" w:hAnsi="楷体" w:eastAsia="楷体"/>
                <w:b/>
                <w:bCs/>
                <w:color w:val="auto"/>
                <w:u w:val="single"/>
                <w:lang w:eastAsia="zh-CN"/>
              </w:rPr>
              <w:t>】</w:t>
            </w:r>
            <w:r>
              <w:rPr>
                <w:rFonts w:ascii="楷体" w:hAnsi="楷体" w:eastAsia="楷体"/>
                <w:b/>
                <w:bCs/>
                <w:color w:val="auto"/>
                <w:u w:val="single"/>
              </w:rPr>
              <w:t>起至</w:t>
            </w:r>
            <w:r>
              <w:rPr>
                <w:rFonts w:hint="eastAsia" w:ascii="楷体" w:hAnsi="楷体" w:eastAsia="楷体"/>
                <w:b/>
                <w:bCs/>
                <w:color w:val="auto"/>
                <w:u w:val="single"/>
                <w:lang w:eastAsia="zh-CN"/>
              </w:rPr>
              <w:t>【</w:t>
            </w:r>
            <w:r>
              <w:rPr>
                <w:rFonts w:ascii="楷体" w:hAnsi="楷体" w:eastAsia="楷体"/>
                <w:b/>
                <w:bCs/>
                <w:color w:val="C00000"/>
                <w:u w:val="single"/>
              </w:rPr>
              <w:t>24:00</w:t>
            </w:r>
            <w:r>
              <w:rPr>
                <w:rFonts w:hint="eastAsia" w:ascii="楷体" w:hAnsi="楷体" w:eastAsia="楷体"/>
                <w:b/>
                <w:bCs/>
                <w:color w:val="auto"/>
                <w:u w:val="single"/>
                <w:lang w:eastAsia="zh-CN"/>
              </w:rPr>
              <w:t>】</w:t>
            </w:r>
            <w:r>
              <w:rPr>
                <w:rFonts w:hint="eastAsia" w:ascii="楷体" w:hAnsi="楷体" w:eastAsia="楷体"/>
                <w:b/>
                <w:bCs/>
                <w:color w:val="auto"/>
                <w:u w:val="single"/>
              </w:rPr>
              <w:t>止</w:t>
            </w:r>
            <w:r>
              <w:rPr>
                <w:rFonts w:hint="eastAsia" w:ascii="楷体" w:hAnsi="楷体" w:eastAsia="楷体"/>
                <w:b/>
                <w:bCs/>
                <w:color w:val="auto"/>
                <w:u w:val="none"/>
              </w:rPr>
              <w:t>（</w:t>
            </w:r>
            <w:r>
              <w:rPr>
                <w:rFonts w:ascii="楷体" w:hAnsi="楷体" w:eastAsia="楷体"/>
                <w:b/>
                <w:bCs/>
                <w:color w:val="auto"/>
                <w:u w:val="none"/>
              </w:rPr>
              <w:t>系统清算时间除外）</w:t>
            </w:r>
            <w:r>
              <w:rPr>
                <w:rFonts w:hint="eastAsia" w:ascii="楷体" w:hAnsi="楷体" w:eastAsia="楷体"/>
                <w:b/>
                <w:bCs/>
                <w:color w:val="auto"/>
                <w:highlight w:val="none"/>
                <w:u w:val="none"/>
              </w:rPr>
              <w:t>，</w:t>
            </w:r>
            <w:r>
              <w:rPr>
                <w:rFonts w:hint="eastAsia" w:ascii="楷体_GB2312" w:hAnsi="宋体" w:eastAsia="楷体_GB2312"/>
                <w:b/>
                <w:bCs/>
                <w:color w:val="auto"/>
                <w:szCs w:val="21"/>
                <w:highlight w:val="none"/>
                <w:u w:val="none"/>
                <w:lang w:val="en-US" w:eastAsia="zh-CN"/>
              </w:rPr>
              <w:t>销售机构</w:t>
            </w:r>
            <w:r>
              <w:rPr>
                <w:rFonts w:hint="eastAsia" w:ascii="楷体_GB2312" w:hAnsi="宋体" w:eastAsia="楷体_GB2312"/>
                <w:b/>
                <w:bCs/>
                <w:color w:val="auto"/>
                <w:szCs w:val="21"/>
                <w:highlight w:val="none"/>
                <w:u w:val="none"/>
              </w:rPr>
              <w:t>实际受理申购或赎回的时间可能与说明书不一致</w:t>
            </w:r>
            <w:r>
              <w:rPr>
                <w:rFonts w:hint="eastAsia" w:ascii="楷体" w:hAnsi="楷体" w:eastAsia="楷体"/>
                <w:b/>
                <w:bCs/>
              </w:rPr>
              <w:t>，</w:t>
            </w:r>
            <w:r>
              <w:rPr>
                <w:rFonts w:hint="eastAsia" w:ascii="楷体_GB2312" w:hAnsi="宋体" w:eastAsia="楷体_GB2312"/>
                <w:b/>
                <w:bCs/>
                <w:color w:val="auto"/>
                <w:szCs w:val="21"/>
                <w:highlight w:val="none"/>
                <w:u w:val="none"/>
              </w:rPr>
              <w:t>具体以销售机构</w:t>
            </w:r>
            <w:r>
              <w:rPr>
                <w:rFonts w:hint="eastAsia" w:ascii="楷体_GB2312" w:hAnsi="宋体" w:eastAsia="楷体_GB2312"/>
                <w:b/>
                <w:bCs/>
                <w:color w:val="auto"/>
                <w:szCs w:val="21"/>
                <w:highlight w:val="none"/>
                <w:u w:val="none"/>
                <w:lang w:val="en-US" w:eastAsia="zh-CN"/>
              </w:rPr>
              <w:t>通知</w:t>
            </w:r>
            <w:r>
              <w:rPr>
                <w:rFonts w:hint="eastAsia" w:ascii="楷体_GB2312" w:hAnsi="宋体" w:eastAsia="楷体_GB2312"/>
                <w:b/>
                <w:bCs/>
                <w:color w:val="auto"/>
                <w:szCs w:val="21"/>
                <w:highlight w:val="none"/>
                <w:u w:val="none"/>
                <w:lang w:eastAsia="zh-CN"/>
              </w:rPr>
              <w:t>为准，</w:t>
            </w:r>
            <w:r>
              <w:rPr>
                <w:rFonts w:hint="eastAsia" w:ascii="楷体" w:hAnsi="楷体" w:eastAsia="楷体"/>
                <w:b/>
                <w:bCs/>
              </w:rPr>
              <w:t>具体规则</w:t>
            </w:r>
            <w:r>
              <w:rPr>
                <w:rFonts w:ascii="楷体" w:hAnsi="楷体" w:eastAsia="楷体"/>
                <w:b/>
                <w:bCs/>
              </w:rPr>
              <w:t>详见</w:t>
            </w:r>
            <w:r>
              <w:rPr>
                <w:rFonts w:hint="eastAsia" w:ascii="楷体" w:hAnsi="楷体" w:eastAsia="楷体"/>
                <w:b/>
                <w:bCs/>
                <w:lang w:eastAsia="zh-CN"/>
              </w:rPr>
              <w:t>《</w:t>
            </w:r>
            <w:r>
              <w:rPr>
                <w:rFonts w:hint="eastAsia" w:ascii="楷体" w:hAnsi="楷体" w:eastAsia="楷体"/>
                <w:b/>
                <w:bCs/>
                <w:lang w:val="en-US" w:eastAsia="zh-CN"/>
              </w:rPr>
              <w:t>产品说明书</w:t>
            </w:r>
            <w:r>
              <w:rPr>
                <w:rFonts w:hint="eastAsia" w:ascii="楷体" w:hAnsi="楷体" w:eastAsia="楷体"/>
                <w:b/>
                <w:bCs/>
                <w:lang w:eastAsia="zh-CN"/>
              </w:rPr>
              <w:t>》</w:t>
            </w:r>
            <w:r>
              <w:rPr>
                <w:rFonts w:ascii="楷体" w:hAnsi="楷体" w:eastAsia="楷体"/>
                <w:b/>
                <w:bCs/>
              </w:rPr>
              <w:t>“产品</w:t>
            </w:r>
            <w:r>
              <w:rPr>
                <w:rFonts w:hint="eastAsia" w:ascii="楷体" w:hAnsi="楷体" w:eastAsia="楷体"/>
                <w:b/>
                <w:bCs/>
              </w:rPr>
              <w:t>认购、</w:t>
            </w:r>
            <w:r>
              <w:rPr>
                <w:rFonts w:ascii="楷体" w:hAnsi="楷体" w:eastAsia="楷体"/>
                <w:b/>
                <w:bCs/>
              </w:rPr>
              <w:t>申购</w:t>
            </w:r>
            <w:r>
              <w:rPr>
                <w:rFonts w:hint="eastAsia" w:ascii="楷体" w:hAnsi="楷体" w:eastAsia="楷体"/>
                <w:b/>
                <w:bCs/>
              </w:rPr>
              <w:t>和</w:t>
            </w:r>
            <w:r>
              <w:rPr>
                <w:rFonts w:ascii="楷体" w:hAnsi="楷体" w:eastAsia="楷体"/>
                <w:b/>
                <w:bCs/>
              </w:rPr>
              <w:t>赎回”</w:t>
            </w:r>
            <w:r>
              <w:rPr>
                <w:rFonts w:hint="eastAsia" w:ascii="楷体" w:hAnsi="楷体" w:eastAsia="楷体"/>
                <w:b/>
                <w:bCs/>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_GB2312" w:eastAsia="楷体_GB2312"/>
                <w:b/>
                <w:bCs/>
                <w:szCs w:val="21"/>
              </w:rPr>
              <w:t>产品确认日</w:t>
            </w:r>
          </w:p>
        </w:tc>
        <w:tc>
          <w:tcPr>
            <w:tcW w:w="6146" w:type="dxa"/>
            <w:vAlign w:val="center"/>
          </w:tcPr>
          <w:p>
            <w:pPr>
              <w:rPr>
                <w:rFonts w:hint="eastAsia" w:ascii="楷体" w:hAnsi="楷体" w:eastAsia="楷体"/>
                <w:b/>
                <w:bCs/>
              </w:rPr>
            </w:pPr>
            <w:r>
              <w:rPr>
                <w:rFonts w:hint="eastAsia" w:ascii="楷体_GB2312" w:hAnsi="Times New Roman" w:eastAsia="楷体_GB2312" w:cs="Times New Roman"/>
                <w:b/>
                <w:bCs/>
                <w:szCs w:val="21"/>
              </w:rPr>
              <w:t>在理财产品存续期内，</w:t>
            </w:r>
            <w:r>
              <w:rPr>
                <w:rFonts w:hint="eastAsia" w:ascii="楷体_GB2312" w:hAnsi="Times New Roman" w:eastAsia="楷体_GB2312" w:cs="Times New Roman"/>
                <w:b/>
                <w:bCs/>
                <w:color w:val="auto"/>
                <w:szCs w:val="21"/>
                <w:u w:val="none"/>
              </w:rPr>
              <w:t>每个</w:t>
            </w:r>
            <w:r>
              <w:rPr>
                <w:rFonts w:hint="eastAsia" w:ascii="楷体_GB2312" w:hAnsi="Times New Roman" w:eastAsia="楷体_GB2312" w:cs="Times New Roman"/>
                <w:b/>
                <w:bCs/>
                <w:color w:val="auto"/>
                <w:szCs w:val="21"/>
                <w:u w:val="none"/>
                <w:lang w:eastAsia="zh-CN"/>
              </w:rPr>
              <w:t>【</w:t>
            </w:r>
            <w:r>
              <w:rPr>
                <w:rFonts w:hint="eastAsia" w:ascii="楷体_GB2312" w:hAnsi="Times New Roman" w:eastAsia="楷体_GB2312" w:cs="Times New Roman"/>
                <w:b/>
                <w:bCs/>
                <w:color w:val="C00000"/>
                <w:szCs w:val="21"/>
                <w:u w:val="none"/>
                <w:lang w:val="en-US" w:eastAsia="zh-CN"/>
              </w:rPr>
              <w:t>交易</w:t>
            </w:r>
            <w:r>
              <w:rPr>
                <w:rFonts w:hint="eastAsia" w:ascii="楷体_GB2312" w:hAnsi="Times New Roman" w:eastAsia="楷体_GB2312" w:cs="Times New Roman"/>
                <w:b/>
                <w:bCs/>
                <w:color w:val="C00000"/>
                <w:szCs w:val="21"/>
                <w:u w:val="none"/>
              </w:rPr>
              <w:t>日</w:t>
            </w:r>
            <w:r>
              <w:rPr>
                <w:rFonts w:hint="eastAsia" w:ascii="楷体_GB2312" w:hAnsi="Times New Roman" w:eastAsia="楷体_GB2312" w:cs="Times New Roman"/>
                <w:b/>
                <w:bCs/>
                <w:color w:val="auto"/>
                <w:szCs w:val="21"/>
                <w:u w:val="none"/>
                <w:lang w:eastAsia="zh-CN"/>
              </w:rPr>
              <w:t>】</w:t>
            </w:r>
            <w:r>
              <w:rPr>
                <w:rFonts w:ascii="楷体_GB2312" w:hAnsi="Times New Roman" w:eastAsia="楷体_GB2312" w:cs="Times New Roman"/>
                <w:b/>
                <w:bCs/>
                <w:color w:val="auto"/>
                <w:szCs w:val="21"/>
                <w:u w:val="none"/>
              </w:rPr>
              <w:t>为产品确认日</w:t>
            </w:r>
            <w:r>
              <w:rPr>
                <w:rFonts w:ascii="楷体_GB2312" w:hAnsi="Times New Roman" w:eastAsia="楷体_GB2312" w:cs="Times New Roman"/>
                <w:b/>
                <w:bCs/>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_GB2312" w:eastAsia="楷体_GB2312"/>
                <w:b/>
                <w:bCs/>
                <w:szCs w:val="21"/>
              </w:rPr>
            </w:pPr>
            <w:r>
              <w:rPr>
                <w:rFonts w:hint="eastAsia" w:ascii="楷体_GB2312" w:eastAsia="楷体_GB2312"/>
                <w:b/>
                <w:bCs/>
                <w:szCs w:val="21"/>
              </w:rPr>
              <w:t>产品估值日</w:t>
            </w:r>
          </w:p>
        </w:tc>
        <w:tc>
          <w:tcPr>
            <w:tcW w:w="6146" w:type="dxa"/>
            <w:vAlign w:val="center"/>
          </w:tcPr>
          <w:p>
            <w:pPr>
              <w:widowControl/>
              <w:jc w:val="left"/>
              <w:rPr>
                <w:rFonts w:hint="eastAsia" w:ascii="楷体_GB2312" w:hAnsi="Times New Roman" w:eastAsia="楷体_GB2312" w:cs="Times New Roman"/>
                <w:b/>
                <w:bCs/>
                <w:szCs w:val="21"/>
              </w:rPr>
            </w:pPr>
            <w:r>
              <w:rPr>
                <w:rFonts w:hint="eastAsia" w:ascii="楷体" w:hAnsi="楷体" w:eastAsia="楷体"/>
                <w:b/>
                <w:bCs/>
              </w:rPr>
              <w:t>本</w:t>
            </w:r>
            <w:r>
              <w:rPr>
                <w:rFonts w:hint="eastAsia" w:ascii="楷体" w:hAnsi="楷体" w:eastAsia="楷体"/>
                <w:b/>
                <w:bCs/>
                <w:color w:val="auto"/>
              </w:rPr>
              <w:t>理财产品存续期间，</w:t>
            </w:r>
            <w:r>
              <w:rPr>
                <w:rFonts w:hint="eastAsia" w:ascii="楷体" w:hAnsi="楷体" w:eastAsia="楷体" w:cstheme="minorBidi"/>
                <w:b/>
                <w:bCs/>
                <w:color w:val="auto"/>
                <w:kern w:val="2"/>
                <w:sz w:val="21"/>
                <w:szCs w:val="22"/>
                <w:lang w:val="en-US" w:eastAsia="zh-CN" w:bidi="ar"/>
              </w:rPr>
              <w:t>每个交易日、理财产品收益分配基准日以及理财产品终止日为估值日</w:t>
            </w:r>
            <w:r>
              <w:rPr>
                <w:rFonts w:hint="eastAsia" w:ascii="楷体_GB2312" w:hAnsi="宋体" w:eastAsia="楷体_GB2312"/>
                <w:b/>
                <w:bCs/>
                <w:szCs w:val="21"/>
                <w:highlight w:val="none"/>
              </w:rPr>
              <w:t>。</w:t>
            </w:r>
            <w:r>
              <w:rPr>
                <w:rFonts w:hint="eastAsia" w:ascii="楷体" w:hAnsi="楷体" w:eastAsia="楷体"/>
                <w:b/>
                <w:bCs/>
                <w:color w:val="auto"/>
              </w:rPr>
              <w:t>管理人在估值日扣除理财产品承担的各项费用、税费（如有）后，计算理财产品</w:t>
            </w:r>
            <w:r>
              <w:rPr>
                <w:rFonts w:hint="eastAsia" w:ascii="楷体" w:hAnsi="楷体" w:eastAsia="楷体"/>
                <w:b/>
                <w:bCs/>
                <w:color w:val="auto"/>
                <w:lang w:val="en-US" w:eastAsia="zh-CN"/>
              </w:rPr>
              <w:t>份额</w:t>
            </w:r>
            <w:r>
              <w:rPr>
                <w:rFonts w:hint="eastAsia" w:ascii="楷体" w:hAnsi="楷体" w:eastAsia="楷体"/>
                <w:b/>
                <w:bCs/>
                <w:color w:val="auto"/>
              </w:rPr>
              <w:t>净值</w:t>
            </w:r>
            <w:r>
              <w:rPr>
                <w:rFonts w:hint="eastAsia" w:ascii="楷体" w:hAnsi="楷体" w:eastAsia="楷体"/>
                <w:b/>
                <w:bCs/>
                <w:color w:val="auto"/>
                <w:lang w:val="en-US" w:eastAsia="zh-CN"/>
              </w:rPr>
              <w:t>和</w:t>
            </w:r>
            <w:r>
              <w:rPr>
                <w:rFonts w:hint="eastAsia" w:ascii="楷体_GB2312" w:hAnsi="宋体" w:eastAsia="楷体_GB2312"/>
                <w:b/>
                <w:bCs/>
                <w:color w:val="auto"/>
                <w:szCs w:val="21"/>
                <w:lang w:val="en-US" w:eastAsia="zh-CN"/>
              </w:rPr>
              <w:t>理财产品份额累计净值</w:t>
            </w:r>
            <w:r>
              <w:rPr>
                <w:rFonts w:hint="eastAsia" w:ascii="楷体" w:hAnsi="楷体" w:eastAsia="楷体"/>
                <w:b/>
                <w:bCs/>
                <w:color w:val="auto"/>
              </w:rPr>
              <w:t>，并于估值日后第</w:t>
            </w:r>
            <w:r>
              <w:rPr>
                <w:rFonts w:hint="eastAsia" w:ascii="楷体" w:hAnsi="楷体" w:eastAsia="楷体"/>
                <w:b/>
                <w:bCs/>
                <w:color w:val="auto"/>
                <w:lang w:val="en-US" w:eastAsia="zh-CN"/>
              </w:rPr>
              <w:t>2</w:t>
            </w:r>
            <w:r>
              <w:rPr>
                <w:rFonts w:hint="eastAsia" w:ascii="楷体" w:hAnsi="楷体" w:eastAsia="楷体"/>
                <w:b/>
                <w:bCs/>
                <w:color w:val="auto"/>
              </w:rPr>
              <w:t>个</w:t>
            </w:r>
            <w:r>
              <w:rPr>
                <w:rFonts w:hint="eastAsia" w:ascii="楷体" w:hAnsi="楷体" w:eastAsia="楷体"/>
                <w:b/>
                <w:bCs/>
                <w:color w:val="auto"/>
                <w:lang w:val="en-US" w:eastAsia="zh-CN"/>
              </w:rPr>
              <w:t>工作日</w:t>
            </w:r>
            <w:r>
              <w:rPr>
                <w:rFonts w:hint="eastAsia" w:ascii="楷体" w:hAnsi="楷体" w:eastAsia="楷体"/>
                <w:b/>
                <w:bCs/>
                <w:color w:val="auto"/>
              </w:rPr>
              <w:t>内通过“信息披露”约定的渠道发布。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_GB2312" w:eastAsia="楷体_GB2312"/>
                <w:b/>
                <w:bCs/>
                <w:szCs w:val="21"/>
              </w:rPr>
            </w:pPr>
            <w:r>
              <w:rPr>
                <w:rFonts w:hint="eastAsia" w:ascii="楷体_GB2312" w:eastAsia="楷体_GB2312"/>
                <w:b/>
                <w:bCs/>
                <w:szCs w:val="21"/>
                <w:lang w:val="en-US" w:eastAsia="zh-CN"/>
              </w:rPr>
              <w:t>理财</w:t>
            </w:r>
            <w:r>
              <w:rPr>
                <w:rFonts w:hint="eastAsia" w:ascii="楷体_GB2312" w:eastAsia="楷体_GB2312"/>
                <w:b/>
                <w:bCs/>
                <w:color w:val="auto"/>
                <w:szCs w:val="21"/>
              </w:rPr>
              <w:t>产品</w:t>
            </w:r>
            <w:r>
              <w:rPr>
                <w:rFonts w:hint="eastAsia" w:ascii="楷体_GB2312" w:eastAsia="楷体_GB2312"/>
                <w:b/>
                <w:bCs/>
                <w:color w:val="auto"/>
                <w:szCs w:val="21"/>
                <w:lang w:val="en-US" w:eastAsia="zh-CN"/>
              </w:rPr>
              <w:t>份额</w:t>
            </w:r>
            <w:r>
              <w:rPr>
                <w:rFonts w:hint="eastAsia" w:ascii="楷体_GB2312" w:eastAsia="楷体_GB2312"/>
                <w:b/>
                <w:bCs/>
                <w:color w:val="auto"/>
                <w:szCs w:val="21"/>
              </w:rPr>
              <w:t>净值</w:t>
            </w:r>
          </w:p>
        </w:tc>
        <w:tc>
          <w:tcPr>
            <w:tcW w:w="6146" w:type="dxa"/>
            <w:vAlign w:val="center"/>
          </w:tcPr>
          <w:p>
            <w:pPr>
              <w:rPr>
                <w:rFonts w:ascii="楷体_GB2312" w:hAnsi="Times New Roman" w:eastAsia="楷体_GB2312" w:cs="Times New Roman"/>
                <w:b/>
                <w:bCs/>
                <w:szCs w:val="21"/>
              </w:rPr>
            </w:pPr>
            <w:r>
              <w:rPr>
                <w:rFonts w:hint="eastAsia" w:ascii="楷体_GB2312" w:hAnsi="Times New Roman" w:eastAsia="楷体_GB2312" w:cs="Times New Roman"/>
                <w:b/>
                <w:bCs/>
                <w:szCs w:val="21"/>
                <w:lang w:val="en-US" w:eastAsia="zh-CN"/>
              </w:rPr>
              <w:t>理财产品份额</w:t>
            </w:r>
            <w:r>
              <w:rPr>
                <w:rFonts w:hint="eastAsia" w:ascii="楷体_GB2312" w:hAnsi="Times New Roman" w:eastAsia="楷体_GB2312" w:cs="Times New Roman"/>
                <w:b/>
                <w:bCs/>
                <w:szCs w:val="21"/>
              </w:rPr>
              <w:t>净值</w:t>
            </w:r>
            <w:r>
              <w:rPr>
                <w:rFonts w:ascii="楷体_GB2312" w:hAnsi="Times New Roman" w:eastAsia="楷体_GB2312" w:cs="Times New Roman"/>
                <w:b/>
                <w:bCs/>
                <w:szCs w:val="21"/>
              </w:rPr>
              <w:t>为</w:t>
            </w:r>
            <w:r>
              <w:rPr>
                <w:rFonts w:hint="eastAsia" w:ascii="楷体_GB2312" w:hAnsi="Times New Roman" w:eastAsia="楷体_GB2312" w:cs="Times New Roman"/>
                <w:b/>
                <w:bCs/>
                <w:szCs w:val="21"/>
              </w:rPr>
              <w:t>计提</w:t>
            </w:r>
            <w:r>
              <w:rPr>
                <w:rFonts w:ascii="楷体_GB2312" w:hAnsi="Times New Roman" w:eastAsia="楷体_GB2312" w:cs="Times New Roman"/>
                <w:b/>
                <w:bCs/>
                <w:szCs w:val="21"/>
              </w:rPr>
              <w:t>相关费用后的单位理财</w:t>
            </w:r>
            <w:r>
              <w:rPr>
                <w:rFonts w:hint="eastAsia" w:ascii="楷体_GB2312" w:hAnsi="Times New Roman" w:eastAsia="楷体_GB2312" w:cs="Times New Roman"/>
                <w:b/>
                <w:bCs/>
                <w:szCs w:val="21"/>
              </w:rPr>
              <w:t>产品的净值</w:t>
            </w:r>
            <w:r>
              <w:rPr>
                <w:rFonts w:ascii="楷体_GB2312" w:hAnsi="Times New Roman" w:eastAsia="楷体_GB2312" w:cs="Times New Roman"/>
                <w:b/>
                <w:bCs/>
                <w:szCs w:val="21"/>
              </w:rPr>
              <w:t>，</w:t>
            </w:r>
            <w:r>
              <w:rPr>
                <w:rFonts w:hint="eastAsia" w:ascii="楷体_GB2312" w:hAnsi="Times New Roman" w:eastAsia="楷体_GB2312" w:cs="Times New Roman"/>
                <w:b/>
                <w:bCs/>
                <w:szCs w:val="21"/>
              </w:rPr>
              <w:t>按</w:t>
            </w:r>
            <w:r>
              <w:rPr>
                <w:rFonts w:ascii="楷体_GB2312" w:hAnsi="Times New Roman" w:eastAsia="楷体_GB2312" w:cs="Times New Roman"/>
                <w:b/>
                <w:bCs/>
                <w:szCs w:val="21"/>
              </w:rPr>
              <w:t>去尾法</w:t>
            </w:r>
            <w:r>
              <w:rPr>
                <w:rFonts w:hint="eastAsia" w:ascii="楷体_GB2312" w:hAnsi="Times New Roman" w:eastAsia="楷体_GB2312" w:cs="Times New Roman"/>
                <w:b/>
                <w:bCs/>
                <w:szCs w:val="21"/>
              </w:rPr>
              <w:t>保留小数点后</w:t>
            </w:r>
            <w:r>
              <w:rPr>
                <w:rFonts w:hint="default" w:ascii="楷体_GB2312" w:hAnsi="Times New Roman" w:eastAsia="楷体_GB2312" w:cs="Times New Roman"/>
                <w:b/>
                <w:bCs/>
                <w:szCs w:val="21"/>
                <w:lang w:val="en-US"/>
              </w:rPr>
              <w:t>五</w:t>
            </w:r>
            <w:r>
              <w:rPr>
                <w:rFonts w:ascii="楷体_GB2312" w:hAnsi="Times New Roman" w:eastAsia="楷体_GB2312" w:cs="Times New Roman"/>
                <w:b/>
                <w:bCs/>
                <w:szCs w:val="21"/>
              </w:rPr>
              <w:t>位，</w:t>
            </w:r>
            <w:r>
              <w:rPr>
                <w:rFonts w:hint="eastAsia" w:ascii="楷体_GB2312" w:hAnsi="Times New Roman" w:eastAsia="楷体_GB2312" w:cs="Times New Roman"/>
                <w:b/>
                <w:bCs/>
                <w:szCs w:val="21"/>
              </w:rPr>
              <w:t>管理人</w:t>
            </w:r>
            <w:r>
              <w:rPr>
                <w:rFonts w:ascii="楷体_GB2312" w:hAnsi="Times New Roman" w:eastAsia="楷体_GB2312" w:cs="Times New Roman"/>
                <w:b/>
                <w:bCs/>
                <w:szCs w:val="21"/>
              </w:rPr>
              <w:t>按照该净值</w:t>
            </w:r>
            <w:r>
              <w:rPr>
                <w:rFonts w:hint="eastAsia" w:ascii="楷体_GB2312" w:hAnsi="Times New Roman" w:eastAsia="楷体_GB2312" w:cs="Times New Roman"/>
                <w:b/>
                <w:bCs/>
                <w:szCs w:val="21"/>
              </w:rPr>
              <w:t>对产品的</w:t>
            </w:r>
            <w:r>
              <w:rPr>
                <w:rFonts w:ascii="楷体_GB2312" w:hAnsi="Times New Roman" w:eastAsia="楷体_GB2312" w:cs="Times New Roman"/>
                <w:b/>
                <w:bCs/>
                <w:szCs w:val="21"/>
              </w:rPr>
              <w:t>申购</w:t>
            </w:r>
            <w:r>
              <w:rPr>
                <w:rFonts w:hint="eastAsia" w:ascii="楷体_GB2312" w:hAnsi="Times New Roman" w:eastAsia="楷体_GB2312" w:cs="Times New Roman"/>
                <w:b/>
                <w:bCs/>
                <w:szCs w:val="21"/>
              </w:rPr>
              <w:t>、赎回和产品终止时</w:t>
            </w:r>
            <w:r>
              <w:rPr>
                <w:rFonts w:ascii="楷体_GB2312" w:hAnsi="Times New Roman" w:eastAsia="楷体_GB2312" w:cs="Times New Roman"/>
                <w:b/>
                <w:bCs/>
                <w:szCs w:val="21"/>
              </w:rPr>
              <w:t>的分配</w:t>
            </w:r>
            <w:r>
              <w:rPr>
                <w:rFonts w:hint="eastAsia" w:ascii="楷体_GB2312" w:hAnsi="Times New Roman" w:eastAsia="楷体_GB2312" w:cs="Times New Roman"/>
                <w:b/>
                <w:bCs/>
                <w:szCs w:val="21"/>
              </w:rPr>
              <w:t>进行确认</w:t>
            </w:r>
            <w:r>
              <w:rPr>
                <w:rFonts w:ascii="楷体_GB2312" w:hAnsi="Times New Roman" w:eastAsia="楷体_GB2312" w:cs="Times New Roman"/>
                <w:b/>
                <w:bCs/>
                <w:szCs w:val="21"/>
              </w:rPr>
              <w:t>。</w:t>
            </w:r>
            <w:r>
              <w:rPr>
                <w:rFonts w:hint="eastAsia" w:ascii="楷体_GB2312" w:hAnsi="Times New Roman" w:eastAsia="楷体_GB2312" w:cs="Times New Roman"/>
                <w:b/>
                <w:bCs/>
                <w:szCs w:val="21"/>
              </w:rPr>
              <w:t>管理人有权对以上净值计提方式进行修改，并通过</w:t>
            </w:r>
            <w:r>
              <w:rPr>
                <w:rFonts w:hint="eastAsia" w:ascii="楷体_GB2312" w:hAnsi="Times New Roman" w:eastAsia="楷体_GB2312" w:cs="Times New Roman"/>
                <w:b/>
                <w:bCs/>
                <w:szCs w:val="21"/>
                <w:lang w:eastAsia="zh-CN"/>
              </w:rPr>
              <w:t>《</w:t>
            </w:r>
            <w:r>
              <w:rPr>
                <w:rFonts w:hint="eastAsia" w:ascii="楷体_GB2312" w:hAnsi="Times New Roman" w:eastAsia="楷体_GB2312" w:cs="Times New Roman"/>
                <w:b/>
                <w:bCs/>
                <w:szCs w:val="21"/>
                <w:lang w:val="en-US" w:eastAsia="zh-CN"/>
              </w:rPr>
              <w:t>产品说明书</w:t>
            </w:r>
            <w:r>
              <w:rPr>
                <w:rFonts w:hint="eastAsia" w:ascii="楷体_GB2312" w:hAnsi="Times New Roman" w:eastAsia="楷体_GB2312" w:cs="Times New Roman"/>
                <w:b/>
                <w:bCs/>
                <w:szCs w:val="21"/>
                <w:lang w:eastAsia="zh-CN"/>
              </w:rPr>
              <w:t>》</w:t>
            </w:r>
            <w:r>
              <w:rPr>
                <w:rFonts w:hint="eastAsia" w:ascii="楷体_GB2312" w:hAnsi="Times New Roman" w:eastAsia="楷体_GB2312" w:cs="Times New Roman"/>
                <w:b/>
                <w:bCs/>
                <w:szCs w:val="21"/>
              </w:rPr>
              <w:t>“信息披露”约定的方式，向投资者披露。</w:t>
            </w:r>
          </w:p>
          <w:p>
            <w:pPr>
              <w:rPr>
                <w:rFonts w:ascii="楷体_GB2312" w:hAnsi="Times New Roman" w:eastAsia="楷体_GB2312" w:cs="Times New Roman"/>
                <w:b/>
                <w:bCs/>
                <w:szCs w:val="21"/>
              </w:rPr>
            </w:pPr>
            <w:r>
              <w:rPr>
                <w:rFonts w:hint="eastAsia" w:ascii="楷体_GB2312" w:hAnsi="Times New Roman" w:eastAsia="楷体_GB2312" w:cs="Times New Roman"/>
                <w:b/>
                <w:bCs/>
                <w:szCs w:val="21"/>
              </w:rPr>
              <w:t>产品</w:t>
            </w:r>
            <w:r>
              <w:rPr>
                <w:rFonts w:ascii="楷体_GB2312" w:hAnsi="Times New Roman" w:eastAsia="楷体_GB2312" w:cs="Times New Roman"/>
                <w:b/>
                <w:bCs/>
                <w:szCs w:val="21"/>
              </w:rPr>
              <w:t>初始</w:t>
            </w:r>
            <w:r>
              <w:rPr>
                <w:rFonts w:hint="eastAsia" w:ascii="楷体_GB2312" w:hAnsi="Times New Roman" w:eastAsia="楷体_GB2312" w:cs="Times New Roman"/>
                <w:b/>
                <w:bCs/>
                <w:szCs w:val="21"/>
                <w:lang w:val="en-US" w:eastAsia="zh-CN"/>
              </w:rPr>
              <w:t>份额</w:t>
            </w:r>
            <w:r>
              <w:rPr>
                <w:rFonts w:ascii="楷体_GB2312" w:hAnsi="Times New Roman" w:eastAsia="楷体_GB2312" w:cs="Times New Roman"/>
                <w:b/>
                <w:bCs/>
                <w:szCs w:val="21"/>
              </w:rPr>
              <w:t>净值</w:t>
            </w:r>
            <w:r>
              <w:rPr>
                <w:rFonts w:ascii="楷体_GB2312" w:hAnsi="Times New Roman" w:eastAsia="楷体_GB2312" w:cs="Times New Roman"/>
                <w:b/>
                <w:bCs/>
                <w:color w:val="auto"/>
                <w:szCs w:val="21"/>
              </w:rPr>
              <w:t>为</w:t>
            </w:r>
            <w:r>
              <w:rPr>
                <w:rFonts w:hint="eastAsia" w:ascii="楷体_GB2312" w:hAnsi="Times New Roman" w:eastAsia="楷体_GB2312" w:cs="Times New Roman"/>
                <w:b/>
                <w:bCs/>
                <w:color w:val="auto"/>
                <w:szCs w:val="21"/>
                <w:u w:val="single"/>
              </w:rPr>
              <w:t>1元/份</w:t>
            </w:r>
            <w:r>
              <w:rPr>
                <w:rFonts w:ascii="楷体_GB2312" w:hAnsi="Times New Roman" w:eastAsia="楷体_GB2312" w:cs="Times New Roman"/>
                <w:b/>
                <w:bCs/>
                <w:szCs w:val="21"/>
              </w:rPr>
              <w:t>。</w:t>
            </w:r>
          </w:p>
          <w:p>
            <w:pPr>
              <w:rPr>
                <w:rFonts w:hint="eastAsia" w:ascii="楷体" w:hAnsi="楷体" w:eastAsia="楷体"/>
                <w:b/>
                <w:bCs/>
              </w:rPr>
            </w:pPr>
            <w:r>
              <w:rPr>
                <w:rFonts w:hint="eastAsia" w:ascii="楷体_GB2312" w:hAnsi="宋体" w:eastAsia="楷体_GB2312" w:cs="Times New Roman"/>
                <w:b/>
                <w:bCs/>
                <w:szCs w:val="21"/>
              </w:rPr>
              <w:t>产品的申购、</w:t>
            </w:r>
            <w:r>
              <w:rPr>
                <w:rFonts w:ascii="楷体_GB2312" w:hAnsi="宋体" w:eastAsia="楷体_GB2312" w:cs="Times New Roman"/>
                <w:b/>
                <w:bCs/>
                <w:szCs w:val="21"/>
              </w:rPr>
              <w:t>赎回</w:t>
            </w:r>
            <w:r>
              <w:rPr>
                <w:rFonts w:hint="eastAsia" w:ascii="楷体_GB2312" w:hAnsi="宋体" w:eastAsia="楷体_GB2312" w:cs="Times New Roman"/>
                <w:b/>
                <w:bCs/>
                <w:szCs w:val="21"/>
              </w:rPr>
              <w:t>遵循“未知价”原则，即</w:t>
            </w:r>
            <w:r>
              <w:rPr>
                <w:rFonts w:ascii="楷体_GB2312" w:hAnsi="宋体" w:eastAsia="楷体_GB2312"/>
                <w:b/>
                <w:bCs/>
                <w:szCs w:val="21"/>
              </w:rPr>
              <w:t>本理财产品申购和赎回价格为</w:t>
            </w:r>
            <w:r>
              <w:rPr>
                <w:rFonts w:hint="eastAsia" w:ascii="楷体_GB2312" w:hAnsi="宋体" w:eastAsia="楷体_GB2312"/>
                <w:b/>
                <w:bCs/>
                <w:szCs w:val="21"/>
              </w:rPr>
              <w:t>对应确认日</w:t>
            </w:r>
            <w:r>
              <w:rPr>
                <w:rFonts w:hint="eastAsia" w:ascii="楷体_GB2312" w:hAnsi="宋体" w:eastAsia="楷体_GB2312"/>
                <w:b/>
                <w:bCs/>
                <w:szCs w:val="21"/>
                <w:lang w:val="en-US" w:eastAsia="zh-CN"/>
              </w:rPr>
              <w:t>前一交易日</w:t>
            </w:r>
            <w:r>
              <w:rPr>
                <w:rFonts w:ascii="楷体_GB2312" w:hAnsi="宋体" w:eastAsia="楷体_GB2312"/>
                <w:b/>
                <w:bCs/>
                <w:szCs w:val="21"/>
              </w:rPr>
              <w:t>的理财产品</w:t>
            </w:r>
            <w:r>
              <w:rPr>
                <w:rFonts w:hint="eastAsia" w:ascii="楷体_GB2312" w:hAnsi="宋体" w:eastAsia="楷体_GB2312"/>
                <w:b/>
                <w:bCs/>
                <w:szCs w:val="21"/>
                <w:lang w:val="en-US" w:eastAsia="zh-CN"/>
              </w:rPr>
              <w:t>份额</w:t>
            </w:r>
            <w:r>
              <w:rPr>
                <w:rFonts w:ascii="楷体_GB2312" w:hAnsi="宋体" w:eastAsia="楷体_GB2312"/>
                <w:b/>
                <w:bCs/>
                <w:szCs w:val="21"/>
              </w:rPr>
              <w:t>净值</w:t>
            </w:r>
            <w:r>
              <w:rPr>
                <w:rFonts w:hint="eastAsia" w:ascii="楷体_GB2312" w:hAnsi="宋体" w:eastAsia="楷体_GB2312" w:cs="Times New Roman"/>
                <w:b/>
                <w:bCs/>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rPr>
              <w:t>购买规则</w:t>
            </w:r>
          </w:p>
        </w:tc>
        <w:tc>
          <w:tcPr>
            <w:tcW w:w="6146" w:type="dxa"/>
            <w:vAlign w:val="top"/>
          </w:tcPr>
          <w:p>
            <w:pPr>
              <w:numPr>
                <w:ilvl w:val="-1"/>
                <w:numId w:val="0"/>
              </w:numPr>
              <w:tabs>
                <w:tab w:val="left" w:pos="360"/>
              </w:tabs>
              <w:rPr>
                <w:rFonts w:ascii="楷体_GB2312" w:hAnsi="宋体" w:eastAsia="楷体_GB2312" w:cs="楷体_GB2312"/>
                <w:b/>
                <w:bCs/>
                <w:color w:val="auto"/>
              </w:rPr>
            </w:pPr>
            <w:r>
              <w:rPr>
                <w:rFonts w:hint="eastAsia" w:ascii="楷体_GB2312" w:eastAsia="楷体_GB2312"/>
                <w:b/>
                <w:bCs/>
                <w:color w:val="auto"/>
                <w:szCs w:val="21"/>
                <w:lang w:eastAsia="zh-CN"/>
              </w:rPr>
              <w:t>（</w:t>
            </w:r>
            <w:r>
              <w:rPr>
                <w:rFonts w:hint="eastAsia" w:ascii="楷体_GB2312" w:eastAsia="楷体_GB2312"/>
                <w:b/>
                <w:bCs/>
                <w:color w:val="auto"/>
                <w:szCs w:val="21"/>
                <w:lang w:val="en-US" w:eastAsia="zh-CN"/>
              </w:rPr>
              <w:t>适用【Q】类份额</w:t>
            </w:r>
            <w:r>
              <w:rPr>
                <w:rFonts w:hint="eastAsia" w:ascii="楷体_GB2312" w:eastAsia="楷体_GB2312"/>
                <w:b/>
                <w:bCs/>
                <w:color w:val="auto"/>
                <w:szCs w:val="21"/>
                <w:lang w:eastAsia="zh-CN"/>
              </w:rPr>
              <w:t>）</w:t>
            </w:r>
          </w:p>
          <w:p>
            <w:pPr>
              <w:numPr>
                <w:ilvl w:val="0"/>
                <w:numId w:val="2"/>
              </w:numPr>
              <w:tabs>
                <w:tab w:val="left" w:pos="360"/>
              </w:tabs>
              <w:rPr>
                <w:rFonts w:hint="eastAsia" w:ascii="楷体_GB2312" w:hAnsi="宋体" w:eastAsia="楷体_GB2312" w:cs="楷体_GB2312"/>
                <w:b/>
                <w:bCs/>
                <w:lang w:eastAsia="zh-CN"/>
              </w:rPr>
            </w:pPr>
            <w:r>
              <w:rPr>
                <w:rFonts w:ascii="楷体_GB2312" w:hAnsi="宋体" w:eastAsia="楷体_GB2312" w:cs="楷体_GB2312"/>
                <w:b/>
                <w:bCs/>
              </w:rPr>
              <w:t>本理财产品购买</w:t>
            </w:r>
            <w:r>
              <w:rPr>
                <w:rFonts w:hint="eastAsia" w:ascii="楷体_GB2312" w:hAnsi="宋体" w:eastAsia="楷体_GB2312" w:cs="楷体_GB2312"/>
                <w:b/>
                <w:bCs/>
              </w:rPr>
              <w:t>顺序按时间优先原则进行确认</w:t>
            </w:r>
            <w:r>
              <w:rPr>
                <w:rFonts w:hint="eastAsia" w:ascii="楷体_GB2312" w:hAnsi="宋体" w:eastAsia="楷体_GB2312" w:cs="楷体_GB2312"/>
                <w:b/>
                <w:bCs/>
                <w:lang w:eastAsia="zh-CN"/>
              </w:rPr>
              <w:t>。</w:t>
            </w:r>
          </w:p>
          <w:p>
            <w:pPr>
              <w:numPr>
                <w:ilvl w:val="0"/>
                <w:numId w:val="2"/>
              </w:numPr>
              <w:tabs>
                <w:tab w:val="left" w:pos="360"/>
              </w:tabs>
              <w:rPr>
                <w:rFonts w:ascii="楷体_GB2312" w:hAnsi="宋体" w:eastAsia="楷体_GB2312" w:cs="楷体_GB2312"/>
                <w:b/>
                <w:bCs/>
              </w:rPr>
            </w:pPr>
            <w:r>
              <w:rPr>
                <w:rFonts w:hint="eastAsia" w:ascii="楷体_GB2312" w:hAnsi="宋体" w:eastAsia="楷体_GB2312" w:cs="楷体_GB2312"/>
                <w:b/>
                <w:bCs/>
                <w:lang w:val="en-US" w:eastAsia="zh-CN"/>
              </w:rPr>
              <w:t>本理财产品</w:t>
            </w:r>
            <w:r>
              <w:rPr>
                <w:rFonts w:ascii="楷体_GB2312" w:hAnsi="宋体" w:eastAsia="楷体_GB2312" w:cs="楷体_GB2312"/>
                <w:b/>
                <w:bCs/>
              </w:rPr>
              <w:t>客户首次购买的最低金额为</w:t>
            </w:r>
            <w:r>
              <w:rPr>
                <w:rFonts w:hint="eastAsia" w:ascii="楷体_GB2312" w:hAnsi="宋体" w:eastAsia="楷体_GB2312" w:cs="楷体_GB2312"/>
                <w:b/>
                <w:bCs/>
                <w:u w:val="single"/>
                <w:lang w:eastAsia="zh-CN"/>
              </w:rPr>
              <w:t>【</w:t>
            </w:r>
            <w:r>
              <w:rPr>
                <w:rFonts w:ascii="楷体_GB2312" w:hAnsi="宋体" w:eastAsia="楷体_GB2312" w:cs="楷体_GB2312"/>
                <w:b/>
                <w:bCs/>
                <w:color w:val="C00000"/>
                <w:u w:val="single"/>
              </w:rPr>
              <w:t>1</w:t>
            </w:r>
            <w:r>
              <w:rPr>
                <w:rFonts w:hint="eastAsia" w:ascii="楷体_GB2312" w:hAnsi="宋体" w:eastAsia="楷体_GB2312" w:cs="楷体_GB2312"/>
                <w:b/>
                <w:bCs/>
                <w:color w:val="auto"/>
                <w:u w:val="single"/>
                <w:lang w:eastAsia="zh-CN"/>
              </w:rPr>
              <w:t>】</w:t>
            </w:r>
            <w:r>
              <w:rPr>
                <w:rFonts w:ascii="楷体_GB2312" w:hAnsi="宋体" w:eastAsia="楷体_GB2312" w:cs="楷体_GB2312"/>
                <w:b/>
                <w:bCs/>
                <w:color w:val="auto"/>
                <w:u w:val="single"/>
              </w:rPr>
              <w:t>元</w:t>
            </w:r>
            <w:r>
              <w:rPr>
                <w:rFonts w:hint="eastAsia" w:ascii="楷体_GB2312" w:hAnsi="宋体" w:eastAsia="楷体_GB2312" w:cs="楷体_GB2312"/>
                <w:b/>
                <w:bCs/>
              </w:rPr>
              <w:t>，超出部分应为</w:t>
            </w:r>
            <w:r>
              <w:rPr>
                <w:rFonts w:hint="eastAsia" w:ascii="楷体_GB2312" w:hAnsi="宋体" w:eastAsia="楷体_GB2312" w:cs="楷体_GB2312"/>
                <w:b/>
                <w:bCs/>
                <w:u w:val="single"/>
                <w:lang w:eastAsia="zh-CN"/>
              </w:rPr>
              <w:t>【</w:t>
            </w:r>
            <w:r>
              <w:rPr>
                <w:rFonts w:ascii="楷体_GB2312" w:hAnsi="宋体" w:eastAsia="楷体_GB2312" w:cs="楷体_GB2312"/>
                <w:b/>
                <w:bCs/>
                <w:color w:val="C00000"/>
                <w:u w:val="single"/>
              </w:rPr>
              <w:t>1</w:t>
            </w:r>
            <w:r>
              <w:rPr>
                <w:rFonts w:hint="eastAsia" w:ascii="楷体_GB2312" w:hAnsi="宋体" w:eastAsia="楷体_GB2312" w:cs="楷体_GB2312"/>
                <w:b/>
                <w:bCs/>
                <w:color w:val="auto"/>
                <w:u w:val="single"/>
                <w:lang w:eastAsia="zh-CN"/>
              </w:rPr>
              <w:t>】</w:t>
            </w:r>
            <w:r>
              <w:rPr>
                <w:rFonts w:hint="eastAsia" w:ascii="楷体_GB2312" w:hAnsi="宋体" w:eastAsia="楷体_GB2312" w:cs="楷体_GB2312"/>
                <w:b/>
                <w:bCs/>
                <w:color w:val="auto"/>
                <w:u w:val="single"/>
              </w:rPr>
              <w:t>元</w:t>
            </w:r>
            <w:r>
              <w:rPr>
                <w:rFonts w:hint="eastAsia" w:ascii="楷体_GB2312" w:hAnsi="宋体" w:eastAsia="楷体_GB2312" w:cs="楷体_GB2312"/>
                <w:b/>
                <w:bCs/>
              </w:rPr>
              <w:t>的整数倍。最低追加申购金额为</w:t>
            </w:r>
            <w:r>
              <w:rPr>
                <w:rFonts w:hint="eastAsia" w:ascii="楷体_GB2312" w:hAnsi="宋体" w:eastAsia="楷体_GB2312" w:cs="楷体_GB2312"/>
                <w:b/>
                <w:bCs/>
                <w:u w:val="single"/>
                <w:lang w:eastAsia="zh-CN"/>
              </w:rPr>
              <w:t>【</w:t>
            </w:r>
            <w:r>
              <w:rPr>
                <w:rFonts w:ascii="楷体_GB2312" w:hAnsi="宋体" w:eastAsia="楷体_GB2312" w:cs="楷体_GB2312"/>
                <w:b/>
                <w:bCs/>
                <w:color w:val="C00000"/>
                <w:u w:val="single"/>
              </w:rPr>
              <w:t>1</w:t>
            </w:r>
            <w:r>
              <w:rPr>
                <w:rFonts w:hint="eastAsia" w:ascii="楷体_GB2312" w:hAnsi="宋体" w:eastAsia="楷体_GB2312" w:cs="楷体_GB2312"/>
                <w:b/>
                <w:bCs/>
                <w:color w:val="auto"/>
                <w:u w:val="single"/>
                <w:lang w:eastAsia="zh-CN"/>
              </w:rPr>
              <w:t>】</w:t>
            </w:r>
            <w:r>
              <w:rPr>
                <w:rFonts w:hint="eastAsia" w:ascii="楷体_GB2312" w:hAnsi="宋体" w:eastAsia="楷体_GB2312" w:cs="楷体_GB2312"/>
                <w:b/>
                <w:bCs/>
                <w:color w:val="auto"/>
                <w:u w:val="single"/>
              </w:rPr>
              <w:t>元</w:t>
            </w:r>
            <w:r>
              <w:rPr>
                <w:rFonts w:hint="eastAsia" w:ascii="楷体_GB2312" w:hAnsi="宋体" w:eastAsia="楷体_GB2312" w:cs="楷体_GB2312"/>
                <w:b/>
                <w:bCs/>
              </w:rPr>
              <w:t>，超出部分应为</w:t>
            </w:r>
            <w:r>
              <w:rPr>
                <w:rFonts w:hint="eastAsia" w:ascii="楷体_GB2312" w:hAnsi="宋体" w:eastAsia="楷体_GB2312" w:cs="楷体_GB2312"/>
                <w:b/>
                <w:bCs/>
                <w:u w:val="single"/>
                <w:lang w:eastAsia="zh-CN"/>
              </w:rPr>
              <w:t>【</w:t>
            </w:r>
            <w:r>
              <w:rPr>
                <w:rFonts w:ascii="楷体_GB2312" w:hAnsi="宋体" w:eastAsia="楷体_GB2312" w:cs="楷体_GB2312"/>
                <w:b/>
                <w:bCs/>
                <w:color w:val="C00000"/>
                <w:u w:val="single"/>
              </w:rPr>
              <w:t>1</w:t>
            </w:r>
            <w:r>
              <w:rPr>
                <w:rFonts w:hint="eastAsia" w:ascii="楷体_GB2312" w:hAnsi="宋体" w:eastAsia="楷体_GB2312" w:cs="楷体_GB2312"/>
                <w:b/>
                <w:bCs/>
                <w:color w:val="auto"/>
                <w:u w:val="single"/>
                <w:lang w:eastAsia="zh-CN"/>
              </w:rPr>
              <w:t>】</w:t>
            </w:r>
            <w:r>
              <w:rPr>
                <w:rFonts w:hint="eastAsia" w:ascii="楷体_GB2312" w:hAnsi="宋体" w:eastAsia="楷体_GB2312" w:cs="楷体_GB2312"/>
                <w:b/>
                <w:bCs/>
                <w:color w:val="auto"/>
                <w:u w:val="single"/>
              </w:rPr>
              <w:t>元</w:t>
            </w:r>
            <w:r>
              <w:rPr>
                <w:rFonts w:hint="eastAsia" w:ascii="楷体_GB2312" w:hAnsi="宋体" w:eastAsia="楷体_GB2312" w:cs="楷体_GB2312"/>
                <w:b/>
                <w:bCs/>
              </w:rPr>
              <w:t>的整数倍。</w:t>
            </w:r>
          </w:p>
          <w:p>
            <w:pPr>
              <w:numPr>
                <w:ilvl w:val="0"/>
                <w:numId w:val="0"/>
              </w:numPr>
              <w:jc w:val="left"/>
              <w:rPr>
                <w:rFonts w:ascii="楷体_GB2312" w:hAnsi="宋体" w:eastAsia="楷体_GB2312" w:cs="楷体_GB2312"/>
                <w:b/>
                <w:bCs/>
                <w:color w:val="auto"/>
                <w:highlight w:val="none"/>
                <w:u w:val="none"/>
              </w:rPr>
            </w:pPr>
            <w:r>
              <w:rPr>
                <w:rFonts w:ascii="楷体_GB2312" w:hAnsi="宋体" w:eastAsia="楷体_GB2312" w:cs="楷体_GB2312"/>
                <w:b/>
                <w:bCs/>
                <w:color w:val="auto"/>
                <w:highlight w:val="none"/>
                <w:u w:val="none"/>
                <w:lang w:val="en-US" w:eastAsia="zh-CN"/>
              </w:rPr>
              <w:t>注：关于代理销售机构的实际销售起点金额的提示</w:t>
            </w:r>
            <w:r>
              <w:rPr>
                <w:rFonts w:hint="eastAsia" w:ascii="楷体_GB2312" w:hAnsi="宋体" w:eastAsia="楷体_GB2312" w:cs="楷体_GB2312"/>
                <w:b/>
                <w:bCs/>
                <w:color w:val="auto"/>
                <w:highlight w:val="none"/>
                <w:u w:val="none"/>
                <w:lang w:val="en-US" w:eastAsia="zh-CN"/>
              </w:rPr>
              <w:t>。</w:t>
            </w:r>
          </w:p>
          <w:p>
            <w:pPr>
              <w:numPr>
                <w:ilvl w:val="0"/>
                <w:numId w:val="0"/>
              </w:numPr>
              <w:jc w:val="left"/>
              <w:rPr>
                <w:rFonts w:ascii="楷体_GB2312" w:hAnsi="宋体" w:eastAsia="楷体_GB2312" w:cs="楷体_GB2312"/>
                <w:b/>
                <w:bCs/>
                <w:color w:val="auto"/>
                <w:highlight w:val="none"/>
                <w:u w:val="none"/>
              </w:rPr>
            </w:pPr>
            <w:r>
              <w:rPr>
                <w:rFonts w:hint="eastAsia" w:ascii="楷体_GB2312" w:hAnsi="宋体" w:eastAsia="楷体_GB2312" w:cs="楷体_GB2312"/>
                <w:b/>
                <w:bCs/>
                <w:color w:val="auto"/>
                <w:highlight w:val="none"/>
                <w:u w:val="none"/>
                <w:lang w:val="en-US" w:eastAsia="zh-CN"/>
              </w:rPr>
              <w:t xml:space="preserve">（1）本理财产品在代理销售机构的实际销售起点金额，因代理销售机构的不同可能存在差异（可能高于销售文件约定的销售起点金额），应当以代理销售机构展示为准。 </w:t>
            </w:r>
          </w:p>
          <w:p>
            <w:pPr>
              <w:numPr>
                <w:ilvl w:val="0"/>
                <w:numId w:val="0"/>
              </w:numPr>
              <w:rPr>
                <w:rFonts w:ascii="楷体_GB2312" w:hAnsi="宋体" w:eastAsia="楷体_GB2312" w:cs="楷体_GB2312"/>
                <w:b/>
                <w:bCs/>
              </w:rPr>
            </w:pPr>
            <w:r>
              <w:rPr>
                <w:rFonts w:hint="eastAsia" w:ascii="楷体_GB2312" w:hAnsi="宋体" w:eastAsia="楷体_GB2312" w:cs="楷体_GB2312"/>
                <w:b/>
                <w:bCs/>
                <w:color w:val="auto"/>
                <w:highlight w:val="none"/>
                <w:u w:val="none"/>
                <w:lang w:val="en-US" w:eastAsia="zh-CN"/>
              </w:rPr>
              <w:t>（2）代理销售机构的实际销售起点金额，不得低于销售文件约定的销售起点金额。</w:t>
            </w:r>
          </w:p>
          <w:p>
            <w:pPr>
              <w:tabs>
                <w:tab w:val="left" w:pos="360"/>
              </w:tabs>
              <w:rPr>
                <w:rFonts w:ascii="楷体_GB2312" w:hAnsi="宋体" w:eastAsia="楷体_GB2312" w:cs="楷体_GB2312"/>
                <w:b/>
                <w:bCs/>
              </w:rPr>
            </w:pPr>
            <w:r>
              <w:rPr>
                <w:rFonts w:hint="eastAsia" w:ascii="楷体_GB2312" w:hAnsi="宋体" w:eastAsia="楷体_GB2312" w:cs="楷体_GB2312"/>
                <w:b/>
                <w:bCs/>
                <w:lang w:val="en-US" w:eastAsia="zh-CN"/>
              </w:rPr>
              <w:t>3</w:t>
            </w:r>
            <w:r>
              <w:rPr>
                <w:rFonts w:ascii="楷体_GB2312" w:hAnsi="宋体" w:eastAsia="楷体_GB2312" w:cs="楷体_GB2312"/>
                <w:b/>
                <w:bCs/>
              </w:rPr>
              <w:t>、</w:t>
            </w:r>
            <w:r>
              <w:rPr>
                <w:rFonts w:hint="eastAsia" w:ascii="楷体_GB2312" w:hAnsi="宋体" w:eastAsia="楷体_GB2312" w:cs="楷体_GB2312"/>
                <w:b/>
                <w:bCs/>
              </w:rPr>
              <w:t>本理财</w:t>
            </w:r>
            <w:r>
              <w:rPr>
                <w:rFonts w:ascii="楷体_GB2312" w:hAnsi="宋体" w:eastAsia="楷体_GB2312" w:cs="楷体_GB2312"/>
                <w:b/>
                <w:bCs/>
              </w:rPr>
              <w:t>产品单户最低</w:t>
            </w:r>
            <w:r>
              <w:rPr>
                <w:rFonts w:hint="eastAsia" w:ascii="楷体_GB2312" w:hAnsi="宋体" w:eastAsia="楷体_GB2312" w:cs="楷体_GB2312"/>
                <w:b/>
                <w:bCs/>
              </w:rPr>
              <w:t>持有</w:t>
            </w:r>
            <w:r>
              <w:rPr>
                <w:rFonts w:ascii="楷体_GB2312" w:hAnsi="宋体" w:eastAsia="楷体_GB2312" w:cs="楷体_GB2312"/>
                <w:b/>
                <w:bCs/>
              </w:rPr>
              <w:t>份额为</w:t>
            </w:r>
            <w:r>
              <w:rPr>
                <w:rFonts w:hint="eastAsia" w:ascii="楷体_GB2312" w:hAnsi="宋体" w:eastAsia="楷体_GB2312" w:cs="楷体_GB2312"/>
                <w:b/>
                <w:bCs/>
                <w:u w:val="single"/>
                <w:lang w:eastAsia="zh-CN"/>
              </w:rPr>
              <w:t>【</w:t>
            </w:r>
            <w:r>
              <w:rPr>
                <w:rFonts w:hint="eastAsia" w:ascii="楷体_GB2312" w:hAnsi="宋体" w:eastAsia="楷体_GB2312" w:cs="楷体_GB2312"/>
                <w:b/>
                <w:bCs/>
                <w:color w:val="C00000"/>
                <w:u w:val="single"/>
                <w:lang w:val="en-US" w:eastAsia="zh-CN"/>
              </w:rPr>
              <w:t>0.01</w:t>
            </w:r>
            <w:r>
              <w:rPr>
                <w:rFonts w:hint="eastAsia" w:ascii="楷体_GB2312" w:hAnsi="宋体" w:eastAsia="楷体_GB2312" w:cs="楷体_GB2312"/>
                <w:b/>
                <w:bCs/>
                <w:color w:val="auto"/>
                <w:u w:val="single"/>
                <w:lang w:eastAsia="zh-CN"/>
              </w:rPr>
              <w:t>】</w:t>
            </w:r>
            <w:r>
              <w:rPr>
                <w:rFonts w:ascii="楷体_GB2312" w:hAnsi="宋体" w:eastAsia="楷体_GB2312" w:cs="楷体_GB2312"/>
                <w:b/>
                <w:bCs/>
                <w:color w:val="auto"/>
                <w:u w:val="single"/>
              </w:rPr>
              <w:t>份</w:t>
            </w:r>
            <w:r>
              <w:rPr>
                <w:rFonts w:hint="eastAsia" w:ascii="楷体_GB2312" w:hAnsi="宋体" w:eastAsia="楷体_GB2312" w:cs="楷体_GB2312"/>
                <w:b/>
                <w:bCs/>
              </w:rPr>
              <w:t>（因</w:t>
            </w:r>
            <w:r>
              <w:rPr>
                <w:rFonts w:ascii="楷体_GB2312" w:hAnsi="宋体" w:eastAsia="楷体_GB2312" w:cs="楷体_GB2312"/>
                <w:b/>
                <w:bCs/>
              </w:rPr>
              <w:t>产品</w:t>
            </w:r>
            <w:r>
              <w:rPr>
                <w:rFonts w:hint="eastAsia" w:ascii="楷体_GB2312" w:hAnsi="宋体" w:eastAsia="楷体_GB2312" w:cs="楷体_GB2312"/>
                <w:b/>
                <w:bCs/>
                <w:lang w:val="en-US" w:eastAsia="zh-CN"/>
              </w:rPr>
              <w:t>份额</w:t>
            </w:r>
            <w:r>
              <w:rPr>
                <w:rFonts w:ascii="楷体_GB2312" w:hAnsi="宋体" w:eastAsia="楷体_GB2312" w:cs="楷体_GB2312"/>
                <w:b/>
                <w:bCs/>
              </w:rPr>
              <w:t>净值变化导致的情况除外）。</w:t>
            </w:r>
          </w:p>
          <w:p>
            <w:pPr>
              <w:tabs>
                <w:tab w:val="left" w:pos="360"/>
              </w:tabs>
              <w:rPr>
                <w:rFonts w:hint="eastAsia" w:ascii="楷体_GB2312" w:eastAsia="楷体_GB2312"/>
                <w:b/>
                <w:color w:val="auto"/>
                <w:szCs w:val="21"/>
                <w:highlight w:val="none"/>
                <w:u w:val="single"/>
                <w:lang w:eastAsia="zh-CN"/>
              </w:rPr>
            </w:pPr>
            <w:r>
              <w:rPr>
                <w:rFonts w:hint="eastAsia" w:ascii="楷体_GB2312" w:hAnsi="宋体" w:eastAsia="楷体_GB2312" w:cs="楷体_GB2312"/>
                <w:b/>
                <w:bCs/>
                <w:highlight w:val="none"/>
                <w:lang w:val="en-US" w:eastAsia="zh-CN"/>
              </w:rPr>
              <w:t>4</w:t>
            </w:r>
            <w:r>
              <w:rPr>
                <w:rFonts w:hint="eastAsia" w:ascii="楷体_GB2312" w:hAnsi="宋体" w:eastAsia="楷体_GB2312" w:cs="楷体_GB2312"/>
                <w:b/>
                <w:bCs/>
                <w:highlight w:val="none"/>
              </w:rPr>
              <w:t>、</w:t>
            </w:r>
            <w:r>
              <w:rPr>
                <w:rFonts w:hint="eastAsia" w:ascii="楷体_GB2312" w:eastAsia="楷体_GB2312"/>
                <w:b/>
                <w:szCs w:val="21"/>
                <w:highlight w:val="none"/>
              </w:rPr>
              <w:t>单户累计最大购买金额为</w:t>
            </w:r>
            <w:r>
              <w:rPr>
                <w:rFonts w:hint="eastAsia" w:ascii="楷体_GB2312" w:eastAsia="楷体_GB2312"/>
                <w:b/>
                <w:szCs w:val="21"/>
                <w:highlight w:val="none"/>
                <w:u w:val="single"/>
                <w:lang w:eastAsia="zh-CN"/>
              </w:rPr>
              <w:t>【</w:t>
            </w:r>
            <w:r>
              <w:rPr>
                <w:rFonts w:hint="eastAsia" w:ascii="楷体_GB2312" w:eastAsia="楷体_GB2312"/>
                <w:b/>
                <w:color w:val="C00000"/>
                <w:szCs w:val="21"/>
                <w:highlight w:val="none"/>
                <w:u w:val="single"/>
                <w:lang w:val="en-US" w:eastAsia="zh-CN"/>
              </w:rPr>
              <w:t>5000</w:t>
            </w:r>
            <w:r>
              <w:rPr>
                <w:rFonts w:hint="eastAsia" w:ascii="楷体_GB2312" w:eastAsia="楷体_GB2312"/>
                <w:b/>
                <w:color w:val="auto"/>
                <w:szCs w:val="21"/>
                <w:highlight w:val="none"/>
                <w:u w:val="single"/>
                <w:lang w:val="en-US" w:eastAsia="zh-CN"/>
              </w:rPr>
              <w:t>】</w:t>
            </w:r>
            <w:r>
              <w:rPr>
                <w:rFonts w:hint="eastAsia" w:ascii="楷体_GB2312" w:eastAsia="楷体_GB2312"/>
                <w:b/>
                <w:color w:val="auto"/>
                <w:szCs w:val="21"/>
                <w:highlight w:val="none"/>
                <w:u w:val="single"/>
              </w:rPr>
              <w:t>万元</w:t>
            </w:r>
            <w:r>
              <w:rPr>
                <w:rFonts w:hint="eastAsia" w:ascii="楷体_GB2312" w:eastAsia="楷体_GB2312"/>
                <w:b/>
                <w:color w:val="auto"/>
                <w:szCs w:val="21"/>
                <w:highlight w:val="none"/>
                <w:u w:val="single"/>
                <w:lang w:eastAsia="zh-CN"/>
              </w:rPr>
              <w:t>。</w:t>
            </w:r>
          </w:p>
          <w:p>
            <w:pPr>
              <w:tabs>
                <w:tab w:val="left" w:pos="360"/>
              </w:tabs>
              <w:rPr>
                <w:rFonts w:hint="eastAsia" w:ascii="楷体_GB2312" w:eastAsia="楷体_GB2312"/>
                <w:b/>
                <w:szCs w:val="21"/>
                <w:highlight w:val="none"/>
                <w:lang w:val="en-US" w:eastAsia="zh-CN"/>
              </w:rPr>
            </w:pPr>
            <w:r>
              <w:rPr>
                <w:rFonts w:hint="eastAsia" w:ascii="楷体_GB2312" w:eastAsia="楷体_GB2312"/>
                <w:b/>
                <w:szCs w:val="21"/>
                <w:highlight w:val="none"/>
                <w:lang w:val="en-US" w:eastAsia="zh-CN"/>
              </w:rPr>
              <w:t>★注：本产品单一投资者持有份额不得超过产品总份额</w:t>
            </w:r>
            <w:r>
              <w:rPr>
                <w:rFonts w:hint="eastAsia" w:ascii="楷体_GB2312" w:eastAsia="楷体_GB2312"/>
                <w:b/>
                <w:color w:val="C00000"/>
                <w:szCs w:val="21"/>
                <w:highlight w:val="none"/>
                <w:u w:val="single"/>
                <w:lang w:val="en-US" w:eastAsia="zh-CN"/>
              </w:rPr>
              <w:t>50%</w:t>
            </w:r>
            <w:r>
              <w:rPr>
                <w:rFonts w:hint="eastAsia" w:ascii="楷体_GB2312" w:eastAsia="楷体_GB2312"/>
                <w:b/>
                <w:szCs w:val="21"/>
                <w:highlight w:val="none"/>
                <w:lang w:val="en-US" w:eastAsia="zh-CN"/>
              </w:rPr>
              <w:t>。</w:t>
            </w:r>
          </w:p>
          <w:p>
            <w:pPr>
              <w:tabs>
                <w:tab w:val="left" w:pos="360"/>
              </w:tabs>
              <w:rPr>
                <w:rFonts w:hint="eastAsia" w:ascii="楷体_GB2312" w:eastAsia="楷体_GB2312"/>
                <w:b/>
                <w:szCs w:val="21"/>
                <w:highlight w:val="none"/>
                <w:lang w:val="en-US" w:eastAsia="zh-CN"/>
              </w:rPr>
            </w:pPr>
            <w:r>
              <w:rPr>
                <w:rFonts w:hint="eastAsia" w:ascii="楷体_GB2312" w:eastAsia="楷体_GB2312"/>
                <w:b/>
                <w:szCs w:val="21"/>
                <w:highlight w:val="none"/>
                <w:lang w:val="en-US" w:eastAsia="zh-CN"/>
              </w:rPr>
              <w:t>（1）投资者认购或申购确认后可能导致其持有份额超过产品总份额</w:t>
            </w:r>
            <w:r>
              <w:rPr>
                <w:rFonts w:hint="eastAsia" w:ascii="楷体_GB2312" w:eastAsia="楷体_GB2312"/>
                <w:b/>
                <w:color w:val="C00000"/>
                <w:szCs w:val="21"/>
                <w:highlight w:val="none"/>
                <w:u w:val="single"/>
                <w:lang w:val="en-US" w:eastAsia="zh-CN"/>
              </w:rPr>
              <w:t>50%</w:t>
            </w:r>
            <w:r>
              <w:rPr>
                <w:rFonts w:hint="eastAsia" w:ascii="楷体_GB2312" w:eastAsia="楷体_GB2312"/>
                <w:b/>
                <w:szCs w:val="21"/>
                <w:highlight w:val="none"/>
                <w:lang w:val="en-US" w:eastAsia="zh-CN"/>
              </w:rPr>
              <w:t>的，管理人有权拒绝或暂停认购、申购。</w:t>
            </w:r>
          </w:p>
          <w:p>
            <w:pPr>
              <w:tabs>
                <w:tab w:val="left" w:pos="360"/>
              </w:tabs>
              <w:rPr>
                <w:rFonts w:hint="eastAsia" w:ascii="楷体" w:hAnsi="楷体" w:eastAsia="楷体"/>
                <w:b/>
                <w:bCs/>
              </w:rPr>
            </w:pPr>
            <w:r>
              <w:rPr>
                <w:rFonts w:hint="eastAsia" w:ascii="楷体_GB2312" w:eastAsia="楷体_GB2312"/>
                <w:b/>
                <w:szCs w:val="21"/>
                <w:highlight w:val="none"/>
                <w:lang w:val="en-US" w:eastAsia="zh-CN"/>
              </w:rPr>
              <w:t>（2）非因管理人主观因素导致突破该比例限制的，在单一投资者持有比例降至</w:t>
            </w:r>
            <w:r>
              <w:rPr>
                <w:rFonts w:hint="eastAsia" w:ascii="楷体_GB2312" w:eastAsia="楷体_GB2312"/>
                <w:b/>
                <w:color w:val="C00000"/>
                <w:szCs w:val="21"/>
                <w:highlight w:val="none"/>
                <w:u w:val="single"/>
                <w:lang w:val="en-US" w:eastAsia="zh-CN"/>
              </w:rPr>
              <w:t>50%</w:t>
            </w:r>
            <w:r>
              <w:rPr>
                <w:rFonts w:hint="eastAsia" w:ascii="楷体_GB2312" w:eastAsia="楷体_GB2312"/>
                <w:b/>
                <w:szCs w:val="21"/>
                <w:highlight w:val="none"/>
                <w:lang w:val="en-US" w:eastAsia="zh-CN"/>
              </w:rPr>
              <w:t>以下之前，管理人不再接受该投资者对本产品的认购、申购申请。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rPr>
              <w:t>赎回规则</w:t>
            </w:r>
          </w:p>
        </w:tc>
        <w:tc>
          <w:tcPr>
            <w:tcW w:w="6146" w:type="dxa"/>
            <w:vAlign w:val="top"/>
          </w:tcPr>
          <w:p>
            <w:pPr>
              <w:numPr>
                <w:ilvl w:val="0"/>
                <w:numId w:val="0"/>
              </w:numPr>
              <w:rPr>
                <w:rFonts w:ascii="楷体_GB2312" w:hAnsi="宋体" w:eastAsia="楷体_GB2312" w:cs="楷体_GB2312"/>
                <w:b/>
                <w:bCs/>
              </w:rPr>
            </w:pPr>
            <w:r>
              <w:rPr>
                <w:rFonts w:hint="eastAsia" w:ascii="楷体_GB2312" w:eastAsia="楷体_GB2312"/>
                <w:b/>
                <w:bCs/>
                <w:color w:val="auto"/>
                <w:szCs w:val="21"/>
                <w:lang w:eastAsia="zh-CN"/>
              </w:rPr>
              <w:t>（</w:t>
            </w:r>
            <w:r>
              <w:rPr>
                <w:rFonts w:hint="eastAsia" w:ascii="楷体_GB2312" w:eastAsia="楷体_GB2312"/>
                <w:b/>
                <w:bCs/>
                <w:color w:val="auto"/>
                <w:szCs w:val="21"/>
                <w:lang w:val="en-US" w:eastAsia="zh-CN"/>
              </w:rPr>
              <w:t>适用【Q】类份额</w:t>
            </w:r>
            <w:r>
              <w:rPr>
                <w:rFonts w:hint="eastAsia" w:ascii="楷体_GB2312" w:eastAsia="楷体_GB2312"/>
                <w:b/>
                <w:bCs/>
                <w:color w:val="auto"/>
                <w:szCs w:val="21"/>
                <w:lang w:eastAsia="zh-CN"/>
              </w:rPr>
              <w:t>）</w:t>
            </w:r>
          </w:p>
          <w:p>
            <w:pPr>
              <w:numPr>
                <w:ilvl w:val="0"/>
                <w:numId w:val="3"/>
              </w:numPr>
              <w:rPr>
                <w:rFonts w:ascii="楷体_GB2312" w:hAnsi="宋体" w:eastAsia="楷体_GB2312" w:cs="楷体_GB2312"/>
                <w:b/>
                <w:bCs/>
              </w:rPr>
            </w:pPr>
            <w:r>
              <w:rPr>
                <w:rFonts w:ascii="楷体_GB2312" w:hAnsi="宋体" w:eastAsia="楷体_GB2312" w:cs="楷体_GB2312"/>
                <w:b/>
                <w:bCs/>
              </w:rPr>
              <w:t>本理财产品</w:t>
            </w:r>
            <w:r>
              <w:rPr>
                <w:rFonts w:hint="eastAsia" w:ascii="楷体_GB2312" w:hAnsi="宋体" w:eastAsia="楷体_GB2312" w:cs="楷体_GB2312"/>
                <w:b/>
                <w:bCs/>
                <w:lang w:val="en-US" w:eastAsia="zh-CN"/>
              </w:rPr>
              <w:t>客户</w:t>
            </w:r>
            <w:r>
              <w:rPr>
                <w:rFonts w:ascii="楷体_GB2312" w:hAnsi="宋体" w:eastAsia="楷体_GB2312" w:cs="楷体_GB2312"/>
                <w:b/>
                <w:bCs/>
              </w:rPr>
              <w:t>赎回最低</w:t>
            </w:r>
            <w:r>
              <w:rPr>
                <w:rFonts w:hint="eastAsia" w:ascii="楷体_GB2312" w:hAnsi="宋体" w:eastAsia="楷体_GB2312" w:cs="楷体_GB2312"/>
                <w:b/>
                <w:bCs/>
              </w:rPr>
              <w:t>份额</w:t>
            </w:r>
            <w:r>
              <w:rPr>
                <w:rFonts w:ascii="楷体_GB2312" w:hAnsi="宋体" w:eastAsia="楷体_GB2312" w:cs="楷体_GB2312"/>
                <w:b/>
                <w:bCs/>
              </w:rPr>
              <w:t>为</w:t>
            </w:r>
            <w:r>
              <w:rPr>
                <w:rFonts w:hint="eastAsia" w:ascii="楷体_GB2312" w:hAnsi="宋体" w:eastAsia="楷体_GB2312" w:cs="楷体_GB2312"/>
                <w:b/>
                <w:bCs/>
                <w:u w:val="single"/>
                <w:lang w:eastAsia="zh-CN"/>
              </w:rPr>
              <w:t>【</w:t>
            </w:r>
            <w:r>
              <w:rPr>
                <w:rFonts w:hint="eastAsia" w:ascii="楷体_GB2312" w:hAnsi="宋体" w:eastAsia="楷体_GB2312" w:cs="楷体_GB2312"/>
                <w:b/>
                <w:bCs/>
                <w:u w:val="single"/>
                <w:lang w:val="en-US" w:eastAsia="zh-CN"/>
              </w:rPr>
              <w:t>/</w:t>
            </w:r>
            <w:r>
              <w:rPr>
                <w:rFonts w:hint="eastAsia" w:ascii="楷体_GB2312" w:hAnsi="宋体" w:eastAsia="楷体_GB2312" w:cs="楷体_GB2312"/>
                <w:b/>
                <w:bCs/>
                <w:color w:val="auto"/>
                <w:u w:val="single"/>
                <w:lang w:eastAsia="zh-CN"/>
              </w:rPr>
              <w:t>】</w:t>
            </w:r>
            <w:r>
              <w:rPr>
                <w:rFonts w:ascii="楷体_GB2312" w:hAnsi="宋体" w:eastAsia="楷体_GB2312" w:cs="楷体_GB2312"/>
                <w:b/>
                <w:bCs/>
                <w:color w:val="auto"/>
                <w:u w:val="single"/>
              </w:rPr>
              <w:t>份</w:t>
            </w:r>
            <w:r>
              <w:rPr>
                <w:rFonts w:ascii="楷体_GB2312" w:hAnsi="宋体" w:eastAsia="楷体_GB2312" w:cs="楷体_GB2312"/>
                <w:b/>
                <w:bCs/>
              </w:rPr>
              <w:t>，超出部分应为</w:t>
            </w:r>
            <w:r>
              <w:rPr>
                <w:rFonts w:hint="eastAsia" w:ascii="楷体_GB2312" w:hAnsi="宋体" w:eastAsia="楷体_GB2312" w:cs="楷体_GB2312"/>
                <w:b/>
                <w:bCs/>
                <w:u w:val="single"/>
                <w:lang w:eastAsia="zh-CN"/>
              </w:rPr>
              <w:t>【</w:t>
            </w:r>
            <w:r>
              <w:rPr>
                <w:rFonts w:hint="eastAsia" w:ascii="楷体_GB2312" w:hAnsi="宋体" w:eastAsia="楷体_GB2312" w:cs="楷体_GB2312"/>
                <w:b/>
                <w:bCs/>
                <w:u w:val="single"/>
                <w:lang w:val="en-US" w:eastAsia="zh-CN"/>
              </w:rPr>
              <w:t>/</w:t>
            </w:r>
            <w:r>
              <w:rPr>
                <w:rFonts w:hint="eastAsia" w:ascii="楷体_GB2312" w:hAnsi="宋体" w:eastAsia="楷体_GB2312" w:cs="楷体_GB2312"/>
                <w:b/>
                <w:bCs/>
                <w:color w:val="auto"/>
                <w:u w:val="single"/>
                <w:lang w:eastAsia="zh-CN"/>
              </w:rPr>
              <w:t>】</w:t>
            </w:r>
            <w:r>
              <w:rPr>
                <w:rFonts w:ascii="楷体_GB2312" w:hAnsi="宋体" w:eastAsia="楷体_GB2312" w:cs="楷体_GB2312"/>
                <w:b/>
                <w:bCs/>
                <w:color w:val="C00000"/>
                <w:u w:val="single"/>
              </w:rPr>
              <w:t>份</w:t>
            </w:r>
            <w:r>
              <w:rPr>
                <w:rFonts w:ascii="楷体_GB2312" w:hAnsi="宋体" w:eastAsia="楷体_GB2312" w:cs="楷体_GB2312"/>
                <w:b/>
                <w:bCs/>
              </w:rPr>
              <w:t>的整数倍</w:t>
            </w:r>
            <w:r>
              <w:rPr>
                <w:rFonts w:hint="eastAsia" w:ascii="楷体_GB2312" w:hAnsi="宋体" w:eastAsia="楷体_GB2312" w:cs="楷体_GB2312"/>
                <w:b/>
                <w:bCs/>
              </w:rPr>
              <w:t>，</w:t>
            </w:r>
            <w:r>
              <w:rPr>
                <w:rFonts w:ascii="楷体_GB2312" w:hAnsi="宋体" w:eastAsia="楷体_GB2312" w:cs="楷体_GB2312"/>
                <w:b/>
                <w:bCs/>
              </w:rPr>
              <w:t>全额赎回除外。</w:t>
            </w:r>
            <w:r>
              <w:rPr>
                <w:rFonts w:hint="eastAsia" w:ascii="楷体_GB2312" w:hAnsi="宋体" w:eastAsia="楷体_GB2312" w:cs="楷体_GB2312"/>
                <w:b/>
                <w:bCs/>
                <w:color w:val="auto"/>
                <w:highlight w:val="none"/>
                <w:u w:val="none"/>
                <w:lang w:val="en-US" w:eastAsia="zh-CN"/>
              </w:rPr>
              <w:t>投资者通过代理销售机构购买理财产品的，按照代理销售机构对于交易赎回设置的相关规定执行。</w:t>
            </w:r>
          </w:p>
          <w:p>
            <w:pPr>
              <w:numPr>
                <w:ilvl w:val="0"/>
                <w:numId w:val="3"/>
              </w:numPr>
              <w:rPr>
                <w:rFonts w:ascii="楷体" w:hAnsi="楷体" w:eastAsia="楷体"/>
                <w:b/>
                <w:bCs/>
              </w:rPr>
            </w:pPr>
            <w:r>
              <w:rPr>
                <w:rFonts w:hint="eastAsia" w:ascii="楷体" w:hAnsi="楷体" w:eastAsia="楷体"/>
                <w:b/>
                <w:bCs/>
              </w:rPr>
              <w:t>在每笔产品份额对应的开放持有期内，投资者可以根据本产品赎回规则申请赎回该笔份额，详见</w:t>
            </w:r>
            <w:r>
              <w:rPr>
                <w:rFonts w:hint="eastAsia" w:ascii="楷体" w:hAnsi="楷体" w:eastAsia="楷体"/>
                <w:b/>
                <w:bCs/>
                <w:lang w:eastAsia="zh-CN"/>
              </w:rPr>
              <w:t>《</w:t>
            </w:r>
            <w:r>
              <w:rPr>
                <w:rFonts w:hint="eastAsia" w:ascii="楷体" w:hAnsi="楷体" w:eastAsia="楷体"/>
                <w:b/>
                <w:bCs/>
                <w:lang w:val="en-US" w:eastAsia="zh-CN"/>
              </w:rPr>
              <w:t>产品说明书</w:t>
            </w:r>
            <w:r>
              <w:rPr>
                <w:rFonts w:hint="eastAsia" w:ascii="楷体" w:hAnsi="楷体" w:eastAsia="楷体"/>
                <w:b/>
                <w:bCs/>
                <w:lang w:eastAsia="zh-CN"/>
              </w:rPr>
              <w:t>》</w:t>
            </w:r>
            <w:r>
              <w:rPr>
                <w:rFonts w:hint="eastAsia" w:ascii="楷体" w:hAnsi="楷体" w:eastAsia="楷体"/>
                <w:b/>
                <w:bCs/>
              </w:rPr>
              <w:t>“产品认购、申购和赎回”。</w:t>
            </w:r>
          </w:p>
          <w:p>
            <w:pPr>
              <w:numPr>
                <w:ilvl w:val="0"/>
                <w:numId w:val="3"/>
              </w:numPr>
              <w:rPr>
                <w:rFonts w:ascii="楷体" w:hAnsi="楷体" w:eastAsia="楷体"/>
                <w:b/>
                <w:bCs/>
              </w:rPr>
            </w:pPr>
            <w:r>
              <w:rPr>
                <w:rFonts w:hint="eastAsia" w:ascii="楷体" w:hAnsi="楷体" w:eastAsia="楷体"/>
                <w:b/>
                <w:bCs/>
              </w:rPr>
              <w:t>如投资者赎回申请为部分赎回的，则优先赎回最早认/申购的产品份额。</w:t>
            </w:r>
          </w:p>
          <w:p>
            <w:pPr>
              <w:numPr>
                <w:ilvl w:val="0"/>
                <w:numId w:val="3"/>
              </w:numPr>
              <w:rPr>
                <w:rFonts w:ascii="楷体_GB2312" w:hAnsi="宋体" w:eastAsia="楷体_GB2312" w:cs="楷体_GB2312"/>
                <w:b/>
                <w:bCs/>
              </w:rPr>
            </w:pPr>
            <w:r>
              <w:rPr>
                <w:rFonts w:hint="eastAsia" w:ascii="楷体" w:hAnsi="楷体" w:eastAsia="楷体"/>
                <w:b/>
                <w:bCs/>
              </w:rPr>
              <w:t>如投资者所持份额中，可赎回份额低于赎回申请的份额时，管理人有权拒绝该笔赎回申请。</w:t>
            </w:r>
          </w:p>
          <w:p>
            <w:pPr>
              <w:numPr>
                <w:ilvl w:val="0"/>
                <w:numId w:val="3"/>
              </w:numPr>
              <w:rPr>
                <w:rFonts w:ascii="楷体" w:hAnsi="楷体" w:eastAsia="楷体"/>
                <w:b/>
                <w:bCs/>
              </w:rPr>
            </w:pPr>
            <w:r>
              <w:rPr>
                <w:rFonts w:hint="eastAsia" w:ascii="楷体_GB2312" w:hAnsi="宋体" w:eastAsia="楷体_GB2312" w:cs="楷体_GB2312"/>
                <w:b/>
                <w:bCs/>
              </w:rPr>
              <w:t>管理人</w:t>
            </w:r>
            <w:r>
              <w:rPr>
                <w:rFonts w:ascii="楷体_GB2312" w:hAnsi="宋体" w:eastAsia="楷体_GB2312" w:cs="楷体_GB2312"/>
                <w:b/>
                <w:bCs/>
              </w:rPr>
              <w:t>有权拒绝</w:t>
            </w:r>
            <w:r>
              <w:rPr>
                <w:rFonts w:hint="eastAsia" w:ascii="楷体_GB2312" w:hAnsi="宋体" w:eastAsia="楷体_GB2312" w:cs="楷体_GB2312"/>
                <w:b/>
                <w:bCs/>
              </w:rPr>
              <w:t>将导致客户</w:t>
            </w:r>
            <w:r>
              <w:rPr>
                <w:rFonts w:ascii="楷体_GB2312" w:hAnsi="宋体" w:eastAsia="楷体_GB2312" w:cs="楷体_GB2312"/>
                <w:b/>
                <w:bCs/>
              </w:rPr>
              <w:t>持有份额</w:t>
            </w:r>
            <w:r>
              <w:rPr>
                <w:rFonts w:hint="eastAsia" w:ascii="楷体_GB2312" w:hAnsi="宋体" w:eastAsia="楷体_GB2312" w:cs="楷体_GB2312"/>
                <w:b/>
                <w:bCs/>
              </w:rPr>
              <w:t>低于单户最低持有份额的赎回申请。</w:t>
            </w:r>
          </w:p>
          <w:p>
            <w:pPr>
              <w:tabs>
                <w:tab w:val="center" w:pos="2965"/>
              </w:tabs>
              <w:rPr>
                <w:rFonts w:ascii="楷体_GB2312" w:hAnsi="宋体" w:eastAsia="楷体_GB2312" w:cs="楷体_GB2312"/>
                <w:b/>
                <w:bCs/>
              </w:rPr>
            </w:pPr>
            <w:r>
              <w:rPr>
                <w:rFonts w:hint="eastAsia" w:ascii="楷体_GB2312" w:hAnsi="宋体" w:eastAsia="楷体_GB2312" w:cs="楷体_GB2312"/>
                <w:b/>
                <w:bCs/>
              </w:rPr>
              <w:t>6、如本产品连</w:t>
            </w:r>
            <w:r>
              <w:rPr>
                <w:rFonts w:hint="eastAsia" w:ascii="楷体_GB2312" w:hAnsi="宋体" w:eastAsia="楷体_GB2312" w:cs="楷体_GB2312"/>
                <w:b/>
                <w:bCs/>
                <w:highlight w:val="none"/>
              </w:rPr>
              <w:t>续</w:t>
            </w:r>
            <w:r>
              <w:rPr>
                <w:rFonts w:hint="eastAsia" w:ascii="楷体_GB2312" w:hAnsi="宋体" w:eastAsia="楷体_GB2312" w:cs="楷体_GB2312"/>
                <w:b/>
                <w:bCs/>
                <w:color w:val="C00000"/>
                <w:highlight w:val="none"/>
                <w:u w:val="single"/>
              </w:rPr>
              <w:t>三个</w:t>
            </w:r>
            <w:r>
              <w:rPr>
                <w:rFonts w:hint="eastAsia" w:ascii="楷体_GB2312" w:hAnsi="宋体" w:eastAsia="楷体_GB2312" w:cs="楷体_GB2312"/>
                <w:b/>
                <w:bCs/>
                <w:color w:val="C00000"/>
                <w:highlight w:val="none"/>
                <w:u w:val="single"/>
                <w:lang w:val="en-US" w:eastAsia="zh-CN"/>
              </w:rPr>
              <w:t>开放日</w:t>
            </w:r>
            <w:r>
              <w:rPr>
                <w:rFonts w:hint="eastAsia" w:ascii="楷体_GB2312" w:hAnsi="宋体" w:eastAsia="楷体_GB2312" w:cs="楷体_GB2312"/>
                <w:b/>
                <w:bCs/>
                <w:highlight w:val="none"/>
              </w:rPr>
              <w:t>累计净赎回总</w:t>
            </w:r>
            <w:r>
              <w:rPr>
                <w:rFonts w:ascii="楷体_GB2312" w:hAnsi="宋体" w:eastAsia="楷体_GB2312" w:cs="楷体_GB2312"/>
                <w:b/>
                <w:bCs/>
                <w:highlight w:val="none"/>
              </w:rPr>
              <w:t>份额</w:t>
            </w:r>
            <w:r>
              <w:rPr>
                <w:rFonts w:hint="eastAsia" w:ascii="楷体_GB2312" w:hAnsi="宋体" w:eastAsia="楷体_GB2312" w:cs="楷体_GB2312"/>
                <w:b/>
                <w:bCs/>
                <w:highlight w:val="none"/>
              </w:rPr>
              <w:t>达到产品</w:t>
            </w:r>
            <w:r>
              <w:rPr>
                <w:rFonts w:ascii="楷体_GB2312" w:hAnsi="宋体" w:eastAsia="楷体_GB2312" w:cs="楷体_GB2312"/>
                <w:b/>
                <w:bCs/>
                <w:highlight w:val="none"/>
              </w:rPr>
              <w:t>份额的</w:t>
            </w:r>
            <w:r>
              <w:rPr>
                <w:rFonts w:hint="eastAsia" w:ascii="楷体_GB2312" w:hAnsi="宋体" w:eastAsia="楷体_GB2312" w:cs="楷体_GB2312"/>
                <w:b/>
                <w:bCs/>
                <w:color w:val="C00000"/>
                <w:highlight w:val="none"/>
                <w:u w:val="single"/>
              </w:rPr>
              <w:t>20%</w:t>
            </w:r>
            <w:r>
              <w:rPr>
                <w:rFonts w:hint="eastAsia" w:ascii="楷体_GB2312" w:hAnsi="宋体" w:eastAsia="楷体_GB2312" w:cs="楷体_GB2312"/>
                <w:b/>
                <w:bCs/>
                <w:highlight w:val="none"/>
              </w:rPr>
              <w:t>以上，管理人有权暂不接受赎回</w:t>
            </w:r>
            <w:r>
              <w:rPr>
                <w:rFonts w:hint="eastAsia" w:ascii="楷体_GB2312" w:hAnsi="宋体" w:eastAsia="楷体_GB2312" w:cs="楷体_GB2312"/>
                <w:b/>
                <w:bCs/>
              </w:rPr>
              <w:t>申请或</w:t>
            </w:r>
            <w:r>
              <w:rPr>
                <w:rFonts w:ascii="楷体_GB2312" w:hAnsi="宋体" w:eastAsia="楷体_GB2312" w:cs="楷体_GB2312"/>
                <w:b/>
                <w:bCs/>
              </w:rPr>
              <w:t>按比例接受赎回申请</w:t>
            </w:r>
            <w:r>
              <w:rPr>
                <w:rFonts w:hint="eastAsia" w:ascii="楷体_GB2312" w:hAnsi="宋体" w:eastAsia="楷体_GB2312" w:cs="楷体_GB2312"/>
                <w:b/>
                <w:bCs/>
              </w:rPr>
              <w:t>。</w:t>
            </w:r>
          </w:p>
          <w:p>
            <w:pPr>
              <w:contextualSpacing/>
              <w:rPr>
                <w:rFonts w:ascii="楷体_GB2312" w:hAnsi="宋体" w:eastAsia="楷体_GB2312"/>
                <w:b/>
                <w:bCs/>
                <w:szCs w:val="21"/>
              </w:rPr>
            </w:pPr>
            <w:r>
              <w:rPr>
                <w:rFonts w:ascii="楷体_GB2312" w:hAnsi="宋体" w:eastAsia="楷体_GB2312" w:cs="楷体_GB2312"/>
                <w:b/>
                <w:bCs/>
              </w:rPr>
              <w:t>7、</w:t>
            </w:r>
            <w:r>
              <w:rPr>
                <w:rFonts w:hint="eastAsia" w:ascii="楷体_GB2312" w:hAnsi="宋体" w:eastAsia="楷体_GB2312"/>
                <w:b/>
                <w:bCs/>
                <w:szCs w:val="21"/>
              </w:rPr>
              <w:t>开放式理财产品在前一估值日内，产品资产净值50%以上的资产不具备活跃交易市场或者在活跃市场中无报价，且不能采用估值技术可靠计量公允价值的，管理人有权暂停该产品估值，并采取延缓支付赎回款项或暂停接受理财产品申购、赎回申请等措施。</w:t>
            </w:r>
          </w:p>
          <w:p>
            <w:pPr>
              <w:tabs>
                <w:tab w:val="center" w:pos="2965"/>
              </w:tabs>
              <w:rPr>
                <w:rFonts w:hint="eastAsia" w:ascii="楷体" w:hAnsi="楷体" w:eastAsia="楷体"/>
                <w:b/>
                <w:bCs/>
              </w:rPr>
            </w:pPr>
            <w:r>
              <w:rPr>
                <w:rFonts w:hint="eastAsia" w:ascii="楷体_GB2312" w:hAnsi="宋体" w:eastAsia="楷体_GB2312" w:cs="楷体_GB2312"/>
                <w:b/>
                <w:bCs/>
              </w:rPr>
              <w:t>8、产品赎回顺序按时间优先原则进行确认。</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 w:hAnsi="楷体" w:eastAsia="楷体"/>
                <w:b/>
                <w:bCs/>
              </w:rPr>
              <w:t>巨额赎回</w:t>
            </w:r>
          </w:p>
        </w:tc>
        <w:tc>
          <w:tcPr>
            <w:tcW w:w="6146" w:type="dxa"/>
            <w:vAlign w:val="top"/>
          </w:tcPr>
          <w:p>
            <w:pPr>
              <w:tabs>
                <w:tab w:val="center" w:pos="2965"/>
              </w:tabs>
              <w:rPr>
                <w:rFonts w:hint="eastAsia" w:ascii="楷体_GB2312" w:hAnsi="宋体" w:eastAsia="楷体_GB2312" w:cs="楷体_GB2312"/>
                <w:b/>
                <w:bCs/>
              </w:rPr>
            </w:pPr>
            <w:r>
              <w:rPr>
                <w:rFonts w:hint="eastAsia" w:ascii="楷体_GB2312" w:eastAsia="楷体_GB2312" w:cs="楷体_GB2312"/>
                <w:b/>
                <w:bCs/>
              </w:rPr>
              <w:t>投资者可于最短持有期届满后的开放日向</w:t>
            </w:r>
            <w:r>
              <w:rPr>
                <w:rFonts w:ascii="楷体_GB2312" w:eastAsia="楷体_GB2312" w:cs="楷体_GB2312"/>
                <w:b/>
                <w:bCs/>
              </w:rPr>
              <w:t>销售机构</w:t>
            </w:r>
            <w:r>
              <w:rPr>
                <w:rFonts w:hint="eastAsia" w:ascii="楷体_GB2312" w:eastAsia="楷体_GB2312" w:cs="楷体_GB2312"/>
                <w:b/>
                <w:bCs/>
              </w:rPr>
              <w:t>提出赎回申请，若</w:t>
            </w:r>
            <w:r>
              <w:rPr>
                <w:rFonts w:ascii="楷体_GB2312" w:eastAsia="楷体_GB2312" w:cs="楷体_GB2312"/>
                <w:b/>
                <w:bCs/>
              </w:rPr>
              <w:t>理财产品</w:t>
            </w:r>
            <w:r>
              <w:rPr>
                <w:rFonts w:hint="eastAsia" w:ascii="楷体_GB2312" w:eastAsia="楷体_GB2312" w:cs="楷体_GB2312"/>
                <w:b/>
                <w:bCs/>
              </w:rPr>
              <w:t>任一开放日净赎回</w:t>
            </w:r>
            <w:r>
              <w:rPr>
                <w:rFonts w:hint="eastAsia" w:ascii="楷体_GB2312" w:eastAsia="楷体_GB2312" w:cs="楷体_GB2312"/>
                <w:b/>
                <w:bCs/>
                <w:lang w:val="en-US" w:eastAsia="zh-CN"/>
              </w:rPr>
              <w:t>申请</w:t>
            </w:r>
            <w:r>
              <w:rPr>
                <w:rFonts w:hint="eastAsia" w:ascii="楷体_GB2312" w:eastAsia="楷体_GB2312" w:cs="楷体_GB2312"/>
                <w:b/>
                <w:bCs/>
              </w:rPr>
              <w:t>份额（赎回申请份额总数扣除申购申请份额总数）超过本</w:t>
            </w:r>
            <w:r>
              <w:rPr>
                <w:rFonts w:ascii="楷体_GB2312" w:eastAsia="楷体_GB2312" w:cs="楷体_GB2312"/>
                <w:b/>
                <w:bCs/>
              </w:rPr>
              <w:t>理财产品</w:t>
            </w:r>
            <w:r>
              <w:rPr>
                <w:rFonts w:hint="eastAsia" w:ascii="楷体_GB2312" w:eastAsia="楷体_GB2312" w:cs="楷体_GB2312"/>
                <w:b/>
                <w:bCs/>
              </w:rPr>
              <w:t>上一</w:t>
            </w:r>
            <w:r>
              <w:rPr>
                <w:rFonts w:hint="eastAsia" w:ascii="楷体_GB2312" w:eastAsia="楷体_GB2312" w:cs="楷体_GB2312"/>
                <w:b/>
                <w:bCs/>
                <w:lang w:val="en-US" w:eastAsia="zh-CN"/>
              </w:rPr>
              <w:t>交易日</w:t>
            </w:r>
            <w:r>
              <w:rPr>
                <w:rFonts w:hint="eastAsia" w:ascii="楷体_GB2312" w:eastAsia="楷体_GB2312" w:cs="楷体_GB2312"/>
                <w:b/>
                <w:bCs/>
              </w:rPr>
              <w:t>日终份额的</w:t>
            </w:r>
            <w:r>
              <w:rPr>
                <w:rFonts w:ascii="楷体_GB2312" w:eastAsia="楷体_GB2312" w:cs="楷体_GB2312"/>
                <w:b/>
                <w:bCs/>
                <w:color w:val="C00000"/>
                <w:u w:val="single"/>
              </w:rPr>
              <w:t>10%</w:t>
            </w:r>
            <w:r>
              <w:rPr>
                <w:rFonts w:hint="eastAsia" w:ascii="楷体_GB2312" w:eastAsia="楷体_GB2312" w:cs="楷体_GB2312"/>
                <w:b/>
                <w:bCs/>
              </w:rPr>
              <w:t>时，即为发生巨额赎回。在发生巨额赎回时，管理人有权依照</w:t>
            </w:r>
            <w:r>
              <w:rPr>
                <w:rFonts w:ascii="楷体_GB2312" w:eastAsia="楷体_GB2312" w:cs="楷体_GB2312"/>
                <w:b/>
                <w:bCs/>
              </w:rPr>
              <w:t>理财产品</w:t>
            </w:r>
            <w:r>
              <w:rPr>
                <w:rFonts w:hint="eastAsia" w:ascii="楷体_GB2312" w:eastAsia="楷体_GB2312" w:cs="楷体_GB2312"/>
                <w:b/>
                <w:bCs/>
              </w:rPr>
              <w:t>当时的资产组合状况选择全额赎回、部分赎回或延缓支付。</w:t>
            </w:r>
            <w:r>
              <w:rPr>
                <w:rFonts w:hint="eastAsia" w:ascii="楷体" w:hAnsi="楷体" w:eastAsia="楷体" w:cs="Times New Roman"/>
                <w:b/>
                <w:bCs/>
                <w:szCs w:val="24"/>
              </w:rPr>
              <w:t>详细内容见</w:t>
            </w:r>
            <w:r>
              <w:rPr>
                <w:rFonts w:hint="eastAsia" w:ascii="楷体" w:hAnsi="楷体" w:eastAsia="楷体" w:cs="Times New Roman"/>
                <w:b/>
                <w:bCs/>
                <w:szCs w:val="24"/>
                <w:lang w:eastAsia="zh-CN"/>
              </w:rPr>
              <w:t>《</w:t>
            </w:r>
            <w:r>
              <w:rPr>
                <w:rFonts w:hint="eastAsia" w:ascii="楷体" w:hAnsi="楷体" w:eastAsia="楷体" w:cs="Times New Roman"/>
                <w:b/>
                <w:bCs/>
                <w:szCs w:val="24"/>
                <w:lang w:val="en-US" w:eastAsia="zh-CN"/>
              </w:rPr>
              <w:t>产品说明书</w:t>
            </w:r>
            <w:r>
              <w:rPr>
                <w:rFonts w:hint="eastAsia" w:ascii="楷体" w:hAnsi="楷体" w:eastAsia="楷体" w:cs="Times New Roman"/>
                <w:b/>
                <w:bCs/>
                <w:szCs w:val="24"/>
                <w:lang w:eastAsia="zh-CN"/>
              </w:rPr>
              <w:t>》</w:t>
            </w:r>
            <w:r>
              <w:rPr>
                <w:rFonts w:ascii="楷体_GB2312" w:eastAsia="楷体_GB2312" w:cs="楷体_GB2312"/>
                <w:b/>
                <w:bCs/>
              </w:rPr>
              <w:t>“产品</w:t>
            </w:r>
            <w:r>
              <w:rPr>
                <w:rFonts w:hint="eastAsia" w:ascii="楷体_GB2312" w:eastAsia="楷体_GB2312" w:cs="楷体_GB2312"/>
                <w:b/>
                <w:bCs/>
              </w:rPr>
              <w:t>认购、申购和赎回</w:t>
            </w:r>
            <w:r>
              <w:rPr>
                <w:rFonts w:ascii="楷体_GB2312" w:eastAsia="楷体_GB2312" w:cs="楷体_GB2312"/>
                <w:b/>
                <w:bCs/>
              </w:rPr>
              <w:t>”</w:t>
            </w:r>
            <w:r>
              <w:rPr>
                <w:rFonts w:hint="eastAsia" w:ascii="楷体_GB2312" w:eastAsia="楷体_GB2312" w:cs="楷体_GB2312"/>
                <w:b/>
                <w:bCs/>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rPr>
            </w:pPr>
            <w:r>
              <w:rPr>
                <w:rFonts w:hint="eastAsia" w:ascii="楷体_GB2312" w:eastAsia="楷体_GB2312"/>
                <w:b/>
                <w:bCs/>
                <w:szCs w:val="21"/>
                <w:highlight w:val="none"/>
              </w:rPr>
              <w:t>理财产品</w:t>
            </w:r>
            <w:r>
              <w:rPr>
                <w:rFonts w:hint="eastAsia" w:ascii="楷体_GB2312" w:eastAsia="楷体_GB2312"/>
                <w:b/>
                <w:bCs/>
                <w:szCs w:val="21"/>
                <w:highlight w:val="none"/>
                <w:lang w:val="en-US" w:eastAsia="zh-CN"/>
              </w:rPr>
              <w:t>收益</w:t>
            </w:r>
            <w:r>
              <w:rPr>
                <w:rFonts w:ascii="楷体_GB2312" w:eastAsia="楷体_GB2312"/>
                <w:b/>
                <w:bCs/>
                <w:szCs w:val="21"/>
                <w:highlight w:val="none"/>
              </w:rPr>
              <w:t>分配</w:t>
            </w:r>
          </w:p>
        </w:tc>
        <w:tc>
          <w:tcPr>
            <w:tcW w:w="6146" w:type="dxa"/>
            <w:vAlign w:val="center"/>
          </w:tcPr>
          <w:p>
            <w:pPr>
              <w:rPr>
                <w:rFonts w:hint="eastAsia" w:ascii="楷体_GB2312" w:eastAsia="楷体_GB2312"/>
                <w:b/>
                <w:bCs/>
                <w:szCs w:val="21"/>
                <w:highlight w:val="none"/>
              </w:rPr>
            </w:pPr>
            <w:r>
              <w:rPr>
                <w:rFonts w:hint="eastAsia" w:ascii="楷体_GB2312" w:eastAsia="楷体_GB2312"/>
                <w:b/>
                <w:bCs/>
                <w:szCs w:val="21"/>
                <w:highlight w:val="none"/>
                <w:lang w:val="en-US" w:eastAsia="zh-CN"/>
              </w:rPr>
              <w:t>1、</w:t>
            </w:r>
            <w:r>
              <w:rPr>
                <w:rFonts w:hint="eastAsia" w:ascii="楷体_GB2312" w:eastAsia="楷体_GB2312"/>
                <w:b/>
                <w:bCs/>
                <w:szCs w:val="21"/>
                <w:highlight w:val="none"/>
              </w:rPr>
              <w:t>就期间分配而言，在满足</w:t>
            </w:r>
            <w:r>
              <w:rPr>
                <w:rFonts w:hint="eastAsia" w:ascii="楷体_GB2312" w:eastAsia="楷体_GB2312"/>
                <w:b/>
                <w:bCs/>
                <w:szCs w:val="21"/>
                <w:highlight w:val="none"/>
                <w:lang w:val="en-US" w:eastAsia="zh-CN"/>
              </w:rPr>
              <w:t>收益</w:t>
            </w:r>
            <w:r>
              <w:rPr>
                <w:rFonts w:hint="eastAsia" w:ascii="楷体_GB2312" w:eastAsia="楷体_GB2312"/>
                <w:b/>
                <w:bCs/>
                <w:szCs w:val="21"/>
                <w:highlight w:val="none"/>
              </w:rPr>
              <w:t>分配基准日</w:t>
            </w:r>
            <w:r>
              <w:rPr>
                <w:rFonts w:hint="eastAsia" w:ascii="楷体_GB2312" w:hAnsi="宋体" w:eastAsia="楷体_GB2312"/>
                <w:b/>
                <w:bCs/>
                <w:szCs w:val="21"/>
                <w:lang w:val="en-US" w:eastAsia="zh-CN"/>
              </w:rPr>
              <w:t>（以管理人确定的为准）</w:t>
            </w:r>
            <w:r>
              <w:rPr>
                <w:rFonts w:hint="eastAsia" w:ascii="楷体_GB2312" w:eastAsia="楷体_GB2312"/>
                <w:b/>
                <w:bCs/>
                <w:szCs w:val="21"/>
                <w:highlight w:val="none"/>
              </w:rPr>
              <w:t>理财产品</w:t>
            </w:r>
            <w:r>
              <w:rPr>
                <w:rFonts w:hint="eastAsia" w:ascii="楷体_GB2312" w:eastAsia="楷体_GB2312"/>
                <w:b/>
                <w:bCs/>
                <w:szCs w:val="21"/>
                <w:highlight w:val="none"/>
                <w:lang w:val="en-US" w:eastAsia="zh-CN"/>
              </w:rPr>
              <w:t>份额</w:t>
            </w:r>
            <w:r>
              <w:rPr>
                <w:rFonts w:hint="eastAsia" w:ascii="楷体_GB2312" w:eastAsia="楷体_GB2312"/>
                <w:b/>
                <w:bCs/>
                <w:szCs w:val="21"/>
                <w:highlight w:val="none"/>
              </w:rPr>
              <w:t>净值大于</w:t>
            </w:r>
            <w:r>
              <w:rPr>
                <w:rFonts w:hint="eastAsia" w:ascii="楷体_GB2312" w:eastAsia="楷体_GB2312"/>
                <w:b/>
                <w:bCs/>
                <w:szCs w:val="21"/>
                <w:highlight w:val="none"/>
                <w:u w:val="none"/>
                <w:lang w:val="en-US" w:eastAsia="zh-CN"/>
              </w:rPr>
              <w:t>理财产品初始份额净值</w:t>
            </w:r>
            <w:r>
              <w:rPr>
                <w:rFonts w:hint="eastAsia" w:ascii="楷体_GB2312" w:eastAsia="楷体_GB2312"/>
                <w:b/>
                <w:bCs/>
                <w:szCs w:val="21"/>
                <w:highlight w:val="none"/>
              </w:rPr>
              <w:t>的条件下，理财产品管理人可进行不定期分配，分配方式为现金分配</w:t>
            </w:r>
            <w:r>
              <w:rPr>
                <w:rFonts w:hint="eastAsia" w:ascii="楷体_GB2312" w:eastAsia="楷体_GB2312"/>
                <w:b/>
                <w:bCs/>
                <w:szCs w:val="21"/>
                <w:highlight w:val="none"/>
                <w:lang w:eastAsia="zh-CN"/>
              </w:rPr>
              <w:t>。</w:t>
            </w:r>
            <w:r>
              <w:rPr>
                <w:rFonts w:hint="eastAsia" w:ascii="楷体_GB2312" w:eastAsia="楷体_GB2312"/>
                <w:b/>
                <w:bCs/>
                <w:szCs w:val="21"/>
                <w:highlight w:val="none"/>
                <w:lang w:val="en-US" w:eastAsia="zh-CN"/>
              </w:rPr>
              <w:t>理财产品管理人将根据理财产品投资收益情况决定分配基准日、当次分配比例和金额，并将于分红日后2个工作日内通过《产品说明书》“信息披露”约定的方式向投资者披露。</w:t>
            </w:r>
          </w:p>
          <w:p>
            <w:pPr>
              <w:rPr>
                <w:rFonts w:hint="eastAsia" w:ascii="楷体_GB2312" w:eastAsia="楷体_GB2312" w:cs="楷体_GB2312"/>
                <w:b/>
                <w:bCs/>
              </w:rPr>
            </w:pPr>
            <w:r>
              <w:rPr>
                <w:rFonts w:hint="eastAsia" w:ascii="楷体_GB2312" w:eastAsia="楷体_GB2312"/>
                <w:b/>
                <w:bCs/>
                <w:szCs w:val="21"/>
                <w:highlight w:val="none"/>
                <w:lang w:val="en-US" w:eastAsia="zh-CN"/>
              </w:rPr>
              <w:t>2、</w:t>
            </w:r>
            <w:r>
              <w:rPr>
                <w:rFonts w:hint="eastAsia" w:ascii="楷体_GB2312" w:eastAsia="楷体_GB2312"/>
                <w:b/>
                <w:bCs/>
                <w:szCs w:val="21"/>
                <w:highlight w:val="none"/>
              </w:rPr>
              <w:t>就终止分配而言，理财产品终止</w:t>
            </w:r>
            <w:r>
              <w:rPr>
                <w:rFonts w:hint="eastAsia" w:ascii="楷体_GB2312" w:eastAsia="楷体_GB2312"/>
                <w:b/>
                <w:bCs/>
                <w:szCs w:val="21"/>
              </w:rPr>
              <w:t>日，如理财产品项下财产全部变现，管理人将在</w:t>
            </w:r>
            <w:r>
              <w:rPr>
                <w:rFonts w:hint="eastAsia" w:ascii="楷体_GB2312" w:eastAsia="楷体_GB2312"/>
                <w:b/>
                <w:bCs/>
                <w:color w:val="auto"/>
                <w:szCs w:val="21"/>
              </w:rPr>
              <w:t>理财产品终止日后的</w:t>
            </w:r>
            <w:r>
              <w:rPr>
                <w:rFonts w:ascii="楷体_GB2312" w:eastAsia="楷体_GB2312"/>
                <w:b/>
                <w:bCs/>
                <w:color w:val="auto"/>
                <w:szCs w:val="21"/>
              </w:rPr>
              <w:t>5</w:t>
            </w:r>
            <w:r>
              <w:rPr>
                <w:rFonts w:hint="eastAsia" w:ascii="楷体_GB2312" w:eastAsia="楷体_GB2312"/>
                <w:b/>
                <w:bCs/>
                <w:color w:val="auto"/>
                <w:szCs w:val="21"/>
              </w:rPr>
              <w:t>个工作日内扣除应由理财产品承担的税费及费用（包括但不限于固定投资管理费、</w:t>
            </w:r>
            <w:r>
              <w:rPr>
                <w:rFonts w:ascii="楷体_GB2312" w:eastAsia="楷体_GB2312"/>
                <w:b/>
                <w:bCs/>
                <w:color w:val="auto"/>
                <w:szCs w:val="21"/>
              </w:rPr>
              <w:t>销售管理费</w:t>
            </w:r>
            <w:r>
              <w:rPr>
                <w:rFonts w:hint="eastAsia" w:ascii="楷体_GB2312" w:eastAsia="楷体_GB2312"/>
                <w:b/>
                <w:bCs/>
                <w:color w:val="auto"/>
                <w:szCs w:val="21"/>
              </w:rPr>
              <w:t>、托管费等）后将投资者应得资金（如有，下同）划转至投资者指定账户。理财产品终止日，如理财产品项下所投资的标的资产因市场风险、信用风险等原因不能全部变现，则管理人将现金类资产扣除应由理财产品承担的税费及费用（包括但不限于固定投资管理费、</w:t>
            </w:r>
            <w:r>
              <w:rPr>
                <w:rFonts w:ascii="楷体_GB2312" w:eastAsia="楷体_GB2312"/>
                <w:b/>
                <w:bCs/>
                <w:color w:val="auto"/>
                <w:szCs w:val="21"/>
              </w:rPr>
              <w:t>销售管理费</w:t>
            </w:r>
            <w:r>
              <w:rPr>
                <w:rFonts w:hint="eastAsia" w:ascii="楷体_GB2312" w:eastAsia="楷体_GB2312"/>
                <w:b/>
                <w:bCs/>
                <w:color w:val="auto"/>
                <w:szCs w:val="21"/>
              </w:rPr>
              <w:t>、托管费等）后，按照各投资者持有</w:t>
            </w:r>
            <w:r>
              <w:rPr>
                <w:rFonts w:ascii="楷体_GB2312" w:eastAsia="楷体_GB2312"/>
                <w:b/>
                <w:bCs/>
                <w:color w:val="auto"/>
                <w:szCs w:val="21"/>
              </w:rPr>
              <w:t>理财产品</w:t>
            </w:r>
            <w:r>
              <w:rPr>
                <w:rFonts w:hint="eastAsia" w:ascii="楷体_GB2312" w:eastAsia="楷体_GB2312"/>
                <w:b/>
                <w:bCs/>
                <w:color w:val="auto"/>
                <w:szCs w:val="21"/>
              </w:rPr>
              <w:t>份额比例在</w:t>
            </w:r>
            <w:r>
              <w:rPr>
                <w:rFonts w:ascii="楷体_GB2312" w:eastAsia="楷体_GB2312"/>
                <w:b/>
                <w:bCs/>
                <w:color w:val="auto"/>
                <w:szCs w:val="21"/>
              </w:rPr>
              <w:t>5</w:t>
            </w:r>
            <w:r>
              <w:rPr>
                <w:rFonts w:hint="eastAsia" w:ascii="楷体_GB2312" w:eastAsia="楷体_GB2312"/>
                <w:b/>
                <w:bCs/>
                <w:color w:val="auto"/>
                <w:szCs w:val="21"/>
              </w:rPr>
              <w:t>个工作日内向投资者分配。对于未变现资产部分，管理人以投资者利益最大化的原则，寻求未变现资产变现方式，在资产变现后，扣除应由理财产品承担的税费及费用（包括但不限于固定投资管理费、</w:t>
            </w:r>
            <w:r>
              <w:rPr>
                <w:rFonts w:ascii="楷体_GB2312" w:eastAsia="楷体_GB2312"/>
                <w:b/>
                <w:bCs/>
                <w:color w:val="auto"/>
                <w:szCs w:val="21"/>
              </w:rPr>
              <w:t>销售管理费</w:t>
            </w:r>
            <w:r>
              <w:rPr>
                <w:rFonts w:hint="eastAsia" w:ascii="楷体_GB2312" w:eastAsia="楷体_GB2312"/>
                <w:b/>
                <w:bCs/>
                <w:color w:val="auto"/>
                <w:szCs w:val="21"/>
              </w:rPr>
              <w:t>、托管费等，或者由管理人、第三方垫付的费用）后，按照各投资者持有理财产品份额比例在</w:t>
            </w:r>
            <w:r>
              <w:rPr>
                <w:rFonts w:ascii="楷体_GB2312" w:eastAsia="楷体_GB2312"/>
                <w:b/>
                <w:bCs/>
                <w:color w:val="auto"/>
                <w:szCs w:val="21"/>
              </w:rPr>
              <w:t>5</w:t>
            </w:r>
            <w:r>
              <w:rPr>
                <w:rFonts w:hint="eastAsia" w:ascii="楷体_GB2312" w:eastAsia="楷体_GB2312"/>
                <w:b/>
                <w:bCs/>
                <w:color w:val="auto"/>
                <w:szCs w:val="21"/>
              </w:rPr>
              <w:t>个工作日内向投资者分配。详见</w:t>
            </w:r>
            <w:r>
              <w:rPr>
                <w:rFonts w:hint="eastAsia" w:ascii="楷体_GB2312" w:eastAsia="楷体_GB2312"/>
                <w:b/>
                <w:bCs/>
                <w:color w:val="auto"/>
                <w:szCs w:val="21"/>
                <w:lang w:eastAsia="zh-CN"/>
              </w:rPr>
              <w:t>《</w:t>
            </w:r>
            <w:r>
              <w:rPr>
                <w:rFonts w:hint="eastAsia" w:ascii="楷体_GB2312" w:eastAsia="楷体_GB2312"/>
                <w:b/>
                <w:bCs/>
                <w:color w:val="auto"/>
                <w:szCs w:val="21"/>
                <w:lang w:val="en-US" w:eastAsia="zh-CN"/>
              </w:rPr>
              <w:t>产品说明书</w:t>
            </w:r>
            <w:r>
              <w:rPr>
                <w:rFonts w:hint="eastAsia" w:ascii="楷体_GB2312" w:eastAsia="楷体_GB2312"/>
                <w:b/>
                <w:bCs/>
                <w:color w:val="auto"/>
                <w:szCs w:val="21"/>
                <w:lang w:eastAsia="zh-CN"/>
              </w:rPr>
              <w:t>》</w:t>
            </w:r>
            <w:r>
              <w:rPr>
                <w:rFonts w:ascii="楷体_GB2312" w:eastAsia="楷体_GB2312"/>
                <w:b/>
                <w:bCs/>
                <w:color w:val="auto"/>
                <w:szCs w:val="21"/>
              </w:rPr>
              <w:t>“</w:t>
            </w:r>
            <w:r>
              <w:rPr>
                <w:rFonts w:hint="eastAsia" w:ascii="楷体_GB2312" w:eastAsia="楷体_GB2312"/>
                <w:b/>
                <w:bCs/>
                <w:color w:val="auto"/>
                <w:szCs w:val="21"/>
              </w:rPr>
              <w:t>产品的收益、费用及税费</w:t>
            </w:r>
            <w:r>
              <w:rPr>
                <w:rFonts w:ascii="楷体_GB2312" w:eastAsia="楷体_GB2312"/>
                <w:b/>
                <w:bCs/>
                <w:color w:val="auto"/>
                <w:szCs w:val="21"/>
              </w:rPr>
              <w:t>”</w:t>
            </w:r>
            <w:r>
              <w:rPr>
                <w:rFonts w:hint="eastAsia" w:ascii="楷体_GB2312" w:eastAsia="楷体_GB2312"/>
                <w:b/>
                <w:bCs/>
                <w:color w:val="auto"/>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376" w:type="dxa"/>
            <w:vAlign w:val="center"/>
          </w:tcPr>
          <w:p>
            <w:pPr>
              <w:rPr>
                <w:rFonts w:hint="eastAsia" w:ascii="楷体_GB2312" w:eastAsia="楷体_GB2312"/>
                <w:b/>
                <w:bCs/>
                <w:szCs w:val="21"/>
                <w:highlight w:val="none"/>
                <w:lang w:eastAsia="zh-CN"/>
              </w:rPr>
            </w:pPr>
            <w:r>
              <w:rPr>
                <w:rFonts w:hint="eastAsia" w:ascii="楷体_GB2312" w:eastAsia="楷体_GB2312"/>
                <w:b/>
                <w:bCs/>
                <w:color w:val="auto"/>
                <w:szCs w:val="21"/>
              </w:rPr>
              <w:t>业绩比较基准</w:t>
            </w:r>
            <w:r>
              <w:rPr>
                <w:rFonts w:hint="eastAsia" w:ascii="楷体_GB2312" w:eastAsia="楷体_GB2312"/>
                <w:b/>
                <w:bCs/>
                <w:color w:val="auto"/>
                <w:szCs w:val="21"/>
                <w:lang w:eastAsia="zh-CN"/>
              </w:rPr>
              <w:t>（</w:t>
            </w:r>
            <w:r>
              <w:rPr>
                <w:rFonts w:hint="eastAsia" w:ascii="楷体_GB2312" w:eastAsia="楷体_GB2312"/>
                <w:b/>
                <w:bCs/>
                <w:color w:val="auto"/>
                <w:szCs w:val="21"/>
                <w:lang w:val="en-US" w:eastAsia="zh-CN"/>
              </w:rPr>
              <w:t>年化</w:t>
            </w:r>
            <w:r>
              <w:rPr>
                <w:rFonts w:hint="eastAsia" w:ascii="楷体_GB2312" w:eastAsia="楷体_GB2312"/>
                <w:b/>
                <w:bCs/>
                <w:color w:val="auto"/>
                <w:szCs w:val="21"/>
                <w:lang w:eastAsia="zh-CN"/>
              </w:rPr>
              <w:t>）</w:t>
            </w:r>
          </w:p>
        </w:tc>
        <w:tc>
          <w:tcPr>
            <w:tcW w:w="6146" w:type="dxa"/>
            <w:vAlign w:val="center"/>
          </w:tcPr>
          <w:p>
            <w:pPr>
              <w:numPr>
                <w:ilvl w:val="0"/>
                <w:numId w:val="0"/>
              </w:numPr>
              <w:rPr>
                <w:rFonts w:hint="eastAsia" w:ascii="楷体_GB2312" w:eastAsia="楷体_GB2312" w:cstheme="minorBidi"/>
                <w:b/>
                <w:bCs/>
                <w:color w:val="000000"/>
                <w:kern w:val="2"/>
                <w:sz w:val="21"/>
                <w:szCs w:val="21"/>
                <w:lang w:val="en-US" w:eastAsia="zh-CN"/>
              </w:rPr>
            </w:pPr>
            <w:r>
              <w:rPr>
                <w:rFonts w:hint="eastAsia" w:ascii="楷体_GB2312" w:eastAsia="楷体_GB2312"/>
                <w:b/>
                <w:bCs/>
                <w:color w:val="auto"/>
                <w:szCs w:val="21"/>
                <w:lang w:eastAsia="zh-CN"/>
              </w:rPr>
              <w:t>（</w:t>
            </w:r>
            <w:r>
              <w:rPr>
                <w:rFonts w:hint="eastAsia" w:ascii="楷体_GB2312" w:eastAsia="楷体_GB2312"/>
                <w:b/>
                <w:bCs/>
                <w:color w:val="auto"/>
                <w:szCs w:val="21"/>
                <w:lang w:val="en-US" w:eastAsia="zh-CN"/>
              </w:rPr>
              <w:t>适用【Q】类份额</w:t>
            </w:r>
            <w:r>
              <w:rPr>
                <w:rFonts w:hint="eastAsia" w:ascii="楷体_GB2312" w:eastAsia="楷体_GB2312"/>
                <w:b/>
                <w:bCs/>
                <w:color w:val="auto"/>
                <w:szCs w:val="21"/>
                <w:lang w:eastAsia="zh-CN"/>
              </w:rPr>
              <w:t>）</w:t>
            </w:r>
          </w:p>
          <w:p>
            <w:pPr>
              <w:pStyle w:val="9"/>
              <w:widowControl/>
              <w:spacing w:beforeAutospacing="0" w:afterAutospacing="0"/>
              <w:rPr>
                <w:rFonts w:hint="eastAsia" w:ascii="楷体_GB2312" w:eastAsia="楷体_GB2312" w:cstheme="minorBidi"/>
                <w:b/>
                <w:bCs/>
                <w:szCs w:val="21"/>
              </w:rPr>
            </w:pPr>
            <w:r>
              <w:rPr>
                <w:rFonts w:hint="eastAsia" w:ascii="楷体_GB2312" w:eastAsia="楷体_GB2312" w:cstheme="minorBidi"/>
                <w:b/>
                <w:bCs/>
                <w:color w:val="000000"/>
                <w:kern w:val="2"/>
                <w:sz w:val="21"/>
                <w:szCs w:val="21"/>
                <w:lang w:val="en-US" w:eastAsia="zh-CN"/>
              </w:rPr>
              <w:t>业绩比较基准的说明：【</w:t>
            </w:r>
            <w:r>
              <w:rPr>
                <w:rFonts w:hint="eastAsia" w:ascii="楷体_GB2312" w:eastAsia="楷体_GB2312" w:cstheme="minorBidi"/>
                <w:b/>
                <w:bCs/>
                <w:color w:val="auto"/>
                <w:kern w:val="2"/>
                <w:sz w:val="21"/>
                <w:szCs w:val="21"/>
                <w:highlight w:val="none"/>
                <w:lang w:val="en-US" w:eastAsia="zh-CN"/>
              </w:rPr>
              <w:t>以产品投资货币市场工具、债券、债权类资产等固定收益类资产不低于80%，结合产品风险收益特征制定本产品的业绩比较基准。本产品业绩比较基准是在产品说明书约定的投资范围内，根据产品投资策略、市场环境和各类资产的投资比例及收益率水平进行综合测算而得出</w:t>
            </w:r>
            <w:r>
              <w:rPr>
                <w:rFonts w:hint="eastAsia" w:ascii="楷体_GB2312" w:eastAsia="楷体_GB2312" w:cstheme="minorBidi"/>
                <w:b/>
                <w:bCs/>
                <w:color w:val="000000"/>
                <w:kern w:val="2"/>
                <w:sz w:val="21"/>
                <w:szCs w:val="21"/>
                <w:lang w:val="en-US" w:eastAsia="zh-CN"/>
              </w:rPr>
              <w:t>】。</w:t>
            </w:r>
          </w:p>
          <w:p>
            <w:pPr>
              <w:pStyle w:val="9"/>
              <w:widowControl/>
              <w:spacing w:beforeAutospacing="0" w:afterAutospacing="0"/>
              <w:rPr>
                <w:rFonts w:hint="eastAsia" w:ascii="楷体_GB2312" w:eastAsia="楷体_GB2312" w:cstheme="minorBidi"/>
                <w:b/>
                <w:bCs/>
                <w:sz w:val="21"/>
                <w:szCs w:val="21"/>
                <w:lang w:val="en-US" w:eastAsia="zh-CN"/>
              </w:rPr>
            </w:pPr>
            <w:r>
              <w:rPr>
                <w:rFonts w:hint="eastAsia" w:ascii="楷体_GB2312" w:eastAsia="楷体_GB2312" w:cstheme="minorBidi"/>
                <w:b/>
                <w:bCs/>
                <w:sz w:val="21"/>
                <w:szCs w:val="21"/>
                <w:lang w:val="en-US" w:eastAsia="zh-CN"/>
              </w:rPr>
              <w:t>本理财产品设定业绩比较基准如下：</w:t>
            </w:r>
          </w:p>
          <w:p>
            <w:pPr>
              <w:spacing w:beforeLines="-2147483648" w:afterLines="-2147483648"/>
              <w:jc w:val="left"/>
              <w:rPr>
                <w:rFonts w:hint="eastAsia" w:ascii="楷体" w:hAnsi="楷体" w:eastAsia="楷体"/>
                <w:b/>
                <w:bCs/>
                <w:color w:val="000000"/>
                <w:sz w:val="21"/>
                <w:szCs w:val="24"/>
              </w:rPr>
            </w:pPr>
            <w:r>
              <w:rPr>
                <w:rFonts w:hint="eastAsia" w:ascii="楷体_GB2312" w:eastAsia="楷体_GB2312" w:cstheme="minorBidi"/>
                <w:b/>
                <w:bCs/>
                <w:color w:val="auto"/>
                <w:sz w:val="21"/>
                <w:szCs w:val="21"/>
                <w:lang w:val="en-US" w:eastAsia="zh-CN"/>
              </w:rPr>
              <w:t>【Q】类份额：</w:t>
            </w:r>
            <w:r>
              <w:rPr>
                <w:rFonts w:hint="eastAsia" w:ascii="楷体" w:hAnsi="楷体" w:eastAsia="楷体"/>
                <w:b/>
                <w:bCs/>
                <w:color w:val="000000"/>
                <w:sz w:val="21"/>
                <w:szCs w:val="24"/>
              </w:rPr>
              <w:t>本产品动态设立业绩比较基准区间，202</w:t>
            </w:r>
            <w:r>
              <w:rPr>
                <w:rFonts w:hint="eastAsia" w:ascii="楷体" w:hAnsi="楷体" w:eastAsia="楷体"/>
                <w:b/>
                <w:bCs/>
                <w:color w:val="000000"/>
                <w:sz w:val="21"/>
                <w:szCs w:val="24"/>
                <w:lang w:val="en-US" w:eastAsia="zh-CN"/>
              </w:rPr>
              <w:t>4</w:t>
            </w:r>
            <w:r>
              <w:rPr>
                <w:rFonts w:hint="eastAsia" w:ascii="楷体" w:hAnsi="楷体" w:eastAsia="楷体"/>
                <w:b/>
                <w:bCs/>
                <w:color w:val="000000"/>
                <w:sz w:val="21"/>
                <w:szCs w:val="24"/>
              </w:rPr>
              <w:t>年</w:t>
            </w:r>
            <w:r>
              <w:rPr>
                <w:rFonts w:hint="eastAsia" w:ascii="楷体" w:hAnsi="楷体" w:eastAsia="楷体"/>
                <w:b/>
                <w:bCs/>
                <w:color w:val="000000"/>
                <w:sz w:val="21"/>
                <w:szCs w:val="24"/>
                <w:lang w:val="en-US" w:eastAsia="zh-CN"/>
              </w:rPr>
              <w:t>5</w:t>
            </w:r>
            <w:r>
              <w:rPr>
                <w:rFonts w:hint="eastAsia" w:ascii="楷体" w:hAnsi="楷体" w:eastAsia="楷体"/>
                <w:b/>
                <w:bCs/>
                <w:color w:val="000000"/>
                <w:sz w:val="21"/>
                <w:szCs w:val="24"/>
              </w:rPr>
              <w:t>月</w:t>
            </w:r>
          </w:p>
          <w:p>
            <w:pPr>
              <w:rPr>
                <w:rFonts w:hint="default" w:ascii="楷体_GB2312" w:eastAsia="楷体_GB2312" w:cstheme="minorBidi"/>
                <w:b/>
                <w:bCs/>
                <w:color w:val="auto"/>
                <w:sz w:val="21"/>
                <w:szCs w:val="21"/>
                <w:u w:val="none"/>
                <w:lang w:val="en-US" w:eastAsia="zh-CN"/>
              </w:rPr>
            </w:pPr>
            <w:r>
              <w:rPr>
                <w:rFonts w:hint="eastAsia" w:ascii="楷体" w:hAnsi="楷体" w:eastAsia="楷体"/>
                <w:b/>
                <w:bCs/>
                <w:color w:val="000000"/>
                <w:sz w:val="21"/>
                <w:szCs w:val="24"/>
                <w:lang w:val="en-US" w:eastAsia="zh-CN"/>
              </w:rPr>
              <w:t>22</w:t>
            </w:r>
            <w:r>
              <w:rPr>
                <w:rFonts w:hint="eastAsia" w:ascii="楷体" w:hAnsi="楷体" w:eastAsia="楷体"/>
                <w:b/>
                <w:bCs/>
                <w:color w:val="000000"/>
                <w:sz w:val="21"/>
                <w:szCs w:val="24"/>
              </w:rPr>
              <w:t>日至2024年</w:t>
            </w:r>
            <w:r>
              <w:rPr>
                <w:rFonts w:hint="eastAsia" w:ascii="楷体" w:hAnsi="楷体" w:eastAsia="楷体"/>
                <w:b/>
                <w:bCs/>
                <w:color w:val="000000"/>
                <w:sz w:val="21"/>
                <w:szCs w:val="24"/>
                <w:lang w:val="en-US" w:eastAsia="zh-CN"/>
              </w:rPr>
              <w:t>10</w:t>
            </w:r>
            <w:r>
              <w:rPr>
                <w:rFonts w:hint="eastAsia" w:ascii="楷体" w:hAnsi="楷体" w:eastAsia="楷体"/>
                <w:b/>
                <w:bCs/>
                <w:color w:val="000000"/>
                <w:sz w:val="21"/>
                <w:szCs w:val="24"/>
              </w:rPr>
              <w:t>月</w:t>
            </w:r>
            <w:r>
              <w:rPr>
                <w:rFonts w:hint="eastAsia" w:ascii="楷体" w:hAnsi="楷体" w:eastAsia="楷体"/>
                <w:b/>
                <w:bCs/>
                <w:color w:val="000000"/>
                <w:sz w:val="21"/>
                <w:szCs w:val="24"/>
                <w:lang w:val="en-US" w:eastAsia="zh-CN"/>
              </w:rPr>
              <w:t>29</w:t>
            </w:r>
            <w:r>
              <w:rPr>
                <w:rFonts w:hint="eastAsia" w:ascii="楷体" w:hAnsi="楷体" w:eastAsia="楷体"/>
                <w:b/>
                <w:bCs/>
                <w:color w:val="000000"/>
                <w:sz w:val="21"/>
                <w:szCs w:val="24"/>
              </w:rPr>
              <w:t>日适用的业绩比较</w:t>
            </w:r>
            <w:r>
              <w:rPr>
                <w:rFonts w:hint="eastAsia" w:ascii="楷体" w:hAnsi="楷体" w:eastAsia="楷体"/>
                <w:b/>
                <w:bCs/>
                <w:color w:val="auto"/>
                <w:sz w:val="21"/>
                <w:szCs w:val="24"/>
              </w:rPr>
              <w:t>基准为</w:t>
            </w:r>
            <w:r>
              <w:rPr>
                <w:rFonts w:hint="eastAsia" w:ascii="楷体_GB2312" w:eastAsia="楷体_GB2312" w:cstheme="minorBidi"/>
                <w:b/>
                <w:bCs/>
                <w:color w:val="auto"/>
                <w:sz w:val="21"/>
                <w:szCs w:val="21"/>
                <w:u w:val="none"/>
                <w:lang w:val="en-US" w:eastAsia="zh-CN"/>
              </w:rPr>
              <w:t>2.59%-4.09%</w:t>
            </w:r>
            <w:r>
              <w:rPr>
                <w:rFonts w:hint="eastAsia" w:ascii="楷体" w:hAnsi="楷体" w:eastAsia="楷体"/>
                <w:b/>
                <w:bCs/>
                <w:color w:val="auto"/>
                <w:sz w:val="21"/>
                <w:szCs w:val="24"/>
              </w:rPr>
              <w:t>，</w:t>
            </w:r>
            <w:r>
              <w:rPr>
                <w:rFonts w:hint="eastAsia" w:ascii="楷体" w:hAnsi="楷体" w:eastAsia="楷体"/>
                <w:b/>
                <w:bCs/>
                <w:color w:val="000000"/>
                <w:sz w:val="21"/>
                <w:szCs w:val="24"/>
              </w:rPr>
              <w:t>自2024年</w:t>
            </w:r>
            <w:r>
              <w:rPr>
                <w:rFonts w:hint="eastAsia" w:ascii="楷体" w:hAnsi="楷体" w:eastAsia="楷体"/>
                <w:b/>
                <w:bCs/>
                <w:color w:val="000000"/>
                <w:sz w:val="21"/>
                <w:szCs w:val="24"/>
                <w:lang w:val="en-US" w:eastAsia="zh-CN"/>
              </w:rPr>
              <w:t>10</w:t>
            </w:r>
            <w:r>
              <w:rPr>
                <w:rFonts w:hint="eastAsia" w:ascii="楷体" w:hAnsi="楷体" w:eastAsia="楷体"/>
                <w:b/>
                <w:bCs/>
                <w:color w:val="000000"/>
                <w:sz w:val="21"/>
                <w:szCs w:val="24"/>
              </w:rPr>
              <w:t>月</w:t>
            </w:r>
            <w:r>
              <w:rPr>
                <w:rFonts w:hint="eastAsia" w:ascii="楷体" w:hAnsi="楷体" w:eastAsia="楷体"/>
                <w:b/>
                <w:bCs/>
                <w:color w:val="000000"/>
                <w:sz w:val="21"/>
                <w:szCs w:val="24"/>
                <w:lang w:val="en-US" w:eastAsia="zh-CN"/>
              </w:rPr>
              <w:t>30</w:t>
            </w:r>
            <w:r>
              <w:rPr>
                <w:rFonts w:hint="eastAsia" w:ascii="楷体" w:hAnsi="楷体" w:eastAsia="楷体"/>
                <w:b/>
                <w:bCs/>
                <w:color w:val="000000"/>
                <w:sz w:val="21"/>
                <w:szCs w:val="24"/>
              </w:rPr>
              <w:t>日起产品业绩比较基准调整为</w:t>
            </w:r>
            <w:r>
              <w:rPr>
                <w:rFonts w:hint="eastAsia" w:ascii="楷体_GB2312" w:eastAsia="楷体_GB2312" w:cstheme="minorBidi"/>
                <w:b/>
                <w:bCs/>
                <w:color w:val="C00000"/>
                <w:sz w:val="21"/>
                <w:szCs w:val="21"/>
                <w:highlight w:val="none"/>
                <w:u w:val="single"/>
                <w:lang w:val="en-US" w:eastAsia="zh-CN"/>
              </w:rPr>
              <w:t>2.02%-3.22%</w:t>
            </w:r>
            <w:r>
              <w:rPr>
                <w:rFonts w:hint="eastAsia" w:ascii="楷体" w:hAnsi="楷体" w:eastAsia="楷体"/>
                <w:b/>
                <w:bCs/>
                <w:color w:val="auto"/>
                <w:sz w:val="21"/>
                <w:szCs w:val="24"/>
              </w:rPr>
              <w:t>（扣除产品托管费、销售管理费、固定投资管理费等）。</w:t>
            </w:r>
          </w:p>
          <w:p>
            <w:pPr>
              <w:pStyle w:val="9"/>
              <w:widowControl/>
              <w:spacing w:beforeAutospacing="0" w:afterAutospacing="0"/>
              <w:rPr>
                <w:rFonts w:hint="eastAsia" w:ascii="楷体_GB2312" w:eastAsia="楷体_GB2312" w:cstheme="minorBidi"/>
                <w:b/>
                <w:bCs/>
                <w:kern w:val="2"/>
                <w:sz w:val="21"/>
                <w:szCs w:val="21"/>
              </w:rPr>
            </w:pPr>
            <w:r>
              <w:rPr>
                <w:rFonts w:hint="eastAsia" w:ascii="楷体_GB2312" w:eastAsia="楷体_GB2312" w:cstheme="minorBidi"/>
                <w:b/>
                <w:bCs/>
                <w:color w:val="000000"/>
                <w:kern w:val="2"/>
                <w:sz w:val="21"/>
                <w:szCs w:val="21"/>
              </w:rPr>
              <w:t>业绩比较基准是</w:t>
            </w:r>
            <w:r>
              <w:rPr>
                <w:rFonts w:hint="eastAsia" w:ascii="楷体_GB2312" w:eastAsia="楷体_GB2312" w:cstheme="minorBidi"/>
                <w:b/>
                <w:bCs/>
                <w:color w:val="000000"/>
                <w:kern w:val="2"/>
                <w:sz w:val="21"/>
                <w:szCs w:val="21"/>
                <w:lang w:val="en-US" w:eastAsia="zh-CN"/>
              </w:rPr>
              <w:t>管理人</w:t>
            </w:r>
            <w:r>
              <w:rPr>
                <w:rFonts w:hint="eastAsia" w:ascii="楷体_GB2312" w:eastAsia="楷体_GB2312" w:cstheme="minorBidi"/>
                <w:b/>
                <w:bCs/>
                <w:color w:val="000000"/>
                <w:kern w:val="2"/>
                <w:sz w:val="21"/>
                <w:szCs w:val="21"/>
              </w:rPr>
              <w:t>基于产品性质、投资策略、过往经验等因素对产品设定的投资目标，</w:t>
            </w:r>
            <w:r>
              <w:rPr>
                <w:rFonts w:ascii="楷体_GB2312" w:hAnsi="宋体" w:eastAsia="楷体_GB2312" w:cs="楷体_GB2312"/>
                <w:b/>
                <w:bCs/>
                <w:i w:val="0"/>
                <w:iCs w:val="0"/>
                <w:caps w:val="0"/>
                <w:color w:val="auto"/>
                <w:spacing w:val="0"/>
                <w:sz w:val="21"/>
                <w:szCs w:val="21"/>
              </w:rPr>
              <w:t>业绩比较基准不是预期收益率，</w:t>
            </w:r>
            <w:r>
              <w:rPr>
                <w:rFonts w:hint="eastAsia" w:ascii="楷体_GB2312" w:eastAsia="楷体_GB2312" w:cstheme="minorBidi"/>
                <w:b/>
                <w:bCs/>
                <w:color w:val="000000"/>
                <w:kern w:val="2"/>
                <w:sz w:val="21"/>
                <w:szCs w:val="21"/>
              </w:rPr>
              <w:t>不代表产品的未来表现和实际收益，不构成对产品收</w:t>
            </w:r>
            <w:r>
              <w:rPr>
                <w:rFonts w:hint="eastAsia" w:ascii="楷体_GB2312" w:eastAsia="楷体_GB2312" w:cstheme="minorBidi"/>
                <w:b/>
                <w:bCs/>
                <w:kern w:val="2"/>
                <w:sz w:val="21"/>
                <w:szCs w:val="21"/>
              </w:rPr>
              <w:t>益的承诺。</w:t>
            </w:r>
          </w:p>
          <w:p>
            <w:pPr>
              <w:pStyle w:val="9"/>
              <w:widowControl/>
              <w:spacing w:beforeAutospacing="0" w:afterAutospacing="0"/>
              <w:rPr>
                <w:rFonts w:hint="eastAsia" w:ascii="楷体_GB2312" w:eastAsia="楷体_GB2312"/>
                <w:b/>
                <w:bCs/>
                <w:szCs w:val="21"/>
                <w:highlight w:val="none"/>
              </w:rPr>
            </w:pPr>
            <w:r>
              <w:rPr>
                <w:rFonts w:hint="eastAsia" w:ascii="楷体_GB2312" w:eastAsia="楷体_GB2312" w:cstheme="minorBidi"/>
                <w:b/>
                <w:bCs/>
                <w:kern w:val="2"/>
                <w:sz w:val="21"/>
                <w:szCs w:val="21"/>
              </w:rPr>
              <w:t>管理人将根据市场情况对产品的业绩比较基准进行动态</w:t>
            </w:r>
            <w:r>
              <w:rPr>
                <w:rFonts w:hint="eastAsia" w:ascii="楷体_GB2312" w:eastAsia="楷体_GB2312" w:cstheme="minorBidi"/>
                <w:b/>
                <w:bCs/>
                <w:color w:val="000000"/>
                <w:kern w:val="2"/>
                <w:sz w:val="21"/>
                <w:szCs w:val="21"/>
              </w:rPr>
              <w:t>调整，投资者可通过销售机构网站进行查询，调整后的业绩比较基准自公布日起的第一个产品确认日生效</w:t>
            </w:r>
            <w:r>
              <w:rPr>
                <w:rFonts w:hint="eastAsia" w:ascii="楷体_GB2312" w:eastAsia="楷体_GB2312" w:cstheme="minorBidi"/>
                <w:b/>
                <w:bCs/>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default" w:ascii="楷体_GB2312" w:eastAsia="楷体"/>
                <w:b/>
                <w:bCs/>
                <w:szCs w:val="21"/>
                <w:lang w:val="en-US" w:eastAsia="zh-CN"/>
              </w:rPr>
            </w:pPr>
            <w:r>
              <w:rPr>
                <w:rFonts w:hint="eastAsia" w:ascii="楷体" w:hAnsi="楷体" w:eastAsia="楷体"/>
                <w:b/>
                <w:bCs/>
                <w:color w:val="auto"/>
                <w:highlight w:val="none"/>
                <w:lang w:val="en-US" w:eastAsia="zh-CN"/>
              </w:rPr>
              <w:t>理财</w:t>
            </w:r>
            <w:r>
              <w:rPr>
                <w:rFonts w:hint="eastAsia" w:ascii="楷体" w:hAnsi="楷体" w:eastAsia="楷体"/>
                <w:b/>
                <w:bCs/>
                <w:color w:val="auto"/>
                <w:highlight w:val="none"/>
              </w:rPr>
              <w:t>产品</w:t>
            </w:r>
            <w:r>
              <w:rPr>
                <w:rFonts w:hint="eastAsia" w:ascii="楷体" w:hAnsi="楷体" w:eastAsia="楷体"/>
                <w:b/>
                <w:bCs/>
                <w:color w:val="auto"/>
                <w:highlight w:val="none"/>
                <w:lang w:val="en-US" w:eastAsia="zh-CN"/>
              </w:rPr>
              <w:t>费率设置</w:t>
            </w:r>
          </w:p>
        </w:tc>
        <w:tc>
          <w:tcPr>
            <w:tcW w:w="6146" w:type="dxa"/>
            <w:vAlign w:val="top"/>
          </w:tcPr>
          <w:p>
            <w:pPr>
              <w:numPr>
                <w:ilvl w:val="-1"/>
                <w:numId w:val="0"/>
              </w:numPr>
              <w:rPr>
                <w:rFonts w:hint="eastAsia" w:ascii="楷体_GB2312" w:eastAsia="楷体_GB2312"/>
                <w:b/>
                <w:bCs/>
                <w:color w:val="auto"/>
                <w:szCs w:val="21"/>
                <w:highlight w:val="none"/>
                <w:lang w:eastAsia="zh-CN"/>
              </w:rPr>
            </w:pPr>
            <w:r>
              <w:rPr>
                <w:rFonts w:hint="eastAsia" w:ascii="楷体_GB2312" w:eastAsia="楷体_GB2312"/>
                <w:b/>
                <w:bCs/>
                <w:color w:val="auto"/>
                <w:szCs w:val="21"/>
                <w:highlight w:val="none"/>
                <w:lang w:eastAsia="zh-CN"/>
              </w:rPr>
              <w:t>（</w:t>
            </w:r>
            <w:r>
              <w:rPr>
                <w:rFonts w:hint="eastAsia" w:ascii="楷体_GB2312" w:eastAsia="楷体_GB2312"/>
                <w:b/>
                <w:bCs/>
                <w:color w:val="auto"/>
                <w:szCs w:val="21"/>
                <w:highlight w:val="none"/>
                <w:lang w:val="en-US" w:eastAsia="zh-CN"/>
              </w:rPr>
              <w:t>适用【Q】类份额</w:t>
            </w:r>
            <w:r>
              <w:rPr>
                <w:rFonts w:hint="eastAsia" w:ascii="楷体_GB2312" w:eastAsia="楷体_GB2312"/>
                <w:b/>
                <w:bCs/>
                <w:color w:val="auto"/>
                <w:szCs w:val="21"/>
                <w:highlight w:val="none"/>
                <w:lang w:eastAsia="zh-CN"/>
              </w:rPr>
              <w:t>）</w:t>
            </w:r>
          </w:p>
          <w:p>
            <w:pPr>
              <w:numPr>
                <w:ilvl w:val="-1"/>
                <w:numId w:val="0"/>
              </w:numPr>
              <w:rPr>
                <w:rFonts w:hint="eastAsia" w:ascii="楷体" w:hAnsi="楷体" w:eastAsia="楷体"/>
                <w:b/>
                <w:bCs/>
                <w:szCs w:val="22"/>
                <w:lang w:val="en-US" w:eastAsia="zh-CN"/>
              </w:rPr>
            </w:pPr>
            <w:r>
              <w:rPr>
                <w:rFonts w:hint="eastAsia" w:ascii="楷体" w:hAnsi="楷体" w:eastAsia="楷体"/>
                <w:b/>
                <w:bCs/>
                <w:szCs w:val="22"/>
                <w:lang w:val="en-US" w:eastAsia="zh-CN"/>
              </w:rPr>
              <w:t>1、理财产品费用：</w:t>
            </w:r>
          </w:p>
          <w:p>
            <w:pPr>
              <w:numPr>
                <w:ilvl w:val="-1"/>
                <w:numId w:val="0"/>
              </w:numPr>
              <w:rPr>
                <w:rFonts w:ascii="楷体_GB2312" w:eastAsia="楷体_GB2312"/>
                <w:b/>
                <w:bCs/>
                <w:szCs w:val="21"/>
                <w:highlight w:val="none"/>
              </w:rPr>
            </w:pPr>
            <w:r>
              <w:rPr>
                <w:rFonts w:hint="eastAsia" w:ascii="楷体_GB2312" w:eastAsia="楷体_GB2312"/>
                <w:b/>
                <w:bCs/>
                <w:szCs w:val="21"/>
                <w:highlight w:val="none"/>
                <w:lang w:val="en-US" w:eastAsia="zh-CN"/>
              </w:rPr>
              <w:t>（1）销售管理费：年化费率【</w:t>
            </w:r>
            <w:r>
              <w:rPr>
                <w:rFonts w:hint="eastAsia" w:ascii="楷体_GB2312" w:eastAsia="楷体_GB2312"/>
                <w:b/>
                <w:bCs/>
                <w:color w:val="C00000"/>
                <w:szCs w:val="21"/>
                <w:highlight w:val="none"/>
                <w:lang w:val="en-US" w:eastAsia="zh-CN"/>
              </w:rPr>
              <w:t>0.60%</w:t>
            </w:r>
            <w:r>
              <w:rPr>
                <w:rFonts w:hint="eastAsia" w:ascii="楷体_GB2312" w:eastAsia="楷体_GB2312"/>
                <w:b/>
                <w:bCs/>
                <w:szCs w:val="21"/>
                <w:highlight w:val="none"/>
                <w:lang w:val="en-US" w:eastAsia="zh-CN"/>
              </w:rPr>
              <w:t>】。</w:t>
            </w:r>
          </w:p>
          <w:p>
            <w:pPr>
              <w:numPr>
                <w:ilvl w:val="-1"/>
                <w:numId w:val="0"/>
              </w:numPr>
              <w:rPr>
                <w:rFonts w:ascii="楷体_GB2312" w:eastAsia="楷体_GB2312"/>
                <w:b/>
                <w:bCs/>
                <w:szCs w:val="21"/>
                <w:highlight w:val="none"/>
              </w:rPr>
            </w:pPr>
            <w:r>
              <w:rPr>
                <w:rFonts w:hint="eastAsia" w:ascii="楷体_GB2312" w:eastAsia="楷体_GB2312"/>
                <w:b/>
                <w:bCs/>
                <w:szCs w:val="21"/>
                <w:highlight w:val="none"/>
                <w:lang w:val="en-US" w:eastAsia="zh-CN"/>
              </w:rPr>
              <w:t>（2）固定投资管理费：年化费率【</w:t>
            </w:r>
            <w:r>
              <w:rPr>
                <w:rFonts w:hint="eastAsia" w:ascii="楷体_GB2312" w:eastAsia="楷体_GB2312"/>
                <w:b/>
                <w:bCs/>
                <w:color w:val="C00000"/>
                <w:szCs w:val="21"/>
                <w:highlight w:val="none"/>
                <w:lang w:val="en-US" w:eastAsia="zh-CN"/>
              </w:rPr>
              <w:t>0.60%</w:t>
            </w:r>
            <w:r>
              <w:rPr>
                <w:rFonts w:hint="eastAsia" w:ascii="楷体_GB2312" w:eastAsia="楷体_GB2312"/>
                <w:b/>
                <w:bCs/>
                <w:szCs w:val="21"/>
                <w:highlight w:val="none"/>
                <w:lang w:val="en-US" w:eastAsia="zh-CN"/>
              </w:rPr>
              <w:t>】。</w:t>
            </w:r>
          </w:p>
          <w:p>
            <w:pPr>
              <w:numPr>
                <w:ilvl w:val="-1"/>
                <w:numId w:val="0"/>
              </w:numPr>
              <w:rPr>
                <w:rFonts w:hint="default" w:ascii="楷体_GB2312" w:eastAsia="楷体_GB2312"/>
                <w:b/>
                <w:bCs/>
                <w:szCs w:val="21"/>
                <w:highlight w:val="none"/>
                <w:lang w:val="en-US"/>
              </w:rPr>
            </w:pPr>
            <w:r>
              <w:rPr>
                <w:rFonts w:hint="eastAsia" w:ascii="楷体_GB2312" w:eastAsia="楷体_GB2312"/>
                <w:b/>
                <w:bCs/>
                <w:szCs w:val="21"/>
                <w:highlight w:val="none"/>
                <w:lang w:val="en-US" w:eastAsia="zh-CN"/>
              </w:rPr>
              <w:t>（3）托管费：年化费率【</w:t>
            </w:r>
            <w:r>
              <w:rPr>
                <w:rFonts w:hint="eastAsia" w:ascii="楷体_GB2312" w:eastAsia="楷体_GB2312"/>
                <w:b/>
                <w:bCs/>
                <w:color w:val="C00000"/>
                <w:szCs w:val="21"/>
                <w:highlight w:val="none"/>
                <w:lang w:val="en-US" w:eastAsia="zh-CN"/>
              </w:rPr>
              <w:t>0.02%</w:t>
            </w:r>
            <w:r>
              <w:rPr>
                <w:rFonts w:hint="eastAsia" w:ascii="楷体_GB2312" w:eastAsia="楷体_GB2312"/>
                <w:b/>
                <w:bCs/>
                <w:szCs w:val="21"/>
                <w:highlight w:val="none"/>
                <w:lang w:val="en-US" w:eastAsia="zh-CN"/>
              </w:rPr>
              <w:t>】。</w:t>
            </w:r>
          </w:p>
          <w:p>
            <w:pPr>
              <w:numPr>
                <w:ilvl w:val="-1"/>
                <w:numId w:val="0"/>
              </w:numPr>
              <w:rPr>
                <w:rFonts w:hint="eastAsia" w:ascii="楷体_GB2312" w:eastAsia="楷体_GB2312"/>
                <w:b/>
                <w:bCs/>
                <w:szCs w:val="21"/>
                <w:highlight w:val="none"/>
                <w:lang w:val="en-US" w:eastAsia="zh-CN"/>
              </w:rPr>
            </w:pPr>
            <w:r>
              <w:rPr>
                <w:rFonts w:hint="eastAsia" w:ascii="楷体_GB2312" w:eastAsia="楷体_GB2312"/>
                <w:b/>
                <w:bCs/>
                <w:szCs w:val="21"/>
                <w:highlight w:val="none"/>
                <w:lang w:val="en-US" w:eastAsia="zh-CN"/>
              </w:rPr>
              <w:t>（4）浮动投资管理费：</w:t>
            </w:r>
          </w:p>
          <w:p>
            <w:pPr>
              <w:widowControl/>
              <w:numPr>
                <w:ilvl w:val="0"/>
                <w:numId w:val="0"/>
              </w:numPr>
              <w:ind w:firstLine="422" w:firstLineChars="200"/>
              <w:jc w:val="left"/>
              <w:rPr>
                <w:rFonts w:hint="eastAsia" w:ascii="楷体_GB2312" w:eastAsia="楷体_GB2312"/>
                <w:b/>
                <w:bCs/>
                <w:szCs w:val="21"/>
                <w:highlight w:val="none"/>
                <w:lang w:val="en-US" w:eastAsia="zh-CN"/>
              </w:rPr>
            </w:pPr>
            <w:r>
              <w:rPr>
                <w:rFonts w:hint="eastAsia" w:ascii="楷体_GB2312" w:eastAsia="楷体_GB2312"/>
                <w:b/>
                <w:bCs/>
                <w:szCs w:val="21"/>
                <w:highlight w:val="none"/>
                <w:lang w:val="en-US" w:eastAsia="zh-CN"/>
              </w:rPr>
              <w:t>本理财产品浮动投资管理费收取比例：【</w:t>
            </w:r>
            <w:r>
              <w:rPr>
                <w:rFonts w:hint="eastAsia" w:ascii="楷体_GB2312" w:eastAsia="楷体_GB2312"/>
                <w:b/>
                <w:bCs/>
                <w:color w:val="C00000"/>
                <w:szCs w:val="21"/>
                <w:highlight w:val="none"/>
                <w:lang w:val="en-US" w:eastAsia="zh-CN"/>
              </w:rPr>
              <w:t>/</w:t>
            </w:r>
            <w:r>
              <w:rPr>
                <w:rFonts w:hint="eastAsia" w:ascii="楷体_GB2312" w:eastAsia="楷体_GB2312"/>
                <w:b/>
                <w:bCs/>
                <w:szCs w:val="21"/>
                <w:highlight w:val="none"/>
                <w:lang w:val="en-US" w:eastAsia="zh-CN"/>
              </w:rPr>
              <w:t>】</w:t>
            </w:r>
          </w:p>
          <w:p>
            <w:pPr>
              <w:widowControl/>
              <w:numPr>
                <w:ilvl w:val="0"/>
                <w:numId w:val="0"/>
              </w:numPr>
              <w:jc w:val="left"/>
              <w:rPr>
                <w:rFonts w:hint="default" w:ascii="楷体_GB2312" w:eastAsia="楷体_GB2312"/>
                <w:b/>
                <w:bCs/>
                <w:szCs w:val="21"/>
                <w:highlight w:val="none"/>
                <w:lang w:val="en-US" w:eastAsia="zh-CN"/>
              </w:rPr>
            </w:pPr>
            <w:r>
              <w:rPr>
                <w:rFonts w:hint="eastAsia" w:ascii="楷体_GB2312" w:eastAsia="楷体_GB2312"/>
                <w:b/>
                <w:bCs/>
                <w:szCs w:val="21"/>
                <w:highlight w:val="none"/>
                <w:lang w:val="en-US" w:eastAsia="zh-CN"/>
              </w:rPr>
              <w:t>2、认购费、申购费、赎回费：</w:t>
            </w:r>
          </w:p>
          <w:p>
            <w:pPr>
              <w:numPr>
                <w:ilvl w:val="-1"/>
                <w:numId w:val="0"/>
              </w:numPr>
              <w:ind w:firstLine="422" w:firstLineChars="200"/>
              <w:rPr>
                <w:rFonts w:hint="eastAsia" w:ascii="楷体_GB2312" w:hAnsi="宋体" w:eastAsia="楷体_GB2312"/>
                <w:b/>
                <w:bCs/>
                <w:szCs w:val="21"/>
                <w:lang w:val="en-US" w:eastAsia="zh-CN"/>
              </w:rPr>
            </w:pPr>
            <w:r>
              <w:rPr>
                <w:rFonts w:hint="eastAsia" w:ascii="楷体_GB2312" w:hAnsi="宋体" w:eastAsia="楷体_GB2312"/>
                <w:b/>
                <w:bCs/>
                <w:szCs w:val="21"/>
                <w:lang w:val="en-US" w:eastAsia="zh-CN"/>
              </w:rPr>
              <w:t>投资者认购/申购或赎回本理财产品时，需按约定支付认购/申购费或赎回费（如有），认购/申购费、赎回费不属于理财产品费用，不由理财产品承担，由投资者承担并于认购/申购或赎回份额时一次性支付。</w:t>
            </w:r>
          </w:p>
          <w:p>
            <w:pPr>
              <w:numPr>
                <w:ilvl w:val="-1"/>
                <w:numId w:val="0"/>
              </w:numPr>
              <w:rPr>
                <w:rFonts w:hint="eastAsia" w:ascii="楷体_GB2312" w:eastAsia="楷体_GB2312"/>
                <w:b/>
                <w:bCs/>
                <w:szCs w:val="21"/>
                <w:highlight w:val="none"/>
                <w:lang w:val="en-US" w:eastAsia="zh-CN"/>
              </w:rPr>
            </w:pPr>
            <w:r>
              <w:rPr>
                <w:rFonts w:hint="eastAsia" w:ascii="楷体_GB2312" w:eastAsia="楷体_GB2312"/>
                <w:b/>
                <w:bCs/>
                <w:szCs w:val="21"/>
                <w:highlight w:val="none"/>
                <w:lang w:val="en-US" w:eastAsia="zh-CN"/>
              </w:rPr>
              <w:t>（1）认购费：【</w:t>
            </w:r>
            <w:r>
              <w:rPr>
                <w:rFonts w:hint="eastAsia" w:ascii="楷体_GB2312" w:eastAsia="楷体_GB2312"/>
                <w:b/>
                <w:bCs/>
                <w:color w:val="C00000"/>
                <w:szCs w:val="21"/>
                <w:highlight w:val="none"/>
                <w:lang w:val="en-US" w:eastAsia="zh-CN"/>
              </w:rPr>
              <w:t>/</w:t>
            </w:r>
            <w:r>
              <w:rPr>
                <w:rFonts w:hint="eastAsia" w:ascii="楷体_GB2312" w:eastAsia="楷体_GB2312"/>
                <w:b/>
                <w:bCs/>
                <w:szCs w:val="21"/>
                <w:highlight w:val="none"/>
                <w:lang w:val="en-US" w:eastAsia="zh-CN"/>
              </w:rPr>
              <w:t>】。</w:t>
            </w:r>
          </w:p>
          <w:p>
            <w:pPr>
              <w:numPr>
                <w:ilvl w:val="-1"/>
                <w:numId w:val="0"/>
              </w:numPr>
              <w:rPr>
                <w:rFonts w:ascii="楷体_GB2312" w:eastAsia="楷体_GB2312"/>
                <w:b/>
                <w:bCs/>
                <w:szCs w:val="21"/>
                <w:highlight w:val="none"/>
              </w:rPr>
            </w:pPr>
            <w:r>
              <w:rPr>
                <w:rFonts w:hint="eastAsia" w:ascii="楷体_GB2312" w:eastAsia="楷体_GB2312"/>
                <w:b/>
                <w:bCs/>
                <w:szCs w:val="21"/>
                <w:highlight w:val="none"/>
                <w:lang w:val="en-US" w:eastAsia="zh-CN"/>
              </w:rPr>
              <w:t>（2）申购费：【</w:t>
            </w:r>
            <w:r>
              <w:rPr>
                <w:rFonts w:hint="eastAsia" w:ascii="楷体_GB2312" w:eastAsia="楷体_GB2312"/>
                <w:b/>
                <w:bCs/>
                <w:color w:val="C00000"/>
                <w:szCs w:val="21"/>
                <w:highlight w:val="none"/>
                <w:lang w:val="en-US" w:eastAsia="zh-CN"/>
              </w:rPr>
              <w:t>/</w:t>
            </w:r>
            <w:r>
              <w:rPr>
                <w:rFonts w:hint="eastAsia" w:ascii="楷体_GB2312" w:eastAsia="楷体_GB2312"/>
                <w:b/>
                <w:bCs/>
                <w:szCs w:val="21"/>
                <w:highlight w:val="none"/>
                <w:lang w:val="en-US" w:eastAsia="zh-CN"/>
              </w:rPr>
              <w:t>】。</w:t>
            </w:r>
          </w:p>
          <w:p>
            <w:pPr>
              <w:numPr>
                <w:ilvl w:val="-1"/>
                <w:numId w:val="0"/>
              </w:numPr>
              <w:rPr>
                <w:rFonts w:hint="eastAsia" w:ascii="楷体_GB2312" w:hAnsi="宋体" w:eastAsia="楷体_GB2312"/>
                <w:b/>
                <w:bCs/>
                <w:szCs w:val="21"/>
                <w:lang w:val="en-US" w:eastAsia="zh-CN"/>
              </w:rPr>
            </w:pPr>
            <w:r>
              <w:rPr>
                <w:rFonts w:hint="eastAsia" w:ascii="楷体_GB2312" w:eastAsia="楷体_GB2312"/>
                <w:b/>
                <w:bCs/>
                <w:szCs w:val="21"/>
                <w:highlight w:val="none"/>
                <w:lang w:val="en-US" w:eastAsia="zh-CN"/>
              </w:rPr>
              <w:t>（3）赎回费：【</w:t>
            </w:r>
            <w:r>
              <w:rPr>
                <w:rFonts w:hint="eastAsia" w:ascii="楷体_GB2312" w:eastAsia="楷体_GB2312"/>
                <w:b/>
                <w:bCs/>
                <w:color w:val="C00000"/>
                <w:szCs w:val="21"/>
                <w:highlight w:val="none"/>
                <w:lang w:val="en-US" w:eastAsia="zh-CN"/>
              </w:rPr>
              <w:t>/</w:t>
            </w:r>
            <w:r>
              <w:rPr>
                <w:rFonts w:hint="eastAsia" w:ascii="楷体_GB2312" w:eastAsia="楷体_GB2312"/>
                <w:b/>
                <w:bCs/>
                <w:szCs w:val="21"/>
                <w:highlight w:val="none"/>
                <w:lang w:val="en-US" w:eastAsia="zh-CN"/>
              </w:rPr>
              <w:t>】。</w:t>
            </w:r>
          </w:p>
          <w:p>
            <w:pPr>
              <w:numPr>
                <w:ilvl w:val="-1"/>
                <w:numId w:val="0"/>
              </w:numPr>
              <w:ind w:left="0" w:leftChars="0" w:firstLine="0" w:firstLineChars="0"/>
              <w:rPr>
                <w:rFonts w:hint="eastAsia" w:ascii="楷体_GB2312" w:eastAsia="楷体_GB2312" w:cstheme="minorBidi"/>
                <w:b/>
                <w:bCs/>
                <w:color w:val="000000"/>
                <w:kern w:val="2"/>
                <w:sz w:val="21"/>
                <w:szCs w:val="21"/>
              </w:rPr>
            </w:pPr>
            <w:r>
              <w:rPr>
                <w:rFonts w:hint="eastAsia" w:ascii="楷体_GB2312" w:eastAsia="楷体_GB2312"/>
                <w:b/>
                <w:bCs/>
                <w:szCs w:val="21"/>
                <w:highlight w:val="none"/>
                <w:lang w:val="en-US" w:eastAsia="zh-CN"/>
              </w:rPr>
              <w:t>3、</w:t>
            </w:r>
            <w:r>
              <w:rPr>
                <w:rFonts w:hint="eastAsia" w:ascii="楷体_GB2312" w:eastAsia="楷体_GB2312"/>
                <w:b/>
                <w:bCs/>
                <w:szCs w:val="21"/>
                <w:highlight w:val="none"/>
              </w:rPr>
              <w:t>上银理财</w:t>
            </w:r>
            <w:r>
              <w:rPr>
                <w:rFonts w:ascii="楷体_GB2312" w:eastAsia="楷体_GB2312"/>
                <w:b/>
                <w:bCs/>
                <w:szCs w:val="21"/>
                <w:highlight w:val="none"/>
              </w:rPr>
              <w:t>有权</w:t>
            </w:r>
            <w:r>
              <w:rPr>
                <w:rFonts w:hint="eastAsia" w:ascii="楷体_GB2312" w:eastAsia="楷体_GB2312"/>
                <w:b/>
                <w:bCs/>
                <w:szCs w:val="21"/>
                <w:highlight w:val="none"/>
              </w:rPr>
              <w:t>根据</w:t>
            </w:r>
            <w:r>
              <w:rPr>
                <w:rFonts w:ascii="楷体_GB2312" w:eastAsia="楷体_GB2312"/>
                <w:b/>
                <w:bCs/>
                <w:szCs w:val="21"/>
                <w:highlight w:val="none"/>
              </w:rPr>
              <w:t>相关法律和国家政策规定</w:t>
            </w:r>
            <w:r>
              <w:rPr>
                <w:rFonts w:hint="eastAsia" w:ascii="楷体_GB2312" w:eastAsia="楷体_GB2312"/>
                <w:b/>
                <w:bCs/>
                <w:szCs w:val="21"/>
                <w:highlight w:val="none"/>
              </w:rPr>
              <w:t>调整</w:t>
            </w:r>
            <w:r>
              <w:rPr>
                <w:rFonts w:ascii="楷体_GB2312" w:eastAsia="楷体_GB2312"/>
                <w:b/>
                <w:bCs/>
                <w:szCs w:val="21"/>
                <w:highlight w:val="none"/>
              </w:rPr>
              <w:t>产品费</w:t>
            </w:r>
            <w:r>
              <w:rPr>
                <w:rFonts w:hint="eastAsia" w:ascii="楷体_GB2312" w:eastAsia="楷体_GB2312"/>
                <w:b/>
                <w:bCs/>
                <w:szCs w:val="21"/>
                <w:highlight w:val="none"/>
              </w:rPr>
              <w:t>率，</w:t>
            </w:r>
            <w:r>
              <w:rPr>
                <w:rFonts w:ascii="楷体_GB2312" w:eastAsia="楷体_GB2312"/>
                <w:b/>
                <w:bCs/>
                <w:szCs w:val="21"/>
                <w:highlight w:val="none"/>
              </w:rPr>
              <w:t>调整产品费率的公告将通过</w:t>
            </w:r>
            <w:r>
              <w:rPr>
                <w:rFonts w:hint="eastAsia" w:ascii="楷体_GB2312" w:eastAsia="楷体_GB2312"/>
                <w:b/>
                <w:bCs/>
                <w:szCs w:val="21"/>
                <w:highlight w:val="none"/>
                <w:lang w:eastAsia="zh-CN"/>
              </w:rPr>
              <w:t>《</w:t>
            </w:r>
            <w:r>
              <w:rPr>
                <w:rFonts w:hint="eastAsia" w:ascii="楷体_GB2312" w:eastAsia="楷体_GB2312"/>
                <w:b/>
                <w:bCs/>
                <w:szCs w:val="21"/>
                <w:highlight w:val="none"/>
                <w:lang w:val="en-US" w:eastAsia="zh-CN"/>
              </w:rPr>
              <w:t>产品说明书</w:t>
            </w:r>
            <w:r>
              <w:rPr>
                <w:rFonts w:hint="eastAsia" w:ascii="楷体_GB2312" w:eastAsia="楷体_GB2312"/>
                <w:b/>
                <w:bCs/>
                <w:szCs w:val="21"/>
                <w:highlight w:val="none"/>
                <w:lang w:eastAsia="zh-CN"/>
              </w:rPr>
              <w:t>》</w:t>
            </w:r>
            <w:r>
              <w:rPr>
                <w:rFonts w:ascii="楷体" w:hAnsi="楷体" w:eastAsia="楷体"/>
                <w:b/>
                <w:bCs/>
                <w:highlight w:val="none"/>
              </w:rPr>
              <w:t>“</w:t>
            </w:r>
            <w:r>
              <w:rPr>
                <w:rFonts w:hint="eastAsia" w:ascii="楷体" w:hAnsi="楷体" w:eastAsia="楷体"/>
                <w:b/>
                <w:bCs/>
                <w:highlight w:val="none"/>
              </w:rPr>
              <w:t>信息披露</w:t>
            </w:r>
            <w:r>
              <w:rPr>
                <w:rFonts w:ascii="楷体" w:hAnsi="楷体" w:eastAsia="楷体"/>
                <w:b/>
                <w:bCs/>
                <w:highlight w:val="none"/>
              </w:rPr>
              <w:t>”</w:t>
            </w:r>
            <w:r>
              <w:rPr>
                <w:rFonts w:hint="eastAsia" w:ascii="楷体" w:hAnsi="楷体" w:eastAsia="楷体"/>
                <w:b/>
                <w:bCs/>
                <w:highlight w:val="none"/>
              </w:rPr>
              <w:t>约定的方式向投资者披露</w:t>
            </w:r>
            <w:r>
              <w:rPr>
                <w:rFonts w:hint="eastAsia" w:ascii="楷体_GB2312" w:eastAsia="楷体_GB2312"/>
                <w:b/>
                <w:bCs/>
                <w:szCs w:val="21"/>
                <w:highlight w:val="none"/>
              </w:rPr>
              <w:t>。投资者若不接受，可根据实际情况按照公告约定提前赎回本理财产品。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color w:val="auto"/>
                <w:highlight w:val="none"/>
                <w:lang w:val="en-US" w:eastAsia="zh-CN"/>
              </w:rPr>
            </w:pPr>
            <w:r>
              <w:rPr>
                <w:rFonts w:hint="eastAsia" w:ascii="楷体" w:hAnsi="楷体" w:eastAsia="楷体"/>
                <w:b/>
                <w:bCs/>
                <w:color w:val="auto"/>
                <w:highlight w:val="none"/>
                <w:lang w:val="en-US" w:eastAsia="zh-CN"/>
              </w:rPr>
              <w:t>本金及理财收益</w:t>
            </w:r>
          </w:p>
        </w:tc>
        <w:tc>
          <w:tcPr>
            <w:tcW w:w="6146" w:type="dxa"/>
            <w:vAlign w:val="top"/>
          </w:tcPr>
          <w:p>
            <w:pPr>
              <w:numPr>
                <w:ilvl w:val="-1"/>
                <w:numId w:val="0"/>
              </w:numPr>
              <w:ind w:left="0" w:leftChars="0" w:firstLine="0" w:firstLineChars="0"/>
              <w:rPr>
                <w:rFonts w:hint="eastAsia" w:ascii="楷体_GB2312" w:eastAsia="楷体_GB2312"/>
                <w:b/>
                <w:bCs/>
                <w:szCs w:val="21"/>
                <w:highlight w:val="none"/>
              </w:rPr>
            </w:pPr>
            <w:r>
              <w:rPr>
                <w:rFonts w:hint="eastAsia" w:ascii="楷体_GB2312" w:eastAsia="楷体_GB2312"/>
                <w:b/>
                <w:bCs/>
                <w:szCs w:val="21"/>
                <w:highlight w:val="none"/>
              </w:rPr>
              <w:t>本理财产品不保障本金和收益，详见</w:t>
            </w:r>
            <w:r>
              <w:rPr>
                <w:rFonts w:hint="eastAsia" w:ascii="楷体_GB2312" w:eastAsia="楷体_GB2312"/>
                <w:b/>
                <w:bCs/>
                <w:szCs w:val="21"/>
                <w:highlight w:val="none"/>
                <w:lang w:eastAsia="zh-CN"/>
              </w:rPr>
              <w:t>《</w:t>
            </w:r>
            <w:r>
              <w:rPr>
                <w:rFonts w:hint="eastAsia" w:ascii="楷体_GB2312" w:eastAsia="楷体_GB2312"/>
                <w:b/>
                <w:bCs/>
                <w:szCs w:val="21"/>
                <w:highlight w:val="none"/>
                <w:lang w:val="en-US" w:eastAsia="zh-CN"/>
              </w:rPr>
              <w:t>产品说明书</w:t>
            </w:r>
            <w:r>
              <w:rPr>
                <w:rFonts w:hint="eastAsia" w:ascii="楷体_GB2312" w:eastAsia="楷体_GB2312"/>
                <w:b/>
                <w:bCs/>
                <w:szCs w:val="21"/>
                <w:highlight w:val="none"/>
                <w:lang w:eastAsia="zh-CN"/>
              </w:rPr>
              <w:t>》</w:t>
            </w:r>
            <w:r>
              <w:rPr>
                <w:rFonts w:hint="eastAsia" w:ascii="楷体_GB2312" w:eastAsia="楷体_GB2312"/>
                <w:b/>
                <w:bCs/>
                <w:szCs w:val="21"/>
                <w:highlight w:val="none"/>
              </w:rPr>
              <w:t>“产品的收益、费用及税费”。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4" w:hRule="atLeast"/>
        </w:trPr>
        <w:tc>
          <w:tcPr>
            <w:tcW w:w="2376" w:type="dxa"/>
            <w:vAlign w:val="center"/>
          </w:tcPr>
          <w:p>
            <w:pPr>
              <w:rPr>
                <w:rFonts w:hint="eastAsia" w:ascii="楷体" w:hAnsi="楷体" w:eastAsia="楷体"/>
                <w:b/>
                <w:bCs/>
                <w:color w:val="auto"/>
                <w:highlight w:val="none"/>
                <w:lang w:val="en-US" w:eastAsia="zh-CN"/>
              </w:rPr>
            </w:pPr>
            <w:r>
              <w:rPr>
                <w:rFonts w:hint="eastAsia" w:ascii="楷体" w:hAnsi="楷体" w:eastAsia="楷体"/>
                <w:b/>
                <w:bCs/>
                <w:color w:val="auto"/>
                <w:highlight w:val="none"/>
                <w:lang w:val="en-US" w:eastAsia="zh-CN"/>
              </w:rPr>
              <w:t>收益计算基础</w:t>
            </w:r>
          </w:p>
        </w:tc>
        <w:tc>
          <w:tcPr>
            <w:tcW w:w="6146" w:type="dxa"/>
            <w:vAlign w:val="top"/>
          </w:tcPr>
          <w:p>
            <w:pPr>
              <w:numPr>
                <w:ilvl w:val="-1"/>
                <w:numId w:val="0"/>
              </w:numPr>
              <w:ind w:left="0" w:leftChars="0" w:firstLine="0" w:firstLineChars="0"/>
              <w:rPr>
                <w:rFonts w:hint="default" w:ascii="楷体_GB2312" w:eastAsia="楷体_GB2312"/>
                <w:b/>
                <w:bCs/>
                <w:szCs w:val="21"/>
                <w:highlight w:val="none"/>
                <w:lang w:val="en-US" w:eastAsia="zh-CN"/>
              </w:rPr>
            </w:pPr>
            <w:r>
              <w:rPr>
                <w:rFonts w:hint="eastAsia" w:ascii="楷体_GB2312" w:eastAsia="楷体_GB2312"/>
                <w:b/>
                <w:bCs/>
                <w:szCs w:val="21"/>
                <w:highlight w:val="none"/>
                <w:lang w:val="en-US" w:eastAsia="zh-CN"/>
              </w:rPr>
              <w:t>365天</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highlight w:val="none"/>
                <w:lang w:val="en-US" w:eastAsia="zh-CN"/>
              </w:rPr>
            </w:pPr>
            <w:r>
              <w:rPr>
                <w:rFonts w:hint="eastAsia" w:ascii="楷体" w:hAnsi="楷体" w:eastAsia="楷体"/>
                <w:b/>
                <w:bCs/>
              </w:rPr>
              <w:t>其他税费</w:t>
            </w:r>
          </w:p>
        </w:tc>
        <w:tc>
          <w:tcPr>
            <w:tcW w:w="6146" w:type="dxa"/>
            <w:vAlign w:val="top"/>
          </w:tcPr>
          <w:p>
            <w:pPr>
              <w:rPr>
                <w:rFonts w:hint="eastAsia" w:ascii="楷体_GB2312" w:eastAsia="楷体_GB2312"/>
                <w:b/>
                <w:bCs/>
                <w:szCs w:val="21"/>
                <w:highlight w:val="none"/>
              </w:rPr>
            </w:pPr>
            <w:r>
              <w:rPr>
                <w:rFonts w:hint="eastAsia" w:ascii="楷体" w:hAnsi="楷体" w:eastAsia="楷体"/>
                <w:b/>
                <w:bCs/>
              </w:rPr>
              <w:t>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highlight w:val="none"/>
                <w:lang w:val="en-US" w:eastAsia="zh-CN"/>
              </w:rPr>
            </w:pPr>
            <w:r>
              <w:rPr>
                <w:rFonts w:hint="eastAsia" w:ascii="楷体" w:hAnsi="楷体" w:eastAsia="楷体"/>
                <w:b/>
                <w:bCs/>
                <w:lang w:val="en-US" w:eastAsia="zh-CN"/>
              </w:rPr>
              <w:t>理财</w:t>
            </w:r>
            <w:r>
              <w:rPr>
                <w:rFonts w:hint="eastAsia" w:ascii="楷体" w:hAnsi="楷体" w:eastAsia="楷体"/>
                <w:b/>
                <w:bCs/>
              </w:rPr>
              <w:t>产品管理人</w:t>
            </w:r>
          </w:p>
        </w:tc>
        <w:tc>
          <w:tcPr>
            <w:tcW w:w="6146" w:type="dxa"/>
            <w:vAlign w:val="top"/>
          </w:tcPr>
          <w:p>
            <w:pPr>
              <w:rPr>
                <w:rFonts w:hint="eastAsia" w:ascii="楷体_GB2312" w:eastAsia="楷体_GB2312"/>
                <w:b/>
                <w:bCs/>
                <w:szCs w:val="21"/>
                <w:highlight w:val="none"/>
              </w:rPr>
            </w:pPr>
            <w:r>
              <w:rPr>
                <w:rFonts w:hint="eastAsia" w:ascii="楷体" w:hAnsi="楷体" w:eastAsia="楷体"/>
                <w:b/>
                <w:bCs/>
              </w:rPr>
              <w:t>上银理财有限责任公司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highlight w:val="none"/>
                <w:lang w:val="en-US" w:eastAsia="zh-CN"/>
              </w:rPr>
            </w:pPr>
            <w:r>
              <w:rPr>
                <w:rFonts w:hint="eastAsia" w:ascii="楷体" w:hAnsi="楷体" w:eastAsia="楷体"/>
                <w:b/>
                <w:bCs/>
                <w:lang w:val="en-US" w:eastAsia="zh-CN"/>
              </w:rPr>
              <w:t>理财</w:t>
            </w:r>
            <w:r>
              <w:rPr>
                <w:rFonts w:hint="eastAsia" w:ascii="楷体" w:hAnsi="楷体" w:eastAsia="楷体"/>
                <w:b/>
                <w:bCs/>
              </w:rPr>
              <w:t>产品托管人</w:t>
            </w:r>
          </w:p>
        </w:tc>
        <w:tc>
          <w:tcPr>
            <w:tcW w:w="6146" w:type="dxa"/>
            <w:vAlign w:val="top"/>
          </w:tcPr>
          <w:p>
            <w:pPr>
              <w:rPr>
                <w:rFonts w:hint="eastAsia" w:ascii="楷体_GB2312" w:eastAsia="楷体_GB2312"/>
                <w:b/>
                <w:bCs/>
                <w:color w:val="auto"/>
                <w:szCs w:val="21"/>
                <w:highlight w:val="none"/>
              </w:rPr>
            </w:pPr>
            <w:r>
              <w:rPr>
                <w:rFonts w:hint="eastAsia" w:ascii="楷体" w:hAnsi="楷体" w:eastAsia="楷体"/>
                <w:b/>
                <w:bCs/>
                <w:color w:val="auto"/>
                <w:lang w:eastAsia="zh-CN"/>
              </w:rPr>
              <w:t>【</w:t>
            </w:r>
            <w:r>
              <w:rPr>
                <w:rFonts w:hint="eastAsia" w:ascii="楷体" w:hAnsi="楷体" w:eastAsia="楷体"/>
                <w:b/>
                <w:bCs/>
                <w:color w:val="auto"/>
              </w:rPr>
              <w:t>上海银行股份有限公司</w:t>
            </w:r>
            <w:r>
              <w:rPr>
                <w:rFonts w:hint="eastAsia" w:ascii="楷体" w:hAnsi="楷体" w:eastAsia="楷体"/>
                <w:b/>
                <w:bCs/>
                <w:color w:val="auto"/>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highlight w:val="none"/>
                <w:lang w:val="en-US" w:eastAsia="zh-CN"/>
              </w:rPr>
            </w:pPr>
            <w:r>
              <w:rPr>
                <w:rFonts w:hint="eastAsia" w:ascii="楷体_GB2312" w:eastAsia="楷体_GB2312"/>
                <w:b/>
                <w:bCs/>
                <w:szCs w:val="21"/>
              </w:rPr>
              <w:t>销售机构</w:t>
            </w:r>
          </w:p>
        </w:tc>
        <w:tc>
          <w:tcPr>
            <w:tcW w:w="6146" w:type="dxa"/>
            <w:vAlign w:val="top"/>
          </w:tcPr>
          <w:p>
            <w:pPr>
              <w:rPr>
                <w:rFonts w:hint="eastAsia" w:ascii="楷体_GB2312" w:eastAsia="楷体_GB2312"/>
                <w:b/>
                <w:bCs/>
                <w:color w:val="auto"/>
                <w:szCs w:val="21"/>
                <w:highlight w:val="none"/>
              </w:rPr>
            </w:pPr>
            <w:r>
              <w:rPr>
                <w:rFonts w:hint="eastAsia" w:ascii="楷体_GB2312" w:eastAsia="楷体_GB2312"/>
                <w:b/>
                <w:bCs/>
                <w:color w:val="auto"/>
                <w:szCs w:val="21"/>
                <w:lang w:eastAsia="zh-CN"/>
              </w:rPr>
              <w:t>【</w:t>
            </w:r>
            <w:r>
              <w:rPr>
                <w:rFonts w:hint="eastAsia" w:ascii="楷体" w:hAnsi="楷体" w:eastAsia="楷体"/>
                <w:b/>
                <w:bCs/>
                <w:sz w:val="21"/>
                <w:szCs w:val="24"/>
              </w:rPr>
              <w:t>深圳前海微众银行股份有限公司</w:t>
            </w:r>
            <w:r>
              <w:rPr>
                <w:rFonts w:hint="eastAsia" w:ascii="楷体" w:hAnsi="楷体" w:eastAsia="楷体"/>
                <w:b/>
                <w:bCs/>
                <w:sz w:val="21"/>
                <w:szCs w:val="24"/>
                <w:lang w:eastAsia="zh-CN"/>
              </w:rPr>
              <w:t>、浙江德清农村商业银行股份有限公司、杭州联合农村商业银行股份有限公司、</w:t>
            </w:r>
            <w:r>
              <w:rPr>
                <w:rFonts w:hint="eastAsia" w:ascii="楷体" w:hAnsi="楷体" w:eastAsia="楷体"/>
                <w:b/>
                <w:bCs/>
                <w:sz w:val="21"/>
                <w:szCs w:val="24"/>
                <w:lang w:val="en-US" w:eastAsia="zh-CN"/>
              </w:rPr>
              <w:t>重庆富民银行股份有限公司、浙江龙游农村商业银行股份有限公司、宁波慈溪农村商业银行股份有限公司、张家口银行股份有限公司、浙江绍兴瑞丰农村商业银行股份有限公司、吉林银行股份有限公司、浙江桐乡农村商业银行股份有限公司、宁波镇海农村商业银行股份有限公司</w:t>
            </w:r>
            <w:r>
              <w:rPr>
                <w:rFonts w:hint="eastAsia" w:ascii="楷体_GB2312" w:eastAsia="楷体_GB2312"/>
                <w:b/>
                <w:bCs/>
                <w:color w:val="auto"/>
                <w:szCs w:val="21"/>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highlight w:val="none"/>
                <w:lang w:val="en-US" w:eastAsia="zh-CN"/>
              </w:rPr>
            </w:pPr>
            <w:r>
              <w:rPr>
                <w:rFonts w:hint="eastAsia" w:ascii="楷体_GB2312" w:eastAsia="楷体_GB2312"/>
                <w:b/>
                <w:bCs/>
                <w:szCs w:val="21"/>
              </w:rPr>
              <w:t>其他规定</w:t>
            </w:r>
          </w:p>
        </w:tc>
        <w:tc>
          <w:tcPr>
            <w:tcW w:w="6146" w:type="dxa"/>
            <w:vAlign w:val="center"/>
          </w:tcPr>
          <w:p>
            <w:r>
              <w:rPr>
                <w:rFonts w:hint="eastAsia" w:ascii="楷体_GB2312" w:eastAsia="楷体_GB2312" w:cs="楷体_GB2312"/>
                <w:b/>
                <w:bCs/>
                <w:lang w:val="en-US" w:eastAsia="zh-CN"/>
              </w:rPr>
              <w:t>1、</w:t>
            </w:r>
            <w:r>
              <w:rPr>
                <w:rFonts w:hint="eastAsia" w:ascii="楷体_GB2312" w:eastAsia="楷体_GB2312" w:cs="楷体_GB2312"/>
                <w:b/>
                <w:bCs/>
              </w:rPr>
              <w:t>投资者在募集期内认购本理财产品被受理后，销售机构有权冻结或预扣认购款项，冻结或预扣期间管理人不向投资者计付利息，销售机构是否计付利息以销售机构计息规则为准</w:t>
            </w:r>
            <w:r>
              <w:rPr>
                <w:rFonts w:hint="eastAsia" w:ascii="楷体_GB2312" w:eastAsia="楷体_GB2312" w:cs="楷体_GB2312"/>
                <w:b/>
                <w:bCs/>
                <w:lang w:eastAsia="zh-CN"/>
              </w:rPr>
              <w:t>，</w:t>
            </w:r>
            <w:r>
              <w:rPr>
                <w:rFonts w:hint="eastAsia" w:ascii="楷体_GB2312" w:eastAsia="楷体_GB2312" w:cs="楷体_GB2312"/>
                <w:b/>
                <w:bCs/>
              </w:rPr>
              <w:t>利息</w:t>
            </w:r>
            <w:r>
              <w:rPr>
                <w:rFonts w:ascii="楷体_GB2312" w:eastAsia="楷体_GB2312" w:cs="楷体_GB2312"/>
                <w:b/>
                <w:bCs/>
              </w:rPr>
              <w:t>部分</w:t>
            </w:r>
            <w:r>
              <w:rPr>
                <w:rFonts w:hint="eastAsia" w:ascii="楷体_GB2312" w:eastAsia="楷体_GB2312" w:cs="楷体_GB2312"/>
                <w:b/>
                <w:bCs/>
              </w:rPr>
              <w:t>不计入认购本金</w:t>
            </w:r>
            <w:r>
              <w:rPr>
                <w:rFonts w:hint="eastAsia" w:ascii="楷体_GB2312" w:eastAsia="楷体_GB2312" w:cs="楷体_GB2312"/>
                <w:b/>
                <w:bCs/>
                <w:lang w:eastAsia="zh-CN"/>
              </w:rPr>
              <w:t>；</w:t>
            </w:r>
          </w:p>
          <w:p>
            <w:pPr>
              <w:rPr>
                <w:rFonts w:hint="eastAsia" w:ascii="楷体_GB2312" w:eastAsia="楷体_GB2312"/>
                <w:b/>
                <w:bCs/>
                <w:szCs w:val="21"/>
                <w:highlight w:val="none"/>
              </w:rPr>
            </w:pPr>
            <w:r>
              <w:rPr>
                <w:rFonts w:hint="eastAsia" w:ascii="楷体_GB2312" w:eastAsia="楷体_GB2312" w:cs="楷体_GB2312"/>
                <w:b/>
                <w:bCs/>
                <w:lang w:val="en-US" w:eastAsia="zh-CN"/>
              </w:rPr>
              <w:t>2、理财产品终止后，清算期</w:t>
            </w:r>
            <w:r>
              <w:rPr>
                <w:rFonts w:hint="eastAsia" w:ascii="楷体_GB2312" w:eastAsia="楷体_GB2312" w:cs="楷体_GB2312"/>
                <w:b/>
                <w:bCs/>
              </w:rPr>
              <w:t>不计</w:t>
            </w:r>
            <w:r>
              <w:rPr>
                <w:rFonts w:hint="eastAsia" w:ascii="楷体_GB2312" w:eastAsia="楷体_GB2312" w:cs="楷体_GB2312"/>
                <w:b/>
                <w:bCs/>
                <w:lang w:val="en-US" w:eastAsia="zh-CN"/>
              </w:rPr>
              <w:t>算投资</w:t>
            </w:r>
            <w:r>
              <w:rPr>
                <w:rFonts w:hint="eastAsia" w:ascii="楷体_GB2312" w:eastAsia="楷体_GB2312" w:cs="楷体_GB2312"/>
                <w:b/>
                <w:bCs/>
              </w:rPr>
              <w:t>收益</w:t>
            </w:r>
            <w:r>
              <w:rPr>
                <w:rFonts w:hint="eastAsia" w:ascii="楷体_GB2312" w:eastAsia="楷体_GB2312" w:cs="楷体_GB2312"/>
                <w:b/>
                <w:bCs/>
                <w:lang w:eastAsia="zh-CN"/>
              </w:rPr>
              <w:t>。</w:t>
            </w:r>
          </w:p>
        </w:tc>
      </w:tr>
    </w:tbl>
    <w:p>
      <w:pPr>
        <w:pStyle w:val="2"/>
        <w:spacing w:before="120" w:after="120" w:line="240" w:lineRule="auto"/>
        <w:rPr>
          <w:rFonts w:ascii="楷体" w:hAnsi="楷体" w:eastAsia="楷体"/>
          <w:sz w:val="28"/>
          <w:szCs w:val="28"/>
        </w:rPr>
      </w:pPr>
      <w:bookmarkStart w:id="3" w:name="_Toc98680958"/>
      <w:r>
        <w:rPr>
          <w:rFonts w:hint="eastAsia" w:ascii="楷体" w:hAnsi="楷体" w:eastAsia="楷体"/>
          <w:sz w:val="28"/>
          <w:szCs w:val="28"/>
          <w:lang w:val="en-US" w:eastAsia="zh-CN"/>
        </w:rPr>
        <w:t>四</w:t>
      </w:r>
      <w:r>
        <w:rPr>
          <w:rFonts w:ascii="楷体" w:hAnsi="楷体" w:eastAsia="楷体"/>
          <w:sz w:val="28"/>
          <w:szCs w:val="28"/>
        </w:rPr>
        <w:t>、</w:t>
      </w:r>
      <w:bookmarkEnd w:id="3"/>
      <w:r>
        <w:rPr>
          <w:rFonts w:hint="eastAsia" w:ascii="楷体" w:hAnsi="楷体" w:eastAsia="楷体"/>
          <w:sz w:val="28"/>
          <w:szCs w:val="28"/>
        </w:rPr>
        <w:t>投资目标、</w:t>
      </w:r>
      <w:r>
        <w:rPr>
          <w:rFonts w:ascii="楷体" w:hAnsi="楷体" w:eastAsia="楷体"/>
          <w:sz w:val="28"/>
          <w:szCs w:val="28"/>
        </w:rPr>
        <w:t>范围和比例</w:t>
      </w:r>
    </w:p>
    <w:p>
      <w:pPr>
        <w:pStyle w:val="3"/>
        <w:adjustRightInd w:val="0"/>
        <w:snapToGrid w:val="0"/>
        <w:spacing w:before="0" w:after="0" w:line="360" w:lineRule="auto"/>
        <w:ind w:firstLine="422" w:firstLineChars="200"/>
        <w:rPr>
          <w:rFonts w:ascii="楷体" w:hAnsi="楷体" w:eastAsia="楷体" w:cs="宋?"/>
          <w:color w:val="000000"/>
          <w:kern w:val="0"/>
          <w:sz w:val="21"/>
        </w:rPr>
      </w:pPr>
      <w:bookmarkStart w:id="4" w:name="_Toc98680959"/>
      <w:r>
        <w:rPr>
          <w:rFonts w:ascii="楷体" w:hAnsi="楷体" w:eastAsia="楷体" w:cs="宋?"/>
          <w:color w:val="000000"/>
          <w:kern w:val="0"/>
          <w:sz w:val="21"/>
        </w:rPr>
        <w:t>（一）投资目标</w:t>
      </w:r>
    </w:p>
    <w:p>
      <w:pPr>
        <w:pStyle w:val="9"/>
        <w:widowControl/>
        <w:adjustRightInd w:val="0"/>
        <w:snapToGrid w:val="0"/>
        <w:spacing w:before="120" w:beforeAutospacing="0" w:after="120" w:afterAutospacing="0" w:line="360" w:lineRule="auto"/>
        <w:ind w:firstLine="409" w:firstLineChars="195"/>
        <w:rPr>
          <w:rFonts w:ascii="楷体_GB2312" w:hAnsi="宋体" w:eastAsia="楷体_GB2312" w:cstheme="minorBidi"/>
          <w:kern w:val="2"/>
          <w:sz w:val="21"/>
          <w:szCs w:val="21"/>
        </w:rPr>
      </w:pPr>
      <w:r>
        <w:rPr>
          <w:rFonts w:hint="eastAsia" w:ascii="楷体_GB2312" w:hAnsi="宋体" w:eastAsia="楷体_GB2312" w:cstheme="minorBidi"/>
          <w:kern w:val="2"/>
          <w:sz w:val="21"/>
          <w:szCs w:val="21"/>
        </w:rPr>
        <w:t>本理财产品主要投资于固定收益类资产。本理财产品将结合宏观经济走势、利率走势的判断，加强信用风险把控，做好固定收益类资产的配置，力争为投资者创造资产的稳健增值。</w:t>
      </w:r>
    </w:p>
    <w:p>
      <w:pPr>
        <w:pStyle w:val="3"/>
        <w:adjustRightInd w:val="0"/>
        <w:snapToGrid w:val="0"/>
        <w:spacing w:before="0" w:after="0" w:line="360" w:lineRule="auto"/>
        <w:ind w:firstLine="422" w:firstLineChars="200"/>
        <w:rPr>
          <w:rFonts w:ascii="楷体" w:hAnsi="楷体" w:eastAsia="楷体"/>
          <w:sz w:val="21"/>
        </w:rPr>
      </w:pPr>
      <w:r>
        <w:rPr>
          <w:rFonts w:hint="eastAsia" w:ascii="楷体" w:hAnsi="楷体" w:eastAsia="楷体"/>
          <w:sz w:val="21"/>
        </w:rPr>
        <w:t>（二）</w:t>
      </w:r>
      <w:r>
        <w:rPr>
          <w:rFonts w:ascii="楷体" w:hAnsi="楷体" w:eastAsia="楷体"/>
          <w:sz w:val="21"/>
        </w:rPr>
        <w:t>投资范围</w:t>
      </w:r>
    </w:p>
    <w:p>
      <w:pPr>
        <w:snapToGrid w:val="0"/>
        <w:spacing w:line="360" w:lineRule="auto"/>
        <w:ind w:firstLine="420" w:firstLineChars="200"/>
        <w:rPr>
          <w:rFonts w:hint="eastAsia" w:ascii="楷体_GB2312" w:hAnsi="宋体" w:eastAsia="楷体_GB2312"/>
          <w:szCs w:val="21"/>
        </w:rPr>
      </w:pPr>
      <w:r>
        <w:rPr>
          <w:rFonts w:hint="eastAsia" w:ascii="楷体_GB2312" w:hAnsi="宋体" w:eastAsia="楷体_GB2312"/>
          <w:szCs w:val="21"/>
        </w:rPr>
        <w:t>产品管理人以发行本理财产品所募集的资金，</w:t>
      </w:r>
      <w:r>
        <w:rPr>
          <w:rFonts w:hint="eastAsia" w:ascii="楷体" w:hAnsi="楷体" w:eastAsia="楷体" w:cs="楷体"/>
          <w:szCs w:val="21"/>
          <w:u w:val="none"/>
          <w:lang w:val="en-US" w:eastAsia="zh-CN"/>
        </w:rPr>
        <w:t>直接或通过资产管理产品</w:t>
      </w:r>
      <w:r>
        <w:rPr>
          <w:rFonts w:hint="eastAsia" w:ascii="楷体_GB2312" w:hAnsi="宋体" w:eastAsia="楷体_GB2312"/>
          <w:szCs w:val="21"/>
        </w:rPr>
        <w:t>投资于各类资产，包括但不限于：</w:t>
      </w:r>
    </w:p>
    <w:p>
      <w:pPr>
        <w:snapToGrid w:val="0"/>
        <w:spacing w:line="360" w:lineRule="auto"/>
        <w:ind w:firstLine="420" w:firstLineChars="200"/>
        <w:rPr>
          <w:rFonts w:hint="eastAsia" w:ascii="楷体_GB2312" w:hAnsi="宋体" w:eastAsia="楷体_GB2312"/>
          <w:szCs w:val="21"/>
        </w:rPr>
      </w:pPr>
      <w:r>
        <w:rPr>
          <w:rFonts w:hint="eastAsia" w:ascii="楷体" w:hAnsi="楷体" w:eastAsia="楷体" w:cs="楷体"/>
          <w:szCs w:val="21"/>
          <w:u w:val="none"/>
        </w:rPr>
        <w:t>1、固定收益类资产</w:t>
      </w:r>
    </w:p>
    <w:p>
      <w:pPr>
        <w:snapToGrid w:val="0"/>
        <w:spacing w:line="360" w:lineRule="auto"/>
        <w:ind w:firstLine="420" w:firstLineChars="200"/>
        <w:rPr>
          <w:rFonts w:ascii="楷体_GB2312" w:hAnsi="宋体" w:eastAsia="楷体_GB2312"/>
          <w:szCs w:val="21"/>
        </w:rPr>
      </w:pPr>
      <w:r>
        <w:rPr>
          <w:rFonts w:ascii="楷体_GB2312" w:hAnsi="宋体" w:eastAsia="楷体_GB2312"/>
          <w:b w:val="0"/>
          <w:bCs/>
          <w:szCs w:val="21"/>
        </w:rPr>
        <w:t>货币市场工具：</w:t>
      </w:r>
      <w:r>
        <w:rPr>
          <w:rFonts w:ascii="楷体_GB2312" w:hAnsi="宋体" w:eastAsia="楷体_GB2312"/>
          <w:szCs w:val="21"/>
        </w:rPr>
        <w:t>现金、银行存款、大额存单、资金拆借、债券回购、货币基金等。</w:t>
      </w:r>
    </w:p>
    <w:p>
      <w:pPr>
        <w:snapToGrid w:val="0"/>
        <w:spacing w:line="360" w:lineRule="auto"/>
        <w:ind w:firstLine="420" w:firstLineChars="200"/>
        <w:rPr>
          <w:rFonts w:ascii="楷体_GB2312" w:hAnsi="宋体" w:eastAsia="楷体_GB2312"/>
          <w:szCs w:val="21"/>
        </w:rPr>
      </w:pPr>
      <w:r>
        <w:rPr>
          <w:rFonts w:ascii="楷体_GB2312" w:hAnsi="宋体" w:eastAsia="楷体_GB2312"/>
          <w:b w:val="0"/>
          <w:bCs/>
          <w:szCs w:val="21"/>
        </w:rPr>
        <w:t>标准化债权资产：</w:t>
      </w:r>
      <w:r>
        <w:rPr>
          <w:rFonts w:ascii="楷体_GB2312" w:hAnsi="宋体" w:eastAsia="楷体_GB2312"/>
          <w:szCs w:val="21"/>
        </w:rPr>
        <w:t>国债、央票、企业债、金融债、政策性金融债、同业存单、次级债、资产支持证券、地方政府债、中期票据、短期融资券、超短期融资券、公司债、私募债、债权性质的永续债、资本补充债券、可转换债券、可交换债券、非公开定向债务融资工具(PPN)、二级资本债、债券型基金等。</w:t>
      </w:r>
    </w:p>
    <w:p>
      <w:pPr>
        <w:snapToGrid w:val="0"/>
        <w:spacing w:line="360" w:lineRule="auto"/>
        <w:ind w:firstLine="420" w:firstLineChars="200"/>
        <w:rPr>
          <w:rFonts w:ascii="楷体_GB2312" w:hAnsi="宋体" w:eastAsia="楷体_GB2312"/>
          <w:b/>
          <w:szCs w:val="21"/>
        </w:rPr>
      </w:pPr>
      <w:r>
        <w:rPr>
          <w:rFonts w:hint="eastAsia" w:ascii="楷体_GB2312" w:hAnsi="宋体" w:eastAsia="楷体_GB2312"/>
          <w:b w:val="0"/>
          <w:bCs/>
          <w:szCs w:val="21"/>
          <w:lang w:val="en-US" w:eastAsia="zh-CN"/>
        </w:rPr>
        <w:t>2、</w:t>
      </w:r>
      <w:r>
        <w:rPr>
          <w:rFonts w:ascii="楷体_GB2312" w:hAnsi="宋体" w:eastAsia="楷体_GB2312"/>
          <w:b w:val="0"/>
          <w:bCs/>
          <w:szCs w:val="21"/>
        </w:rPr>
        <w:t>权益类资产</w:t>
      </w:r>
    </w:p>
    <w:p>
      <w:pPr>
        <w:snapToGrid w:val="0"/>
        <w:spacing w:line="360" w:lineRule="auto"/>
        <w:ind w:firstLine="420" w:firstLineChars="200"/>
        <w:rPr>
          <w:rFonts w:ascii="楷体_GB2312" w:hAnsi="宋体" w:eastAsia="楷体_GB2312"/>
          <w:szCs w:val="21"/>
        </w:rPr>
      </w:pPr>
      <w:r>
        <w:rPr>
          <w:rFonts w:ascii="楷体_GB2312" w:hAnsi="宋体" w:eastAsia="楷体_GB2312"/>
          <w:szCs w:val="21"/>
        </w:rPr>
        <w:t>股票（包括优先股）、股票型基金、混合型基金、权益性质的永续债等。</w:t>
      </w:r>
    </w:p>
    <w:p>
      <w:pPr>
        <w:snapToGrid w:val="0"/>
        <w:spacing w:line="360" w:lineRule="auto"/>
        <w:ind w:firstLine="420" w:firstLineChars="200"/>
        <w:rPr>
          <w:rFonts w:ascii="楷体_GB2312" w:hAnsi="宋体" w:eastAsia="楷体_GB2312"/>
          <w:szCs w:val="21"/>
        </w:rPr>
      </w:pPr>
      <w:r>
        <w:rPr>
          <w:rFonts w:hint="eastAsia" w:ascii="楷体" w:hAnsi="楷体" w:eastAsia="楷体" w:cs="楷体"/>
          <w:szCs w:val="21"/>
          <w:u w:val="none"/>
          <w:lang w:val="en-US" w:eastAsia="zh-CN"/>
        </w:rPr>
        <w:t>注：</w:t>
      </w:r>
      <w:r>
        <w:rPr>
          <w:rFonts w:ascii="楷体_GB2312" w:hAnsi="宋体" w:eastAsia="楷体_GB2312"/>
          <w:b w:val="0"/>
          <w:bCs/>
          <w:szCs w:val="21"/>
        </w:rPr>
        <w:t>资产管理产品</w:t>
      </w:r>
      <w:r>
        <w:rPr>
          <w:rFonts w:ascii="楷体_GB2312" w:hAnsi="宋体" w:eastAsia="楷体_GB2312"/>
          <w:szCs w:val="21"/>
        </w:rPr>
        <w:t>包括但不限于信托计划、证券公司及其资产管理公司资产管理计划、基金公司资产管理计划、保险资产管理公司投资计划等。</w:t>
      </w:r>
    </w:p>
    <w:p>
      <w:pPr>
        <w:snapToGrid w:val="0"/>
        <w:spacing w:line="360" w:lineRule="auto"/>
        <w:ind w:firstLine="422" w:firstLineChars="200"/>
        <w:rPr>
          <w:rFonts w:ascii="楷体_GB2312" w:hAnsi="宋体" w:eastAsia="楷体_GB2312"/>
          <w:b/>
          <w:szCs w:val="21"/>
        </w:rPr>
      </w:pPr>
      <w:r>
        <w:rPr>
          <w:rFonts w:hint="eastAsia" w:ascii="楷体_GB2312" w:hAnsi="宋体" w:eastAsia="楷体_GB2312"/>
          <w:b/>
          <w:szCs w:val="21"/>
        </w:rPr>
        <w:t>如存在法律法规或监管机构以后允许投资的其他品种，管理人在履行适当程序后，可以将其纳入投资范围。相关法律法规和监管部门对以上资产分类有另行规定的，管理人将按照监管最新规定执行并将以“信息披露”约定的形式向投资者告知。</w:t>
      </w:r>
    </w:p>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rPr>
        <w:t>在遵守相关法律法规、监管规则及本《产品说明书》约定，避免不公平交易、利益输送等违法违规行为的前提下，投资者知晓并同意本理财产品的投资对象可能包括理财产品管理人</w:t>
      </w:r>
      <w:r>
        <w:rPr>
          <w:rFonts w:ascii="楷体_GB2312" w:hAnsi="宋体" w:eastAsia="楷体_GB2312"/>
          <w:szCs w:val="21"/>
        </w:rPr>
        <w:t>/</w:t>
      </w:r>
      <w:r>
        <w:rPr>
          <w:rFonts w:hint="eastAsia" w:ascii="楷体_GB2312" w:hAnsi="宋体" w:eastAsia="楷体_GB2312"/>
          <w:szCs w:val="21"/>
        </w:rPr>
        <w:t>托管人及其关联方或重大利害关系人发行、承销、管理的符合本理财产品投资范围规定的投资品种。本产品实际发生的关联交易（无论是否在上述列举范围内）以管理人按照相关法律法规、规章和监管规定进行的相关披露为准。 </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（三）</w:t>
      </w:r>
      <w:r>
        <w:rPr>
          <w:rFonts w:ascii="楷体" w:hAnsi="楷体" w:eastAsia="楷体"/>
          <w:sz w:val="21"/>
        </w:rPr>
        <w:t>投资比例</w:t>
      </w:r>
    </w:p>
    <w:p>
      <w:pPr>
        <w:snapToGrid w:val="0"/>
        <w:spacing w:line="360" w:lineRule="auto"/>
        <w:ind w:firstLine="420" w:firstLineChars="200"/>
        <w:rPr>
          <w:rFonts w:ascii="楷体_GB2312" w:hAnsi="宋体" w:eastAsia="楷体_GB2312"/>
          <w:color w:val="auto"/>
          <w:szCs w:val="21"/>
        </w:rPr>
      </w:pPr>
      <w:r>
        <w:rPr>
          <w:rFonts w:hint="eastAsia" w:ascii="楷体_GB2312" w:hAnsi="宋体" w:eastAsia="楷体_GB2312"/>
          <w:szCs w:val="21"/>
        </w:rPr>
        <w:t>本产品不低于</w:t>
      </w:r>
      <w:r>
        <w:rPr>
          <w:rFonts w:hint="eastAsia" w:ascii="楷体_GB2312" w:hAnsi="宋体" w:eastAsia="楷体_GB2312"/>
          <w:color w:val="auto"/>
          <w:szCs w:val="21"/>
          <w:lang w:eastAsia="zh-CN"/>
        </w:rPr>
        <w:t>【</w:t>
      </w:r>
      <w:r>
        <w:rPr>
          <w:rFonts w:ascii="楷体_GB2312" w:hAnsi="宋体" w:eastAsia="楷体_GB2312"/>
          <w:color w:val="auto"/>
          <w:szCs w:val="21"/>
        </w:rPr>
        <w:t>80%</w:t>
      </w:r>
      <w:r>
        <w:rPr>
          <w:rFonts w:hint="eastAsia" w:ascii="楷体_GB2312" w:hAnsi="宋体" w:eastAsia="楷体_GB2312"/>
          <w:color w:val="auto"/>
          <w:szCs w:val="21"/>
          <w:lang w:eastAsia="zh-CN"/>
        </w:rPr>
        <w:t>】</w:t>
      </w:r>
      <w:r>
        <w:rPr>
          <w:rFonts w:ascii="楷体_GB2312" w:hAnsi="宋体" w:eastAsia="楷体_GB2312"/>
          <w:color w:val="auto"/>
          <w:szCs w:val="21"/>
        </w:rPr>
        <w:t>的资金投资于固定收益类资产，不高于</w:t>
      </w:r>
      <w:r>
        <w:rPr>
          <w:rFonts w:hint="eastAsia" w:ascii="楷体_GB2312" w:hAnsi="宋体" w:eastAsia="楷体_GB2312"/>
          <w:color w:val="auto"/>
          <w:szCs w:val="21"/>
          <w:lang w:eastAsia="zh-CN"/>
        </w:rPr>
        <w:t>【</w:t>
      </w:r>
      <w:r>
        <w:rPr>
          <w:rFonts w:ascii="楷体_GB2312" w:hAnsi="宋体" w:eastAsia="楷体_GB2312"/>
          <w:color w:val="auto"/>
          <w:szCs w:val="21"/>
        </w:rPr>
        <w:t>20%</w:t>
      </w:r>
      <w:r>
        <w:rPr>
          <w:rFonts w:hint="eastAsia" w:ascii="楷体_GB2312" w:hAnsi="宋体" w:eastAsia="楷体_GB2312"/>
          <w:color w:val="auto"/>
          <w:szCs w:val="21"/>
          <w:lang w:eastAsia="zh-CN"/>
        </w:rPr>
        <w:t>】</w:t>
      </w:r>
      <w:r>
        <w:rPr>
          <w:rFonts w:ascii="楷体_GB2312" w:hAnsi="宋体" w:eastAsia="楷体_GB2312"/>
          <w:color w:val="auto"/>
          <w:szCs w:val="21"/>
        </w:rPr>
        <w:t>的资金投资于权益类资产。各投资品种计划配置比例如下：</w:t>
      </w:r>
    </w:p>
    <w:tbl>
      <w:tblPr>
        <w:tblStyle w:val="10"/>
        <w:tblW w:w="8307" w:type="dxa"/>
        <w:tblInd w:w="421" w:type="dxa"/>
        <w:tblLayout w:type="fixed"/>
        <w:tblCellMar>
          <w:top w:w="38" w:type="dxa"/>
          <w:left w:w="108" w:type="dxa"/>
          <w:bottom w:w="0" w:type="dxa"/>
          <w:right w:w="115" w:type="dxa"/>
        </w:tblCellMar>
      </w:tblPr>
      <w:tblGrid>
        <w:gridCol w:w="3872"/>
        <w:gridCol w:w="4435"/>
      </w:tblGrid>
      <w:tr>
        <w:tblPrEx>
          <w:tblCellMar>
            <w:top w:w="38" w:type="dxa"/>
            <w:left w:w="108" w:type="dxa"/>
            <w:bottom w:w="0" w:type="dxa"/>
            <w:right w:w="115" w:type="dxa"/>
          </w:tblCellMar>
        </w:tblPrEx>
        <w:trPr>
          <w:trHeight w:val="367" w:hRule="atLeast"/>
        </w:trPr>
        <w:tc>
          <w:tcPr>
            <w:tcW w:w="3872"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ascii="楷体" w:hAnsi="楷体" w:eastAsia="楷体" w:cs="楷体"/>
                <w:color w:val="auto"/>
                <w:sz w:val="21"/>
                <w:szCs w:val="21"/>
              </w:rPr>
            </w:pPr>
            <w:r>
              <w:rPr>
                <w:rFonts w:hint="eastAsia" w:ascii="楷体" w:hAnsi="楷体" w:eastAsia="楷体" w:cs="楷体"/>
                <w:color w:val="auto"/>
                <w:sz w:val="21"/>
                <w:szCs w:val="21"/>
              </w:rPr>
              <w:t>投资品种</w:t>
            </w:r>
          </w:p>
        </w:tc>
        <w:tc>
          <w:tcPr>
            <w:tcW w:w="4435"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ascii="楷体" w:hAnsi="楷体" w:eastAsia="楷体" w:cs="楷体"/>
                <w:color w:val="auto"/>
                <w:sz w:val="21"/>
                <w:szCs w:val="21"/>
              </w:rPr>
            </w:pPr>
            <w:r>
              <w:rPr>
                <w:rFonts w:hint="eastAsia" w:ascii="楷体" w:hAnsi="楷体" w:eastAsia="楷体" w:cs="楷体"/>
                <w:color w:val="auto"/>
                <w:sz w:val="21"/>
                <w:szCs w:val="21"/>
              </w:rPr>
              <w:t>计划配置比例</w:t>
            </w:r>
          </w:p>
        </w:tc>
      </w:tr>
      <w:tr>
        <w:tblPrEx>
          <w:tblCellMar>
            <w:top w:w="38" w:type="dxa"/>
            <w:left w:w="108" w:type="dxa"/>
            <w:bottom w:w="0" w:type="dxa"/>
            <w:right w:w="115" w:type="dxa"/>
          </w:tblCellMar>
        </w:tblPrEx>
        <w:trPr>
          <w:trHeight w:val="367" w:hRule="atLeast"/>
        </w:trPr>
        <w:tc>
          <w:tcPr>
            <w:tcW w:w="3872"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ascii="楷体" w:hAnsi="楷体" w:eastAsia="楷体" w:cs="楷体"/>
                <w:color w:val="auto"/>
                <w:sz w:val="21"/>
                <w:szCs w:val="21"/>
              </w:rPr>
            </w:pPr>
            <w:r>
              <w:rPr>
                <w:rFonts w:hint="eastAsia" w:ascii="楷体" w:hAnsi="楷体" w:eastAsia="楷体" w:cs="楷体"/>
                <w:color w:val="auto"/>
                <w:sz w:val="21"/>
                <w:szCs w:val="21"/>
              </w:rPr>
              <w:t>固定收益类资产：</w:t>
            </w:r>
          </w:p>
        </w:tc>
        <w:tc>
          <w:tcPr>
            <w:tcW w:w="4435"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hint="eastAsia" w:ascii="楷体" w:hAnsi="楷体" w:eastAsia="楷体" w:cs="楷体"/>
                <w:color w:val="auto"/>
                <w:sz w:val="21"/>
                <w:szCs w:val="21"/>
                <w:lang w:eastAsia="zh-CN"/>
              </w:rPr>
            </w:pPr>
            <w:r>
              <w:rPr>
                <w:rFonts w:hint="eastAsia" w:ascii="楷体" w:hAnsi="楷体" w:eastAsia="楷体" w:cs="楷体"/>
                <w:color w:val="auto"/>
                <w:sz w:val="21"/>
                <w:szCs w:val="21"/>
              </w:rPr>
              <w:t>不低于</w:t>
            </w:r>
            <w:r>
              <w:rPr>
                <w:rFonts w:hint="eastAsia" w:ascii="楷体" w:hAnsi="楷体" w:eastAsia="楷体" w:cs="楷体"/>
                <w:color w:val="auto"/>
                <w:sz w:val="21"/>
                <w:szCs w:val="21"/>
                <w:lang w:eastAsia="zh-CN"/>
              </w:rPr>
              <w:t>【</w:t>
            </w:r>
            <w:r>
              <w:rPr>
                <w:rFonts w:hint="eastAsia" w:ascii="楷体" w:hAnsi="楷体" w:eastAsia="楷体" w:cs="楷体"/>
                <w:color w:val="auto"/>
                <w:sz w:val="21"/>
                <w:szCs w:val="21"/>
              </w:rPr>
              <w:t>80%</w:t>
            </w:r>
            <w:r>
              <w:rPr>
                <w:rFonts w:hint="eastAsia" w:ascii="楷体" w:hAnsi="楷体" w:eastAsia="楷体" w:cs="楷体"/>
                <w:color w:val="auto"/>
                <w:sz w:val="21"/>
                <w:szCs w:val="21"/>
                <w:lang w:eastAsia="zh-CN"/>
              </w:rPr>
              <w:t>】</w:t>
            </w:r>
          </w:p>
        </w:tc>
      </w:tr>
      <w:tr>
        <w:tblPrEx>
          <w:tblCellMar>
            <w:top w:w="38" w:type="dxa"/>
            <w:left w:w="108" w:type="dxa"/>
            <w:bottom w:w="0" w:type="dxa"/>
            <w:right w:w="115" w:type="dxa"/>
          </w:tblCellMar>
        </w:tblPrEx>
        <w:trPr>
          <w:trHeight w:val="368" w:hRule="atLeast"/>
        </w:trPr>
        <w:tc>
          <w:tcPr>
            <w:tcW w:w="3872"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ascii="楷体" w:hAnsi="楷体" w:eastAsia="楷体" w:cs="楷体"/>
                <w:color w:val="auto"/>
                <w:sz w:val="21"/>
                <w:szCs w:val="21"/>
              </w:rPr>
            </w:pPr>
            <w:r>
              <w:rPr>
                <w:rFonts w:hint="eastAsia" w:ascii="楷体" w:hAnsi="楷体" w:eastAsia="楷体" w:cs="楷体"/>
                <w:color w:val="auto"/>
                <w:sz w:val="21"/>
                <w:szCs w:val="21"/>
              </w:rPr>
              <w:t>其中：高流动性资产</w:t>
            </w:r>
          </w:p>
        </w:tc>
        <w:tc>
          <w:tcPr>
            <w:tcW w:w="4435"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ascii="楷体" w:hAnsi="楷体" w:eastAsia="楷体" w:cs="楷体"/>
                <w:color w:val="auto"/>
                <w:sz w:val="21"/>
                <w:szCs w:val="21"/>
              </w:rPr>
            </w:pPr>
            <w:r>
              <w:rPr>
                <w:rFonts w:hint="eastAsia" w:ascii="楷体" w:hAnsi="楷体" w:eastAsia="楷体" w:cs="楷体"/>
                <w:color w:val="auto"/>
                <w:sz w:val="21"/>
                <w:szCs w:val="21"/>
              </w:rPr>
              <w:t>不低于5%</w:t>
            </w:r>
          </w:p>
        </w:tc>
      </w:tr>
      <w:tr>
        <w:tblPrEx>
          <w:tblCellMar>
            <w:top w:w="38" w:type="dxa"/>
            <w:left w:w="108" w:type="dxa"/>
            <w:bottom w:w="0" w:type="dxa"/>
            <w:right w:w="115" w:type="dxa"/>
          </w:tblCellMar>
        </w:tblPrEx>
        <w:trPr>
          <w:trHeight w:val="367" w:hRule="atLeast"/>
        </w:trPr>
        <w:tc>
          <w:tcPr>
            <w:tcW w:w="3872"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hint="eastAsia" w:ascii="楷体" w:hAnsi="楷体" w:eastAsia="楷体" w:cs="楷体"/>
                <w:color w:val="auto"/>
                <w:sz w:val="21"/>
                <w:szCs w:val="21"/>
                <w:lang w:val="en-US" w:eastAsia="zh-CN"/>
              </w:rPr>
            </w:pPr>
            <w:r>
              <w:rPr>
                <w:rFonts w:hint="eastAsia" w:ascii="楷体" w:hAnsi="楷体" w:eastAsia="楷体" w:cs="楷体"/>
                <w:color w:val="auto"/>
                <w:sz w:val="21"/>
                <w:szCs w:val="21"/>
              </w:rPr>
              <w:t>权益类资产</w:t>
            </w:r>
            <w:r>
              <w:rPr>
                <w:rFonts w:hint="eastAsia" w:ascii="楷体" w:hAnsi="楷体" w:eastAsia="楷体" w:cs="楷体"/>
                <w:color w:val="auto"/>
                <w:sz w:val="21"/>
                <w:szCs w:val="21"/>
                <w:lang w:eastAsia="zh-CN"/>
              </w:rPr>
              <w:t>：</w:t>
            </w:r>
          </w:p>
        </w:tc>
        <w:tc>
          <w:tcPr>
            <w:tcW w:w="4435"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hint="eastAsia" w:ascii="楷体" w:hAnsi="楷体" w:eastAsia="楷体" w:cs="楷体"/>
                <w:color w:val="auto"/>
                <w:sz w:val="21"/>
                <w:szCs w:val="21"/>
                <w:lang w:val="en-US" w:eastAsia="zh-CN"/>
              </w:rPr>
            </w:pPr>
            <w:r>
              <w:rPr>
                <w:rFonts w:hint="eastAsia" w:ascii="楷体" w:hAnsi="楷体" w:eastAsia="楷体" w:cs="楷体"/>
                <w:color w:val="auto"/>
                <w:sz w:val="21"/>
                <w:szCs w:val="21"/>
              </w:rPr>
              <w:t>不高于</w:t>
            </w:r>
            <w:r>
              <w:rPr>
                <w:rFonts w:hint="eastAsia" w:ascii="楷体" w:hAnsi="楷体" w:eastAsia="楷体" w:cs="楷体"/>
                <w:color w:val="auto"/>
                <w:sz w:val="21"/>
                <w:szCs w:val="21"/>
                <w:lang w:eastAsia="zh-CN"/>
              </w:rPr>
              <w:t>【</w:t>
            </w:r>
            <w:r>
              <w:rPr>
                <w:rFonts w:ascii="楷体" w:hAnsi="楷体" w:eastAsia="楷体" w:cs="楷体"/>
                <w:color w:val="auto"/>
                <w:sz w:val="21"/>
                <w:szCs w:val="21"/>
              </w:rPr>
              <w:t>2</w:t>
            </w:r>
            <w:r>
              <w:rPr>
                <w:rFonts w:hint="eastAsia" w:ascii="楷体" w:hAnsi="楷体" w:eastAsia="楷体" w:cs="楷体"/>
                <w:color w:val="auto"/>
                <w:sz w:val="21"/>
                <w:szCs w:val="21"/>
              </w:rPr>
              <w:t>0%</w:t>
            </w:r>
            <w:r>
              <w:rPr>
                <w:rFonts w:hint="eastAsia" w:ascii="楷体" w:hAnsi="楷体" w:eastAsia="楷体" w:cs="楷体"/>
                <w:color w:val="auto"/>
                <w:sz w:val="21"/>
                <w:szCs w:val="21"/>
                <w:lang w:eastAsia="zh-CN"/>
              </w:rPr>
              <w:t>】</w:t>
            </w:r>
          </w:p>
        </w:tc>
      </w:tr>
    </w:tbl>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rPr>
        <w:t>相关法律法规和监管部门对以上投资范围和配置比例有另行规定的，按照监管最新规定执行。如监管对投资比例无其他明确规定和要求的，由产品管理人与托管人协商确定计算方法。</w:t>
      </w:r>
    </w:p>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rPr>
        <w:t>投资管理人应当自理财产品成立日起三个月内使理财产品的投资组合比例符合约定。非因管理人主观因素导致突破前述比例限制的，管理人将尽力在流动性受限资产可出售、可转让或者恢复交易的15个交易日内调整至符合相关要求。</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（四）</w:t>
      </w:r>
      <w:r>
        <w:rPr>
          <w:rFonts w:ascii="楷体" w:hAnsi="楷体" w:eastAsia="楷体"/>
          <w:sz w:val="21"/>
        </w:rPr>
        <w:t>投资策略</w:t>
      </w:r>
    </w:p>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rPr>
        <w:t>通过综合分析宏观经济走势、财政与货币政策、利率波动与趋势、利率期限结构、信用风险和利差变化等因素，在符合产品投资范围和投资比例的前提下，综合考虑各类投资品种的收益性、流动性和风险特征，力争获得高于业绩比较基准的投资回报。</w:t>
      </w:r>
    </w:p>
    <w:p>
      <w:pPr>
        <w:snapToGrid w:val="0"/>
        <w:spacing w:line="360" w:lineRule="auto"/>
        <w:ind w:firstLine="420" w:firstLineChars="200"/>
        <w:outlineLvl w:val="2"/>
        <w:rPr>
          <w:rFonts w:ascii="楷体_GB2312" w:hAnsi="宋体" w:eastAsia="楷体_GB2312"/>
          <w:szCs w:val="21"/>
        </w:rPr>
      </w:pPr>
      <w:r>
        <w:rPr>
          <w:rFonts w:hint="eastAsia" w:ascii="楷体_GB2312" w:hAnsi="宋体" w:eastAsia="楷体_GB2312"/>
          <w:szCs w:val="21"/>
        </w:rPr>
        <w:t>1.大类资产配置</w:t>
      </w:r>
    </w:p>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rPr>
        <w:t>从宏观环境、政策因素、资金供求因素、证券市场基本面等角度进行综合分析，判断各类资产的市场趋势和预期风险收益，在严格控制风险的前提下，确定投资组合在债券、股票、基金、现金等资产类别的投资比例，并根据宏观经济形势和市场时机的变化适时进行动态调整。</w:t>
      </w:r>
    </w:p>
    <w:p>
      <w:pPr>
        <w:snapToGrid w:val="0"/>
        <w:spacing w:line="360" w:lineRule="auto"/>
        <w:ind w:firstLine="420" w:firstLineChars="200"/>
        <w:outlineLvl w:val="2"/>
        <w:rPr>
          <w:rFonts w:ascii="楷体_GB2312" w:hAnsi="宋体" w:eastAsia="楷体_GB2312"/>
          <w:szCs w:val="21"/>
        </w:rPr>
      </w:pPr>
      <w:r>
        <w:rPr>
          <w:rFonts w:hint="eastAsia" w:ascii="楷体_GB2312" w:hAnsi="宋体" w:eastAsia="楷体_GB2312"/>
          <w:szCs w:val="21"/>
        </w:rPr>
        <w:t>2</w:t>
      </w:r>
      <w:r>
        <w:rPr>
          <w:rFonts w:hint="eastAsia" w:ascii="楷体_GB2312" w:hAnsi="宋体" w:eastAsia="楷体_GB2312"/>
          <w:szCs w:val="21"/>
          <w:lang w:eastAsia="zh-CN"/>
        </w:rPr>
        <w:t>.</w:t>
      </w:r>
      <w:r>
        <w:rPr>
          <w:rFonts w:hint="eastAsia" w:ascii="楷体_GB2312" w:hAnsi="宋体" w:eastAsia="楷体_GB2312"/>
          <w:szCs w:val="21"/>
        </w:rPr>
        <w:t>利率预期策略与组合久期管理</w:t>
      </w:r>
    </w:p>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rPr>
        <w:t>通过对宏观经济走势的研究，对市场利率波动与趋势做出预期和判断，并在综合考虑组合流动性的前提下，调整组合的资产配置久期。</w:t>
      </w:r>
    </w:p>
    <w:p>
      <w:pPr>
        <w:snapToGrid w:val="0"/>
        <w:spacing w:line="360" w:lineRule="auto"/>
        <w:ind w:firstLine="420" w:firstLineChars="200"/>
        <w:outlineLvl w:val="2"/>
        <w:rPr>
          <w:rFonts w:ascii="楷体_GB2312" w:hAnsi="宋体" w:eastAsia="楷体_GB2312"/>
          <w:szCs w:val="21"/>
        </w:rPr>
      </w:pPr>
      <w:r>
        <w:rPr>
          <w:rFonts w:hint="eastAsia" w:ascii="楷体_GB2312" w:hAnsi="宋体" w:eastAsia="楷体_GB2312"/>
          <w:szCs w:val="21"/>
        </w:rPr>
        <w:t>3</w:t>
      </w:r>
      <w:r>
        <w:rPr>
          <w:rFonts w:hint="eastAsia" w:ascii="楷体_GB2312" w:hAnsi="宋体" w:eastAsia="楷体_GB2312"/>
          <w:szCs w:val="21"/>
          <w:lang w:eastAsia="zh-CN"/>
        </w:rPr>
        <w:t>.</w:t>
      </w:r>
      <w:r>
        <w:rPr>
          <w:rFonts w:hint="eastAsia" w:ascii="楷体_GB2312" w:hAnsi="宋体" w:eastAsia="楷体_GB2312"/>
          <w:szCs w:val="21"/>
        </w:rPr>
        <w:t>交易策略</w:t>
      </w:r>
    </w:p>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rPr>
        <w:t>根据对市场利率波动与趋势的判断选取高流动性的金融工具进行波段交易，以期获得交易性收益。</w:t>
      </w:r>
    </w:p>
    <w:p>
      <w:pPr>
        <w:pStyle w:val="3"/>
        <w:keepNext w:val="0"/>
        <w:keepLines w:val="0"/>
        <w:widowControl/>
        <w:numPr>
          <w:ilvl w:val="0"/>
          <w:numId w:val="4"/>
        </w:numPr>
        <w:snapToGrid w:val="0"/>
        <w:spacing w:before="0" w:after="0" w:line="360" w:lineRule="auto"/>
        <w:ind w:firstLine="422" w:firstLineChars="200"/>
        <w:rPr>
          <w:rFonts w:ascii="楷体" w:hAnsi="楷体" w:eastAsia="楷体"/>
          <w:sz w:val="21"/>
        </w:rPr>
      </w:pPr>
      <w:r>
        <w:rPr>
          <w:rFonts w:hint="eastAsia" w:ascii="楷体" w:hAnsi="楷体" w:eastAsia="楷体"/>
          <w:color w:val="000000"/>
          <w:sz w:val="21"/>
        </w:rPr>
        <w:t> 投资限制 </w:t>
      </w:r>
    </w:p>
    <w:p>
      <w:pPr>
        <w:snapToGrid w:val="0"/>
        <w:spacing w:line="360" w:lineRule="auto"/>
        <w:ind w:firstLine="420" w:firstLineChars="200"/>
        <w:rPr>
          <w:rFonts w:ascii="楷体_GB2312" w:hAnsi="宋体" w:eastAsia="楷体_GB2312"/>
          <w:szCs w:val="21"/>
        </w:rPr>
      </w:pPr>
      <w:r>
        <w:rPr>
          <w:rFonts w:ascii="楷体_GB2312" w:hAnsi="宋体" w:eastAsia="楷体_GB2312"/>
          <w:szCs w:val="21"/>
        </w:rPr>
        <w:t>1.对本产品的</w:t>
      </w:r>
      <w:r>
        <w:rPr>
          <w:rFonts w:hint="eastAsia" w:ascii="楷体_GB2312" w:hAnsi="宋体" w:eastAsia="楷体_GB2312"/>
          <w:szCs w:val="21"/>
          <w:lang w:val="en-US" w:eastAsia="zh-CN"/>
        </w:rPr>
        <w:t>投资限制</w:t>
      </w:r>
      <w:r>
        <w:rPr>
          <w:rFonts w:ascii="楷体_GB2312" w:hAnsi="宋体" w:eastAsia="楷体_GB2312"/>
          <w:szCs w:val="21"/>
        </w:rPr>
        <w:t>如下：</w:t>
      </w:r>
    </w:p>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rPr>
        <w:t>（1）</w:t>
      </w:r>
      <w:r>
        <w:rPr>
          <w:rFonts w:ascii="楷体_GB2312" w:hAnsi="宋体" w:eastAsia="楷体_GB2312"/>
          <w:szCs w:val="21"/>
        </w:rPr>
        <w:t>本理财产品投资于单只证券、单只公募证券投资基金的市值不超过本产品</w:t>
      </w:r>
      <w:r>
        <w:rPr>
          <w:rFonts w:hint="eastAsia" w:ascii="楷体_GB2312" w:hAnsi="宋体" w:eastAsia="楷体_GB2312"/>
          <w:szCs w:val="21"/>
          <w:lang w:val="en-US" w:eastAsia="zh-CN"/>
        </w:rPr>
        <w:t>净</w:t>
      </w:r>
      <w:r>
        <w:rPr>
          <w:rFonts w:ascii="楷体_GB2312" w:hAnsi="宋体" w:eastAsia="楷体_GB2312"/>
          <w:szCs w:val="21"/>
        </w:rPr>
        <w:t>资产的10%。</w:t>
      </w:r>
    </w:p>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rPr>
        <w:t>（2）</w:t>
      </w:r>
      <w:r>
        <w:rPr>
          <w:rFonts w:ascii="楷体_GB2312" w:hAnsi="宋体" w:eastAsia="楷体_GB2312"/>
          <w:szCs w:val="21"/>
        </w:rPr>
        <w:t>管理人发行的全部公募理财产品投资单只证券或者单只公募证券投资基金的市值不得超过该证券市值或者公募证券投资基金市值的30%。其中，管理人全部开放式公募理财产品投资单一上市公司发行的股票不得超过该上市公司可流通股票的15%。</w:t>
      </w:r>
    </w:p>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rPr>
        <w:t>（3）</w:t>
      </w:r>
      <w:r>
        <w:rPr>
          <w:rFonts w:ascii="楷体_GB2312" w:hAnsi="宋体" w:eastAsia="楷体_GB2312"/>
          <w:szCs w:val="21"/>
        </w:rPr>
        <w:t>管理人发行的全部理财产品投资单一上市公司发行的股票不得超过该上市公司可流通股票的30%。</w:t>
      </w:r>
    </w:p>
    <w:p>
      <w:pPr>
        <w:snapToGrid w:val="0"/>
        <w:spacing w:line="360" w:lineRule="auto"/>
        <w:ind w:firstLine="420" w:firstLineChars="200"/>
        <w:rPr>
          <w:rFonts w:hint="default" w:ascii="楷体_GB2312" w:hAnsi="宋体" w:eastAsia="楷体_GB2312"/>
          <w:szCs w:val="21"/>
          <w:lang w:val="en-US" w:eastAsia="zh-CN"/>
        </w:rPr>
      </w:pPr>
      <w:r>
        <w:rPr>
          <w:rFonts w:hint="eastAsia" w:ascii="楷体_GB2312" w:hAnsi="宋体" w:eastAsia="楷体_GB2312"/>
          <w:szCs w:val="21"/>
          <w:lang w:eastAsia="zh-CN"/>
        </w:rPr>
        <w:t>（</w:t>
      </w:r>
      <w:r>
        <w:rPr>
          <w:rFonts w:hint="eastAsia" w:ascii="楷体_GB2312" w:hAnsi="宋体" w:eastAsia="楷体_GB2312"/>
          <w:szCs w:val="21"/>
          <w:lang w:val="en-US" w:eastAsia="zh-CN"/>
        </w:rPr>
        <w:t>4</w:t>
      </w:r>
      <w:r>
        <w:rPr>
          <w:rFonts w:hint="eastAsia" w:ascii="楷体_GB2312" w:hAnsi="宋体" w:eastAsia="楷体_GB2312"/>
          <w:szCs w:val="21"/>
          <w:lang w:eastAsia="zh-CN"/>
        </w:rPr>
        <w:t>）本理财产品持有高流动性资产比例不低于本产品净资产的5%。</w:t>
      </w:r>
    </w:p>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lang w:val="en-US" w:eastAsia="zh-CN"/>
        </w:rPr>
        <w:t xml:space="preserve">（5）本理财产品直接投资于流动性受限资产的市值在开放日不得超过本产品净资产的15%。 </w:t>
      </w:r>
    </w:p>
    <w:p>
      <w:pPr>
        <w:snapToGrid w:val="0"/>
        <w:spacing w:line="360" w:lineRule="auto"/>
        <w:ind w:firstLine="420" w:firstLineChars="200"/>
        <w:rPr>
          <w:rFonts w:hint="eastAsia" w:ascii="楷体_GB2312" w:hAnsi="宋体" w:eastAsia="楷体_GB2312"/>
          <w:szCs w:val="21"/>
          <w:lang w:val="en-US" w:eastAsia="zh-CN"/>
        </w:rPr>
      </w:pPr>
      <w:r>
        <w:rPr>
          <w:rFonts w:hint="eastAsia" w:ascii="楷体_GB2312" w:hAnsi="宋体" w:eastAsia="楷体_GB2312"/>
          <w:szCs w:val="21"/>
          <w:lang w:val="en-US" w:eastAsia="zh-CN"/>
        </w:rPr>
        <w:t>（6）本理财产品投资不存在活跃交易市场并且需要采用估值技术确定公允价值的资产比例不得达到或超过本产品净资产的50%。</w:t>
      </w:r>
    </w:p>
    <w:p>
      <w:pPr>
        <w:snapToGrid w:val="0"/>
        <w:spacing w:line="360" w:lineRule="auto"/>
        <w:ind w:firstLine="420" w:firstLineChars="200"/>
        <w:rPr>
          <w:rFonts w:ascii="楷体_GB2312" w:hAnsi="宋体" w:eastAsia="楷体_GB2312"/>
          <w:szCs w:val="21"/>
        </w:rPr>
      </w:pPr>
      <w:r>
        <w:rPr>
          <w:rFonts w:hint="eastAsia" w:ascii="楷体_GB2312" w:hAnsi="宋体" w:eastAsia="楷体_GB2312"/>
          <w:szCs w:val="21"/>
          <w:lang w:val="en-US" w:eastAsia="zh-CN"/>
        </w:rPr>
        <w:t>（7）在开放日前一工作日内，本理财产品7个工作日可变现资产的可变现价值应当不低于本产品净资产的10%。</w:t>
      </w:r>
    </w:p>
    <w:p>
      <w:pPr>
        <w:spacing w:line="360" w:lineRule="auto"/>
        <w:ind w:firstLine="420" w:firstLineChars="200"/>
        <w:contextualSpacing/>
        <w:rPr>
          <w:rFonts w:ascii="楷体_GB2312" w:hAnsi="宋体" w:eastAsia="楷体_GB2312"/>
          <w:szCs w:val="21"/>
        </w:rPr>
      </w:pPr>
      <w:r>
        <w:rPr>
          <w:rFonts w:hint="eastAsia" w:ascii="楷体_GB2312" w:hAnsi="宋体" w:eastAsia="楷体_GB2312"/>
          <w:szCs w:val="21"/>
          <w:lang w:val="en-US" w:eastAsia="zh-CN"/>
        </w:rPr>
        <w:t>针对上述第1~3项，</w:t>
      </w:r>
      <w:r>
        <w:rPr>
          <w:rFonts w:ascii="楷体_GB2312" w:hAnsi="宋体" w:eastAsia="楷体_GB2312"/>
          <w:szCs w:val="21"/>
        </w:rPr>
        <w:t>非因管理人主观因素致使不符合前述比例限制的，管理人将在流动性受限资产可出售、可转让或者恢复交易的10个</w:t>
      </w:r>
      <w:r>
        <w:rPr>
          <w:rFonts w:hint="eastAsia" w:ascii="楷体_GB2312" w:hAnsi="宋体" w:eastAsia="楷体_GB2312"/>
          <w:szCs w:val="21"/>
        </w:rPr>
        <w:t>交易日</w:t>
      </w:r>
      <w:r>
        <w:rPr>
          <w:rFonts w:ascii="楷体_GB2312" w:hAnsi="宋体" w:eastAsia="楷体_GB2312"/>
          <w:szCs w:val="21"/>
        </w:rPr>
        <w:t>内调整至符合相关要求。</w:t>
      </w:r>
    </w:p>
    <w:p>
      <w:pPr>
        <w:spacing w:line="360" w:lineRule="auto"/>
        <w:ind w:firstLine="420" w:firstLineChars="200"/>
        <w:contextualSpacing/>
        <w:rPr>
          <w:rFonts w:hint="eastAsia" w:ascii="楷体_GB2312" w:hAnsi="宋体" w:eastAsia="楷体_GB2312"/>
          <w:szCs w:val="21"/>
          <w:lang w:val="en-US" w:eastAsia="zh-CN"/>
        </w:rPr>
      </w:pPr>
      <w:r>
        <w:rPr>
          <w:rFonts w:hint="eastAsia" w:ascii="楷体_GB2312" w:hAnsi="宋体" w:eastAsia="楷体_GB2312"/>
          <w:szCs w:val="21"/>
          <w:lang w:val="en-US" w:eastAsia="zh-CN"/>
        </w:rPr>
        <w:t xml:space="preserve">针对上述第5项，因证券市场波动、上市公司股票停牌、理财产品规模变动等因素导致理财产品不符合本条规定比例限制的，该理财产品不得主动新增投资流动性受限资产。 </w:t>
      </w:r>
    </w:p>
    <w:p>
      <w:pPr>
        <w:spacing w:line="360" w:lineRule="auto"/>
        <w:ind w:firstLine="420" w:firstLineChars="200"/>
        <w:contextualSpacing/>
        <w:rPr>
          <w:rFonts w:hint="default" w:ascii="楷体_GB2312" w:hAnsi="宋体" w:eastAsia="楷体_GB2312"/>
          <w:szCs w:val="21"/>
          <w:lang w:val="en-US" w:eastAsia="zh-CN"/>
        </w:rPr>
      </w:pPr>
      <w:r>
        <w:rPr>
          <w:rFonts w:hint="eastAsia" w:ascii="楷体_GB2312" w:hAnsi="宋体" w:eastAsia="楷体_GB2312"/>
          <w:szCs w:val="21"/>
          <w:lang w:val="en-US" w:eastAsia="zh-CN"/>
        </w:rPr>
        <w:t>针对上述第6项，非因管理人主观因素导致突破前款规定比例限制的,本理财产品不得新增投资上述资产。</w:t>
      </w:r>
    </w:p>
    <w:p>
      <w:pPr>
        <w:spacing w:line="360" w:lineRule="auto"/>
        <w:ind w:firstLine="420" w:firstLineChars="200"/>
        <w:contextualSpacing/>
        <w:rPr>
          <w:rFonts w:ascii="楷体_GB2312" w:hAnsi="宋体" w:eastAsia="楷体_GB2312"/>
          <w:szCs w:val="21"/>
        </w:rPr>
      </w:pPr>
      <w:r>
        <w:rPr>
          <w:rFonts w:ascii="楷体_GB2312" w:hAnsi="宋体" w:eastAsia="楷体_GB2312"/>
          <w:szCs w:val="21"/>
        </w:rPr>
        <w:t>2.本理财产品总资产/理财产品</w:t>
      </w:r>
      <w:r>
        <w:rPr>
          <w:rFonts w:hint="eastAsia" w:ascii="楷体_GB2312" w:hAnsi="宋体" w:eastAsia="楷体_GB2312"/>
          <w:szCs w:val="21"/>
          <w:lang w:val="en-US" w:eastAsia="zh-CN"/>
        </w:rPr>
        <w:t>净</w:t>
      </w:r>
      <w:r>
        <w:rPr>
          <w:rFonts w:ascii="楷体_GB2312" w:hAnsi="宋体" w:eastAsia="楷体_GB2312"/>
          <w:szCs w:val="21"/>
        </w:rPr>
        <w:t>资产不超过140%（如监管有最新规定的参照监管规定调整）。</w:t>
      </w:r>
    </w:p>
    <w:p>
      <w:pPr>
        <w:spacing w:line="360" w:lineRule="auto"/>
        <w:ind w:firstLine="420" w:firstLineChars="200"/>
        <w:contextualSpacing/>
        <w:rPr>
          <w:rFonts w:ascii="楷体_GB2312" w:hAnsi="宋体" w:eastAsia="楷体_GB2312"/>
          <w:szCs w:val="21"/>
        </w:rPr>
      </w:pPr>
      <w:r>
        <w:rPr>
          <w:rFonts w:ascii="楷体_GB2312" w:hAnsi="宋体" w:eastAsia="楷体_GB2312"/>
          <w:szCs w:val="21"/>
        </w:rPr>
        <w:t>3.本产品不得直接或间接投资于未上市企业股权及其受（收）益权。</w:t>
      </w:r>
    </w:p>
    <w:p>
      <w:pPr>
        <w:spacing w:line="360" w:lineRule="auto"/>
        <w:ind w:firstLine="420" w:firstLineChars="200"/>
        <w:contextualSpacing/>
        <w:rPr>
          <w:color w:val="000000"/>
        </w:rPr>
      </w:pPr>
      <w:r>
        <w:rPr>
          <w:rFonts w:hint="eastAsia" w:ascii="楷体_GB2312" w:hAnsi="宋体" w:eastAsia="楷体_GB2312"/>
          <w:szCs w:val="21"/>
        </w:rPr>
        <w:t>4.</w:t>
      </w:r>
      <w:r>
        <w:rPr>
          <w:rFonts w:ascii="楷体_GB2312" w:hAnsi="宋体" w:eastAsia="楷体_GB2312"/>
          <w:b/>
          <w:bCs/>
          <w:szCs w:val="21"/>
        </w:rPr>
        <w:t>相关法律法规和监管部门对以上投资范围和配置比例有另行规定的，按照监管最新规定执行。</w:t>
      </w:r>
    </w:p>
    <w:bookmarkEnd w:id="4"/>
    <w:p>
      <w:pPr>
        <w:pStyle w:val="2"/>
        <w:spacing w:before="120" w:after="120" w:line="240" w:lineRule="auto"/>
        <w:rPr>
          <w:rFonts w:ascii="楷体" w:hAnsi="楷体" w:eastAsia="楷体"/>
          <w:sz w:val="28"/>
          <w:szCs w:val="28"/>
        </w:rPr>
      </w:pPr>
      <w:r>
        <w:rPr>
          <w:rFonts w:hint="eastAsia" w:ascii="楷体" w:hAnsi="楷体" w:eastAsia="楷体"/>
          <w:sz w:val="28"/>
          <w:szCs w:val="28"/>
          <w:lang w:val="en-US" w:eastAsia="zh-CN"/>
        </w:rPr>
        <w:t>五</w:t>
      </w:r>
      <w:r>
        <w:rPr>
          <w:rFonts w:ascii="楷体" w:hAnsi="楷体" w:eastAsia="楷体"/>
          <w:sz w:val="28"/>
          <w:szCs w:val="28"/>
        </w:rPr>
        <w:t>、</w:t>
      </w:r>
      <w:r>
        <w:rPr>
          <w:rFonts w:hint="eastAsia" w:ascii="楷体" w:hAnsi="楷体" w:eastAsia="楷体"/>
          <w:sz w:val="28"/>
          <w:szCs w:val="28"/>
        </w:rPr>
        <w:t>产品认购、申购和赎回</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（一）</w:t>
      </w:r>
      <w:r>
        <w:rPr>
          <w:rFonts w:ascii="楷体" w:hAnsi="楷体" w:eastAsia="楷体"/>
          <w:sz w:val="21"/>
        </w:rPr>
        <w:t>理财产品认购</w:t>
      </w:r>
    </w:p>
    <w:p>
      <w:pPr>
        <w:spacing w:line="360" w:lineRule="auto"/>
        <w:ind w:firstLine="422" w:firstLineChars="200"/>
        <w:contextualSpacing/>
        <w:outlineLvl w:val="2"/>
        <w:rPr>
          <w:rFonts w:hint="eastAsia" w:ascii="楷体_GB2312" w:hAnsi="宋体" w:eastAsia="楷体_GB2312"/>
          <w:b/>
          <w:bCs/>
          <w:szCs w:val="21"/>
          <w:lang w:val="en-US" w:eastAsia="zh-CN"/>
        </w:rPr>
      </w:pPr>
      <w:r>
        <w:rPr>
          <w:rFonts w:hint="eastAsia" w:ascii="楷体_GB2312" w:hAnsi="宋体" w:eastAsia="楷体_GB2312"/>
          <w:b/>
          <w:bCs/>
          <w:szCs w:val="21"/>
        </w:rPr>
        <w:t>1.</w:t>
      </w:r>
      <w:r>
        <w:rPr>
          <w:rFonts w:hint="eastAsia" w:ascii="楷体_GB2312" w:hAnsi="宋体" w:eastAsia="楷体_GB2312"/>
          <w:b/>
          <w:bCs/>
          <w:szCs w:val="21"/>
          <w:lang w:val="en-US" w:eastAsia="zh-CN"/>
        </w:rPr>
        <w:t>认购期</w:t>
      </w:r>
    </w:p>
    <w:p>
      <w:pPr>
        <w:spacing w:line="360" w:lineRule="auto"/>
        <w:ind w:firstLine="422" w:firstLineChars="200"/>
        <w:contextualSpacing/>
        <w:rPr>
          <w:rFonts w:hint="default" w:ascii="楷体_GB2312" w:hAnsi="宋体" w:eastAsia="楷体_GB2312"/>
          <w:b/>
          <w:bCs/>
          <w:szCs w:val="21"/>
          <w:lang w:val="en-US" w:eastAsia="zh-CN"/>
        </w:rPr>
      </w:pPr>
      <w:r>
        <w:rPr>
          <w:rFonts w:hint="eastAsia" w:ascii="楷体" w:hAnsi="楷体" w:eastAsia="楷体"/>
          <w:b/>
          <w:bCs/>
          <w:color w:val="auto"/>
          <w:u w:val="none"/>
          <w:lang w:val="en-US" w:eastAsia="zh-CN"/>
        </w:rPr>
        <w:t>本产品认购期为</w:t>
      </w:r>
      <w:r>
        <w:rPr>
          <w:rFonts w:hint="eastAsia" w:ascii="楷体" w:hAnsi="楷体" w:eastAsia="楷体"/>
          <w:b/>
          <w:bCs/>
          <w:color w:val="auto"/>
          <w:u w:val="none"/>
          <w:lang w:eastAsia="zh-CN"/>
        </w:rPr>
        <w:t>【</w:t>
      </w:r>
      <w:r>
        <w:rPr>
          <w:rFonts w:ascii="楷体" w:hAnsi="楷体" w:eastAsia="楷体"/>
          <w:b/>
          <w:bCs/>
          <w:color w:val="C00000"/>
          <w:u w:val="none"/>
        </w:rPr>
        <w:t>20</w:t>
      </w:r>
      <w:r>
        <w:rPr>
          <w:rFonts w:hint="eastAsia" w:ascii="楷体" w:hAnsi="楷体" w:eastAsia="楷体"/>
          <w:b/>
          <w:bCs/>
          <w:color w:val="C00000"/>
          <w:u w:val="none"/>
          <w:lang w:val="en-US" w:eastAsia="zh-CN"/>
        </w:rPr>
        <w:t>24</w:t>
      </w:r>
      <w:r>
        <w:rPr>
          <w:rFonts w:hint="eastAsia" w:ascii="楷体" w:hAnsi="楷体" w:eastAsia="楷体"/>
          <w:b/>
          <w:bCs/>
          <w:color w:val="auto"/>
          <w:u w:val="none"/>
          <w:lang w:val="en-US" w:eastAsia="zh-CN"/>
        </w:rPr>
        <w:t>】</w:t>
      </w:r>
      <w:r>
        <w:rPr>
          <w:rFonts w:ascii="楷体" w:hAnsi="楷体" w:eastAsia="楷体"/>
          <w:b/>
          <w:bCs/>
          <w:color w:val="auto"/>
          <w:u w:val="none"/>
        </w:rPr>
        <w:t>年</w:t>
      </w:r>
      <w:r>
        <w:rPr>
          <w:rFonts w:hint="eastAsia" w:ascii="楷体" w:hAnsi="楷体" w:eastAsia="楷体"/>
          <w:b/>
          <w:bCs/>
          <w:color w:val="auto"/>
          <w:u w:val="none"/>
          <w:lang w:eastAsia="zh-CN"/>
        </w:rPr>
        <w:t>【</w:t>
      </w:r>
      <w:r>
        <w:rPr>
          <w:rFonts w:hint="eastAsia" w:ascii="楷体" w:hAnsi="楷体" w:eastAsia="楷体"/>
          <w:b/>
          <w:bCs/>
          <w:color w:val="C00000"/>
          <w:u w:val="none"/>
          <w:lang w:val="en-US" w:eastAsia="zh-CN"/>
        </w:rPr>
        <w:t>5</w:t>
      </w:r>
      <w:r>
        <w:rPr>
          <w:rFonts w:hint="eastAsia" w:ascii="楷体" w:hAnsi="楷体" w:eastAsia="楷体"/>
          <w:b/>
          <w:bCs/>
          <w:color w:val="auto"/>
          <w:u w:val="none"/>
          <w:lang w:val="en-US" w:eastAsia="zh-CN"/>
        </w:rPr>
        <w:t>】</w:t>
      </w:r>
      <w:r>
        <w:rPr>
          <w:rFonts w:ascii="楷体" w:hAnsi="楷体" w:eastAsia="楷体"/>
          <w:b/>
          <w:bCs/>
          <w:color w:val="auto"/>
          <w:u w:val="none"/>
        </w:rPr>
        <w:t>月</w:t>
      </w:r>
      <w:r>
        <w:rPr>
          <w:rFonts w:hint="eastAsia" w:ascii="楷体" w:hAnsi="楷体" w:eastAsia="楷体"/>
          <w:b/>
          <w:bCs/>
          <w:color w:val="auto"/>
          <w:u w:val="none"/>
          <w:lang w:eastAsia="zh-CN"/>
        </w:rPr>
        <w:t>【</w:t>
      </w:r>
      <w:r>
        <w:rPr>
          <w:rFonts w:hint="eastAsia" w:ascii="楷体" w:hAnsi="楷体" w:eastAsia="楷体"/>
          <w:b/>
          <w:bCs/>
          <w:color w:val="C00000"/>
          <w:u w:val="none"/>
          <w:lang w:val="en-US" w:eastAsia="zh-CN"/>
        </w:rPr>
        <w:t>21</w:t>
      </w:r>
      <w:r>
        <w:rPr>
          <w:rFonts w:hint="eastAsia" w:ascii="楷体" w:hAnsi="楷体" w:eastAsia="楷体"/>
          <w:b/>
          <w:bCs/>
          <w:color w:val="auto"/>
          <w:u w:val="none"/>
          <w:lang w:val="en-US" w:eastAsia="zh-CN"/>
        </w:rPr>
        <w:t>】</w:t>
      </w:r>
      <w:r>
        <w:rPr>
          <w:rFonts w:hint="eastAsia" w:ascii="楷体" w:hAnsi="楷体" w:eastAsia="楷体"/>
          <w:b/>
          <w:bCs/>
          <w:color w:val="auto"/>
          <w:u w:val="none"/>
        </w:rPr>
        <w:t>日</w:t>
      </w:r>
      <w:r>
        <w:rPr>
          <w:rFonts w:hint="eastAsia" w:ascii="楷体" w:hAnsi="楷体" w:eastAsia="楷体"/>
          <w:b/>
          <w:bCs/>
          <w:color w:val="auto"/>
          <w:u w:val="none"/>
          <w:lang w:eastAsia="zh-CN"/>
        </w:rPr>
        <w:t>【</w:t>
      </w:r>
      <w:r>
        <w:rPr>
          <w:rFonts w:hint="eastAsia" w:ascii="楷体" w:hAnsi="楷体" w:eastAsia="楷体"/>
          <w:b/>
          <w:bCs/>
          <w:color w:val="C00000"/>
          <w:u w:val="none"/>
          <w:lang w:val="en-US" w:eastAsia="zh-CN"/>
        </w:rPr>
        <w:t>8:00</w:t>
      </w:r>
      <w:r>
        <w:rPr>
          <w:rFonts w:hint="eastAsia" w:ascii="楷体" w:hAnsi="楷体" w:eastAsia="楷体"/>
          <w:b/>
          <w:bCs/>
          <w:color w:val="auto"/>
          <w:u w:val="none"/>
          <w:lang w:eastAsia="zh-CN"/>
        </w:rPr>
        <w:t>】</w:t>
      </w:r>
      <w:r>
        <w:rPr>
          <w:rFonts w:hint="eastAsia" w:ascii="楷体" w:hAnsi="楷体" w:eastAsia="楷体"/>
          <w:b/>
          <w:bCs/>
          <w:color w:val="auto"/>
          <w:u w:val="none"/>
        </w:rPr>
        <w:t>至</w:t>
      </w:r>
      <w:r>
        <w:rPr>
          <w:rFonts w:hint="eastAsia" w:ascii="楷体" w:hAnsi="楷体" w:eastAsia="楷体"/>
          <w:b/>
          <w:bCs/>
          <w:color w:val="auto"/>
          <w:u w:val="none"/>
          <w:lang w:eastAsia="zh-CN"/>
        </w:rPr>
        <w:t>【</w:t>
      </w:r>
      <w:r>
        <w:rPr>
          <w:rFonts w:hint="eastAsia" w:ascii="楷体" w:hAnsi="楷体" w:eastAsia="楷体"/>
          <w:b/>
          <w:bCs/>
          <w:color w:val="C00000"/>
          <w:u w:val="none"/>
        </w:rPr>
        <w:t>20</w:t>
      </w:r>
      <w:r>
        <w:rPr>
          <w:rFonts w:hint="eastAsia" w:ascii="楷体" w:hAnsi="楷体" w:eastAsia="楷体"/>
          <w:b/>
          <w:bCs/>
          <w:color w:val="C00000"/>
          <w:u w:val="none"/>
          <w:lang w:val="en-US" w:eastAsia="zh-CN"/>
        </w:rPr>
        <w:t>24</w:t>
      </w:r>
      <w:r>
        <w:rPr>
          <w:rFonts w:hint="eastAsia" w:ascii="楷体" w:hAnsi="楷体" w:eastAsia="楷体"/>
          <w:b/>
          <w:bCs/>
          <w:color w:val="auto"/>
          <w:u w:val="none"/>
          <w:lang w:val="en-US" w:eastAsia="zh-CN"/>
        </w:rPr>
        <w:t>】</w:t>
      </w:r>
      <w:r>
        <w:rPr>
          <w:rFonts w:hint="eastAsia" w:ascii="楷体" w:hAnsi="楷体" w:eastAsia="楷体"/>
          <w:b/>
          <w:bCs/>
          <w:color w:val="auto"/>
          <w:u w:val="none"/>
        </w:rPr>
        <w:t>年</w:t>
      </w:r>
      <w:r>
        <w:rPr>
          <w:rFonts w:hint="eastAsia" w:ascii="楷体" w:hAnsi="楷体" w:eastAsia="楷体"/>
          <w:b/>
          <w:bCs/>
          <w:color w:val="auto"/>
          <w:u w:val="none"/>
          <w:lang w:eastAsia="zh-CN"/>
        </w:rPr>
        <w:t>【</w:t>
      </w:r>
      <w:r>
        <w:rPr>
          <w:rFonts w:hint="eastAsia" w:ascii="楷体" w:hAnsi="楷体" w:eastAsia="楷体"/>
          <w:b/>
          <w:bCs/>
          <w:color w:val="C00000"/>
          <w:u w:val="none"/>
          <w:lang w:val="en-US" w:eastAsia="zh-CN"/>
        </w:rPr>
        <w:t>5</w:t>
      </w:r>
      <w:r>
        <w:rPr>
          <w:rFonts w:hint="eastAsia" w:ascii="楷体" w:hAnsi="楷体" w:eastAsia="楷体"/>
          <w:b/>
          <w:bCs/>
          <w:color w:val="auto"/>
          <w:u w:val="none"/>
          <w:lang w:val="en-US" w:eastAsia="zh-CN"/>
        </w:rPr>
        <w:t>】</w:t>
      </w:r>
      <w:r>
        <w:rPr>
          <w:rFonts w:hint="eastAsia" w:ascii="楷体" w:hAnsi="楷体" w:eastAsia="楷体"/>
          <w:b/>
          <w:bCs/>
          <w:color w:val="auto"/>
          <w:u w:val="none"/>
        </w:rPr>
        <w:t>月</w:t>
      </w:r>
      <w:r>
        <w:rPr>
          <w:rFonts w:hint="eastAsia" w:ascii="楷体" w:hAnsi="楷体" w:eastAsia="楷体"/>
          <w:b/>
          <w:bCs/>
          <w:color w:val="auto"/>
          <w:u w:val="none"/>
          <w:lang w:eastAsia="zh-CN"/>
        </w:rPr>
        <w:t>【</w:t>
      </w:r>
      <w:r>
        <w:rPr>
          <w:rFonts w:hint="eastAsia" w:ascii="楷体" w:hAnsi="楷体" w:eastAsia="楷体"/>
          <w:b/>
          <w:bCs/>
          <w:color w:val="C00000"/>
          <w:u w:val="none"/>
          <w:lang w:val="en-US" w:eastAsia="zh-CN"/>
        </w:rPr>
        <w:t>21</w:t>
      </w:r>
      <w:r>
        <w:rPr>
          <w:rFonts w:hint="eastAsia" w:ascii="楷体" w:hAnsi="楷体" w:eastAsia="楷体"/>
          <w:b/>
          <w:bCs/>
          <w:color w:val="auto"/>
          <w:u w:val="none"/>
          <w:lang w:val="en-US" w:eastAsia="zh-CN"/>
        </w:rPr>
        <w:t>】</w:t>
      </w:r>
      <w:r>
        <w:rPr>
          <w:rFonts w:hint="eastAsia" w:ascii="楷体" w:hAnsi="楷体" w:eastAsia="楷体"/>
          <w:b/>
          <w:bCs/>
          <w:color w:val="auto"/>
          <w:u w:val="none"/>
        </w:rPr>
        <w:t>日</w:t>
      </w:r>
      <w:r>
        <w:rPr>
          <w:rFonts w:hint="eastAsia" w:ascii="楷体" w:hAnsi="楷体" w:eastAsia="楷体"/>
          <w:b/>
          <w:bCs/>
          <w:color w:val="auto"/>
          <w:u w:val="none"/>
          <w:lang w:eastAsia="zh-CN"/>
        </w:rPr>
        <w:t>【</w:t>
      </w:r>
      <w:r>
        <w:rPr>
          <w:rFonts w:hint="eastAsia" w:ascii="楷体" w:hAnsi="楷体" w:eastAsia="楷体"/>
          <w:b/>
          <w:bCs/>
          <w:color w:val="C00000"/>
          <w:u w:val="none"/>
          <w:lang w:val="en-US" w:eastAsia="zh-CN"/>
        </w:rPr>
        <w:t>16:00</w:t>
      </w:r>
      <w:r>
        <w:rPr>
          <w:rFonts w:hint="eastAsia" w:ascii="楷体" w:hAnsi="楷体" w:eastAsia="楷体"/>
          <w:b/>
          <w:bCs/>
          <w:color w:val="auto"/>
          <w:u w:val="none"/>
          <w:lang w:eastAsia="zh-CN"/>
        </w:rPr>
        <w:t>】。</w:t>
      </w:r>
      <w:r>
        <w:rPr>
          <w:rFonts w:hint="eastAsia" w:ascii="楷体" w:hAnsi="楷体" w:eastAsia="楷体"/>
          <w:b/>
          <w:bCs/>
        </w:rPr>
        <w:t>销售机构实际受理时间可能与</w:t>
      </w:r>
      <w:r>
        <w:rPr>
          <w:rFonts w:hint="eastAsia" w:ascii="楷体" w:hAnsi="楷体" w:eastAsia="楷体"/>
          <w:b/>
          <w:bCs/>
          <w:lang w:eastAsia="zh-CN"/>
        </w:rPr>
        <w:t>《</w:t>
      </w:r>
      <w:r>
        <w:rPr>
          <w:rFonts w:hint="eastAsia" w:ascii="楷体" w:hAnsi="楷体" w:eastAsia="楷体"/>
          <w:b/>
          <w:bCs/>
        </w:rPr>
        <w:t>产品说明书</w:t>
      </w:r>
      <w:r>
        <w:rPr>
          <w:rFonts w:hint="eastAsia" w:ascii="楷体" w:hAnsi="楷体" w:eastAsia="楷体"/>
          <w:b/>
          <w:bCs/>
          <w:lang w:eastAsia="zh-CN"/>
        </w:rPr>
        <w:t>》</w:t>
      </w:r>
      <w:r>
        <w:rPr>
          <w:rFonts w:hint="eastAsia" w:ascii="楷体" w:hAnsi="楷体" w:eastAsia="楷体"/>
          <w:b/>
          <w:bCs/>
        </w:rPr>
        <w:t>不一致，具体以销售机构通知为准。管理人可在认购期内公告延长或提前终止产品认购期，实际认购期以管理人公告为准。</w:t>
      </w:r>
    </w:p>
    <w:p>
      <w:pPr>
        <w:spacing w:line="360" w:lineRule="auto"/>
        <w:ind w:firstLine="422" w:firstLineChars="200"/>
        <w:contextualSpacing/>
        <w:outlineLvl w:val="2"/>
        <w:rPr>
          <w:rFonts w:ascii="楷体_GB2312" w:hAnsi="宋体" w:eastAsia="楷体_GB2312"/>
          <w:b/>
          <w:bCs/>
          <w:szCs w:val="21"/>
        </w:rPr>
      </w:pPr>
      <w:r>
        <w:rPr>
          <w:rFonts w:hint="eastAsia" w:ascii="楷体_GB2312" w:hAnsi="宋体" w:eastAsia="楷体_GB2312"/>
          <w:b/>
          <w:bCs/>
          <w:szCs w:val="21"/>
        </w:rPr>
        <w:t>2.认购</w:t>
      </w:r>
      <w:r>
        <w:rPr>
          <w:rFonts w:ascii="楷体_GB2312" w:hAnsi="宋体" w:eastAsia="楷体_GB2312"/>
          <w:b/>
          <w:bCs/>
          <w:szCs w:val="21"/>
        </w:rPr>
        <w:t>价格</w:t>
      </w:r>
    </w:p>
    <w:p>
      <w:pPr>
        <w:spacing w:line="360" w:lineRule="auto"/>
        <w:ind w:firstLine="422" w:firstLineChars="200"/>
        <w:contextualSpacing/>
        <w:rPr>
          <w:rFonts w:hint="default" w:ascii="楷体_GB2312" w:hAnsi="宋体" w:eastAsia="楷体_GB2312"/>
          <w:b/>
          <w:bCs/>
          <w:szCs w:val="21"/>
          <w:lang w:val="en-US" w:eastAsia="zh-CN"/>
        </w:rPr>
      </w:pPr>
      <w:r>
        <w:rPr>
          <w:rFonts w:hint="eastAsia" w:ascii="楷体_GB2312" w:hAnsi="宋体" w:eastAsia="楷体_GB2312"/>
          <w:b/>
          <w:bCs/>
          <w:szCs w:val="21"/>
        </w:rPr>
        <w:t>本产品初始</w:t>
      </w:r>
      <w:r>
        <w:rPr>
          <w:rFonts w:hint="eastAsia" w:ascii="楷体_GB2312" w:hAnsi="宋体" w:eastAsia="楷体_GB2312"/>
          <w:b/>
          <w:bCs/>
          <w:szCs w:val="21"/>
          <w:lang w:val="en-US" w:eastAsia="zh-CN"/>
        </w:rPr>
        <w:t>份额</w:t>
      </w:r>
      <w:r>
        <w:rPr>
          <w:rFonts w:ascii="楷体_GB2312" w:hAnsi="宋体" w:eastAsia="楷体_GB2312"/>
          <w:b/>
          <w:bCs/>
          <w:szCs w:val="21"/>
        </w:rPr>
        <w:t>净值为</w:t>
      </w:r>
      <w:r>
        <w:rPr>
          <w:rFonts w:hint="eastAsia" w:ascii="楷体_GB2312" w:hAnsi="宋体" w:eastAsia="楷体_GB2312"/>
          <w:b/>
          <w:bCs/>
          <w:color w:val="auto"/>
          <w:szCs w:val="21"/>
          <w:u w:val="single"/>
        </w:rPr>
        <w:t>1元</w:t>
      </w:r>
      <w:r>
        <w:rPr>
          <w:rFonts w:ascii="楷体_GB2312" w:hAnsi="宋体" w:eastAsia="楷体_GB2312"/>
          <w:b/>
          <w:bCs/>
          <w:color w:val="auto"/>
          <w:szCs w:val="21"/>
          <w:u w:val="single"/>
        </w:rPr>
        <w:t>人民币</w:t>
      </w:r>
      <w:r>
        <w:rPr>
          <w:rFonts w:hint="eastAsia" w:ascii="楷体_GB2312" w:hAnsi="宋体" w:eastAsia="楷体_GB2312"/>
          <w:b/>
          <w:bCs/>
          <w:color w:val="auto"/>
          <w:szCs w:val="21"/>
          <w:u w:val="single"/>
        </w:rPr>
        <w:t>/份</w:t>
      </w:r>
      <w:r>
        <w:rPr>
          <w:rFonts w:ascii="楷体_GB2312" w:hAnsi="宋体" w:eastAsia="楷体_GB2312"/>
          <w:b/>
          <w:bCs/>
          <w:szCs w:val="21"/>
        </w:rPr>
        <w:t>。</w:t>
      </w:r>
    </w:p>
    <w:p>
      <w:pPr>
        <w:spacing w:line="360" w:lineRule="auto"/>
        <w:ind w:firstLine="422" w:firstLineChars="200"/>
        <w:contextualSpacing/>
        <w:outlineLvl w:val="2"/>
        <w:rPr>
          <w:rFonts w:ascii="楷体_GB2312" w:hAnsi="宋体" w:eastAsia="楷体_GB2312"/>
          <w:b/>
          <w:bCs/>
          <w:szCs w:val="21"/>
        </w:rPr>
      </w:pPr>
      <w:r>
        <w:rPr>
          <w:rFonts w:hint="eastAsia" w:ascii="楷体_GB2312" w:hAnsi="宋体" w:eastAsia="楷体_GB2312"/>
          <w:b/>
          <w:bCs/>
          <w:szCs w:val="21"/>
        </w:rPr>
        <w:t>3.产品</w:t>
      </w:r>
      <w:r>
        <w:rPr>
          <w:rFonts w:ascii="楷体_GB2312" w:hAnsi="宋体" w:eastAsia="楷体_GB2312"/>
          <w:b/>
          <w:bCs/>
          <w:szCs w:val="21"/>
        </w:rPr>
        <w:t>规模</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产品最低发行规模</w:t>
      </w:r>
      <w:r>
        <w:rPr>
          <w:rFonts w:ascii="楷体_GB2312" w:hAnsi="宋体" w:eastAsia="楷体_GB2312"/>
          <w:b/>
          <w:bCs/>
          <w:szCs w:val="21"/>
        </w:rPr>
        <w:t>为</w:t>
      </w:r>
      <w:r>
        <w:rPr>
          <w:rFonts w:hint="eastAsia" w:ascii="楷体_GB2312" w:hAnsi="宋体" w:eastAsia="楷体_GB2312"/>
          <w:b/>
          <w:bCs/>
          <w:i w:val="0"/>
          <w:iCs w:val="0"/>
          <w:szCs w:val="21"/>
          <w:u w:val="single"/>
          <w:lang w:eastAsia="zh-CN"/>
        </w:rPr>
        <w:t>【</w:t>
      </w:r>
      <w:r>
        <w:rPr>
          <w:rFonts w:hint="eastAsia" w:ascii="楷体" w:hAnsi="楷体" w:eastAsia="楷体"/>
          <w:b/>
          <w:bCs/>
          <w:i w:val="0"/>
          <w:iCs w:val="0"/>
          <w:color w:val="C00000"/>
          <w:szCs w:val="22"/>
          <w:u w:val="single"/>
          <w:lang w:val="en-US" w:eastAsia="zh-CN"/>
        </w:rPr>
        <w:t>0</w:t>
      </w:r>
      <w:r>
        <w:rPr>
          <w:rFonts w:hint="eastAsia" w:ascii="楷体_GB2312" w:hAnsi="宋体" w:eastAsia="楷体_GB2312"/>
          <w:b/>
          <w:bCs/>
          <w:i w:val="0"/>
          <w:iCs w:val="0"/>
          <w:color w:val="auto"/>
          <w:szCs w:val="21"/>
          <w:u w:val="single"/>
          <w:lang w:val="en-US" w:eastAsia="zh-CN"/>
        </w:rPr>
        <w:t>】</w:t>
      </w:r>
      <w:r>
        <w:rPr>
          <w:rFonts w:ascii="楷体_GB2312" w:hAnsi="宋体" w:eastAsia="楷体_GB2312"/>
          <w:b/>
          <w:bCs/>
          <w:i w:val="0"/>
          <w:iCs w:val="0"/>
          <w:color w:val="auto"/>
          <w:szCs w:val="21"/>
          <w:u w:val="single"/>
        </w:rPr>
        <w:t>元</w:t>
      </w:r>
      <w:r>
        <w:rPr>
          <w:rFonts w:ascii="楷体_GB2312" w:hAnsi="宋体" w:eastAsia="楷体_GB2312"/>
          <w:b/>
          <w:bCs/>
          <w:szCs w:val="21"/>
        </w:rPr>
        <w:t>，</w:t>
      </w:r>
      <w:r>
        <w:rPr>
          <w:rFonts w:hint="eastAsia" w:ascii="楷体_GB2312" w:hAnsi="宋体" w:eastAsia="楷体_GB2312"/>
          <w:b/>
          <w:bCs/>
          <w:szCs w:val="21"/>
        </w:rPr>
        <w:t>如</w:t>
      </w:r>
      <w:r>
        <w:rPr>
          <w:rFonts w:ascii="楷体_GB2312" w:hAnsi="宋体" w:eastAsia="楷体_GB2312"/>
          <w:b/>
          <w:bCs/>
          <w:szCs w:val="21"/>
        </w:rPr>
        <w:t>认购金额不足</w:t>
      </w:r>
      <w:r>
        <w:rPr>
          <w:rFonts w:hint="eastAsia" w:ascii="楷体_GB2312" w:hAnsi="宋体" w:eastAsia="楷体_GB2312"/>
          <w:b/>
          <w:bCs/>
          <w:szCs w:val="21"/>
          <w:u w:val="single"/>
          <w:lang w:eastAsia="zh-CN"/>
        </w:rPr>
        <w:t>【</w:t>
      </w:r>
      <w:r>
        <w:rPr>
          <w:rFonts w:hint="eastAsia" w:ascii="楷体" w:hAnsi="楷体" w:eastAsia="楷体"/>
          <w:b/>
          <w:bCs/>
          <w:color w:val="C00000"/>
          <w:szCs w:val="22"/>
          <w:u w:val="single"/>
          <w:lang w:val="en-US" w:eastAsia="zh-CN"/>
        </w:rPr>
        <w:t>0</w:t>
      </w:r>
      <w:r>
        <w:rPr>
          <w:rFonts w:hint="eastAsia" w:ascii="楷体_GB2312" w:hAnsi="宋体" w:eastAsia="楷体_GB2312"/>
          <w:b/>
          <w:bCs/>
          <w:color w:val="auto"/>
          <w:szCs w:val="21"/>
          <w:u w:val="single"/>
          <w:lang w:val="en-US" w:eastAsia="zh-CN"/>
        </w:rPr>
        <w:t>】</w:t>
      </w:r>
      <w:r>
        <w:rPr>
          <w:rFonts w:hint="eastAsia" w:ascii="楷体_GB2312" w:hAnsi="宋体" w:eastAsia="楷体_GB2312"/>
          <w:b/>
          <w:bCs/>
          <w:color w:val="auto"/>
          <w:szCs w:val="21"/>
          <w:u w:val="single"/>
        </w:rPr>
        <w:t>元</w:t>
      </w:r>
      <w:r>
        <w:rPr>
          <w:rFonts w:ascii="楷体_GB2312" w:hAnsi="宋体" w:eastAsia="楷体_GB2312"/>
          <w:b/>
          <w:bCs/>
          <w:szCs w:val="21"/>
        </w:rPr>
        <w:t>，管理人有权宣布理财产品不成立。</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产品发行规模</w:t>
      </w:r>
      <w:r>
        <w:rPr>
          <w:rFonts w:ascii="楷体_GB2312" w:hAnsi="宋体" w:eastAsia="楷体_GB2312"/>
          <w:b/>
          <w:bCs/>
          <w:szCs w:val="21"/>
        </w:rPr>
        <w:t>上</w:t>
      </w:r>
      <w:r>
        <w:rPr>
          <w:rFonts w:hint="eastAsia" w:ascii="楷体_GB2312" w:hAnsi="宋体" w:eastAsia="楷体_GB2312"/>
          <w:b/>
          <w:bCs/>
          <w:szCs w:val="21"/>
        </w:rPr>
        <w:t>限</w:t>
      </w:r>
      <w:r>
        <w:rPr>
          <w:rFonts w:ascii="楷体_GB2312" w:hAnsi="宋体" w:eastAsia="楷体_GB2312"/>
          <w:b/>
          <w:bCs/>
          <w:szCs w:val="21"/>
        </w:rPr>
        <w:t>为</w:t>
      </w:r>
      <w:r>
        <w:rPr>
          <w:rFonts w:hint="eastAsia" w:ascii="楷体_GB2312" w:hAnsi="宋体" w:eastAsia="楷体_GB2312"/>
          <w:b/>
          <w:bCs/>
          <w:szCs w:val="21"/>
          <w:u w:val="single"/>
          <w:lang w:eastAsia="zh-CN"/>
        </w:rPr>
        <w:t>【</w:t>
      </w:r>
      <w:r>
        <w:rPr>
          <w:rFonts w:hint="default" w:ascii="楷体_GB2312" w:hAnsi="宋体" w:eastAsia="楷体_GB2312"/>
          <w:b/>
          <w:bCs/>
          <w:color w:val="C00000"/>
          <w:szCs w:val="21"/>
          <w:u w:val="single"/>
          <w:lang w:val="en-US" w:eastAsia="zh-CN"/>
        </w:rPr>
        <w:t>5</w:t>
      </w:r>
      <w:r>
        <w:rPr>
          <w:rFonts w:hint="eastAsia" w:ascii="楷体_GB2312" w:hAnsi="宋体" w:eastAsia="楷体_GB2312"/>
          <w:b/>
          <w:bCs/>
          <w:color w:val="C00000"/>
          <w:szCs w:val="21"/>
          <w:u w:val="single"/>
          <w:lang w:val="en-US" w:eastAsia="zh-CN"/>
        </w:rPr>
        <w:t>0</w:t>
      </w:r>
      <w:r>
        <w:rPr>
          <w:rFonts w:hint="eastAsia" w:ascii="楷体_GB2312" w:hAnsi="宋体" w:eastAsia="楷体_GB2312"/>
          <w:b/>
          <w:bCs/>
          <w:color w:val="auto"/>
          <w:szCs w:val="21"/>
          <w:u w:val="single"/>
          <w:lang w:val="en-US" w:eastAsia="zh-CN"/>
        </w:rPr>
        <w:t>】</w:t>
      </w:r>
      <w:r>
        <w:rPr>
          <w:rFonts w:hint="eastAsia" w:ascii="楷体_GB2312" w:hAnsi="宋体" w:eastAsia="楷体_GB2312"/>
          <w:b/>
          <w:bCs/>
          <w:color w:val="auto"/>
          <w:szCs w:val="21"/>
          <w:u w:val="single"/>
        </w:rPr>
        <w:t>亿元</w:t>
      </w:r>
      <w:r>
        <w:rPr>
          <w:rFonts w:ascii="楷体_GB2312" w:hAnsi="宋体" w:eastAsia="楷体_GB2312"/>
          <w:b/>
          <w:bCs/>
          <w:szCs w:val="21"/>
        </w:rPr>
        <w:t>，认购期届满前，如产品发行规模达到规模上限，</w:t>
      </w:r>
      <w:r>
        <w:rPr>
          <w:rFonts w:hint="eastAsia" w:ascii="楷体_GB2312" w:hAnsi="宋体" w:eastAsia="楷体_GB2312" w:cs="楷体_GB2312"/>
          <w:b/>
          <w:bCs/>
        </w:rPr>
        <w:t>管理人有权</w:t>
      </w:r>
      <w:r>
        <w:rPr>
          <w:rFonts w:ascii="楷体_GB2312" w:hAnsi="宋体" w:eastAsia="楷体_GB2312" w:cs="楷体_GB2312"/>
          <w:b/>
          <w:bCs/>
        </w:rPr>
        <w:t>暂停</w:t>
      </w:r>
      <w:r>
        <w:rPr>
          <w:rFonts w:hint="eastAsia" w:ascii="楷体_GB2312" w:hAnsi="宋体" w:eastAsia="楷体_GB2312"/>
          <w:b/>
          <w:bCs/>
          <w:szCs w:val="21"/>
        </w:rPr>
        <w:t>受理</w:t>
      </w:r>
      <w:r>
        <w:rPr>
          <w:rFonts w:ascii="楷体_GB2312" w:hAnsi="宋体" w:eastAsia="楷体_GB2312"/>
          <w:b/>
          <w:bCs/>
          <w:szCs w:val="21"/>
        </w:rPr>
        <w:t>该份额的认购申请</w:t>
      </w:r>
      <w:r>
        <w:rPr>
          <w:rFonts w:hint="eastAsia" w:ascii="楷体_GB2312" w:hAnsi="宋体" w:eastAsia="楷体_GB2312"/>
          <w:b/>
          <w:bCs/>
          <w:szCs w:val="21"/>
        </w:rPr>
        <w:t>。</w:t>
      </w:r>
      <w:r>
        <w:rPr>
          <w:rFonts w:hint="eastAsia" w:ascii="楷体" w:hAnsi="楷体" w:eastAsia="楷体" w:cs="楷体"/>
          <w:b/>
          <w:bCs/>
        </w:rPr>
        <w:t>销售机构实际</w:t>
      </w:r>
      <w:r>
        <w:rPr>
          <w:rFonts w:hint="eastAsia" w:ascii="楷体" w:hAnsi="楷体" w:eastAsia="楷体" w:cs="楷体"/>
          <w:b/>
          <w:bCs/>
          <w:lang w:val="en-US" w:eastAsia="zh-CN"/>
        </w:rPr>
        <w:t>销售规模限制</w:t>
      </w:r>
      <w:r>
        <w:rPr>
          <w:rFonts w:hint="eastAsia" w:ascii="楷体" w:hAnsi="楷体" w:eastAsia="楷体" w:cs="楷体"/>
          <w:b/>
          <w:bCs/>
        </w:rPr>
        <w:t>可能与《产品说明书》不一致，具体以销售机构</w:t>
      </w:r>
      <w:r>
        <w:rPr>
          <w:rFonts w:hint="eastAsia" w:ascii="楷体" w:hAnsi="楷体" w:eastAsia="楷体" w:cs="楷体"/>
          <w:b/>
          <w:bCs/>
          <w:color w:val="000000" w:themeColor="text1"/>
          <w14:textFill>
            <w14:solidFill>
              <w14:schemeClr w14:val="tx1"/>
            </w14:solidFill>
          </w14:textFill>
        </w:rPr>
        <w:t>规则为准</w:t>
      </w:r>
      <w:r>
        <w:rPr>
          <w:rFonts w:hint="eastAsia" w:ascii="楷体" w:hAnsi="楷体" w:eastAsia="楷体" w:cs="楷体"/>
          <w:b/>
          <w:bCs/>
        </w:rPr>
        <w:t>。</w:t>
      </w:r>
    </w:p>
    <w:p>
      <w:pPr>
        <w:spacing w:line="360" w:lineRule="auto"/>
        <w:ind w:firstLine="422" w:firstLineChars="200"/>
        <w:contextualSpacing/>
        <w:outlineLvl w:val="2"/>
        <w:rPr>
          <w:rFonts w:ascii="楷体_GB2312" w:hAnsi="宋体" w:eastAsia="楷体_GB2312"/>
          <w:b/>
          <w:bCs/>
          <w:szCs w:val="21"/>
        </w:rPr>
      </w:pPr>
      <w:r>
        <w:rPr>
          <w:rFonts w:hint="eastAsia" w:ascii="楷体_GB2312" w:hAnsi="宋体" w:eastAsia="楷体_GB2312"/>
          <w:b/>
          <w:bCs/>
          <w:szCs w:val="21"/>
        </w:rPr>
        <w:t>4.认购</w:t>
      </w:r>
      <w:r>
        <w:rPr>
          <w:rFonts w:ascii="楷体_GB2312" w:hAnsi="宋体" w:eastAsia="楷体_GB2312"/>
          <w:b/>
          <w:bCs/>
          <w:szCs w:val="21"/>
        </w:rPr>
        <w:t>金额</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rPr>
        <w:t>在理财产品</w:t>
      </w:r>
      <w:r>
        <w:rPr>
          <w:rFonts w:ascii="楷体_GB2312" w:hAnsi="宋体" w:eastAsia="楷体_GB2312"/>
          <w:b/>
          <w:bCs/>
          <w:szCs w:val="21"/>
        </w:rPr>
        <w:t>认购期内，本理财产品客户首次</w:t>
      </w:r>
      <w:r>
        <w:rPr>
          <w:rFonts w:hint="eastAsia" w:ascii="楷体_GB2312" w:hAnsi="宋体" w:eastAsia="楷体_GB2312"/>
          <w:b/>
          <w:bCs/>
          <w:szCs w:val="21"/>
        </w:rPr>
        <w:t>认购</w:t>
      </w:r>
      <w:r>
        <w:rPr>
          <w:rFonts w:ascii="楷体_GB2312" w:hAnsi="宋体" w:eastAsia="楷体_GB2312"/>
          <w:b/>
          <w:bCs/>
          <w:szCs w:val="21"/>
        </w:rPr>
        <w:t>的最低金额为</w:t>
      </w:r>
      <w:r>
        <w:rPr>
          <w:rFonts w:hint="eastAsia" w:ascii="楷体_GB2312" w:hAnsi="宋体" w:eastAsia="楷体_GB2312"/>
          <w:b/>
          <w:bCs/>
          <w:szCs w:val="21"/>
          <w:u w:val="single"/>
          <w:lang w:eastAsia="zh-CN"/>
        </w:rPr>
        <w:t>【</w:t>
      </w:r>
      <w:r>
        <w:rPr>
          <w:rFonts w:ascii="楷体_GB2312" w:hAnsi="宋体" w:eastAsia="楷体_GB2312"/>
          <w:b/>
          <w:bCs/>
          <w:color w:val="C00000"/>
          <w:szCs w:val="21"/>
          <w:u w:val="single"/>
        </w:rPr>
        <w:t>1</w:t>
      </w:r>
      <w:r>
        <w:rPr>
          <w:rFonts w:hint="eastAsia" w:ascii="楷体_GB2312" w:hAnsi="宋体" w:eastAsia="楷体_GB2312"/>
          <w:b/>
          <w:bCs/>
          <w:color w:val="auto"/>
          <w:szCs w:val="21"/>
          <w:u w:val="single"/>
          <w:lang w:eastAsia="zh-CN"/>
        </w:rPr>
        <w:t>】</w:t>
      </w:r>
      <w:r>
        <w:rPr>
          <w:rFonts w:ascii="楷体_GB2312" w:hAnsi="宋体" w:eastAsia="楷体_GB2312"/>
          <w:b/>
          <w:bCs/>
          <w:color w:val="auto"/>
          <w:szCs w:val="21"/>
          <w:u w:val="single"/>
        </w:rPr>
        <w:t>元</w:t>
      </w:r>
      <w:r>
        <w:rPr>
          <w:rFonts w:hint="eastAsia" w:ascii="楷体_GB2312" w:hAnsi="宋体" w:eastAsia="楷体_GB2312"/>
          <w:b/>
          <w:bCs/>
          <w:szCs w:val="21"/>
        </w:rPr>
        <w:t>，超出部分应为</w:t>
      </w:r>
      <w:r>
        <w:rPr>
          <w:rFonts w:hint="eastAsia" w:ascii="楷体_GB2312" w:hAnsi="宋体" w:eastAsia="楷体_GB2312"/>
          <w:b/>
          <w:bCs/>
          <w:i w:val="0"/>
          <w:iCs w:val="0"/>
          <w:szCs w:val="21"/>
          <w:u w:val="single"/>
          <w:lang w:eastAsia="zh-CN"/>
        </w:rPr>
        <w:t>【</w:t>
      </w:r>
      <w:r>
        <w:rPr>
          <w:rFonts w:ascii="楷体_GB2312" w:hAnsi="宋体" w:eastAsia="楷体_GB2312"/>
          <w:b/>
          <w:bCs/>
          <w:i w:val="0"/>
          <w:iCs w:val="0"/>
          <w:color w:val="C00000"/>
          <w:szCs w:val="21"/>
          <w:u w:val="single"/>
        </w:rPr>
        <w:t>1</w:t>
      </w:r>
      <w:r>
        <w:rPr>
          <w:rFonts w:hint="eastAsia" w:ascii="楷体_GB2312" w:hAnsi="宋体" w:eastAsia="楷体_GB2312"/>
          <w:b/>
          <w:bCs/>
          <w:i w:val="0"/>
          <w:iCs w:val="0"/>
          <w:color w:val="auto"/>
          <w:szCs w:val="21"/>
          <w:u w:val="single"/>
          <w:lang w:eastAsia="zh-CN"/>
        </w:rPr>
        <w:t>】</w:t>
      </w:r>
      <w:r>
        <w:rPr>
          <w:rFonts w:hint="eastAsia" w:ascii="楷体_GB2312" w:hAnsi="宋体" w:eastAsia="楷体_GB2312"/>
          <w:b/>
          <w:bCs/>
          <w:i w:val="0"/>
          <w:iCs w:val="0"/>
          <w:color w:val="auto"/>
          <w:szCs w:val="21"/>
          <w:u w:val="single"/>
        </w:rPr>
        <w:t>元</w:t>
      </w:r>
      <w:r>
        <w:rPr>
          <w:rFonts w:hint="eastAsia" w:ascii="楷体_GB2312" w:hAnsi="宋体" w:eastAsia="楷体_GB2312"/>
          <w:b/>
          <w:bCs/>
          <w:i w:val="0"/>
          <w:iCs w:val="0"/>
          <w:color w:val="auto"/>
          <w:szCs w:val="21"/>
          <w:u w:val="none"/>
        </w:rPr>
        <w:t>的整数倍</w:t>
      </w:r>
      <w:r>
        <w:rPr>
          <w:rFonts w:hint="eastAsia" w:ascii="楷体_GB2312" w:hAnsi="宋体" w:eastAsia="楷体_GB2312"/>
          <w:b/>
          <w:bCs/>
          <w:szCs w:val="21"/>
        </w:rPr>
        <w:t>。最低追加认购金额为</w:t>
      </w:r>
      <w:r>
        <w:rPr>
          <w:rFonts w:hint="eastAsia" w:ascii="楷体_GB2312" w:hAnsi="宋体" w:eastAsia="楷体_GB2312"/>
          <w:b/>
          <w:bCs/>
          <w:szCs w:val="21"/>
          <w:u w:val="single"/>
          <w:lang w:eastAsia="zh-CN"/>
        </w:rPr>
        <w:t>【</w:t>
      </w:r>
      <w:r>
        <w:rPr>
          <w:rFonts w:ascii="楷体_GB2312" w:hAnsi="宋体" w:eastAsia="楷体_GB2312"/>
          <w:b/>
          <w:bCs/>
          <w:color w:val="C00000"/>
          <w:szCs w:val="21"/>
          <w:u w:val="single"/>
        </w:rPr>
        <w:t>1</w:t>
      </w:r>
      <w:r>
        <w:rPr>
          <w:rFonts w:hint="eastAsia" w:ascii="楷体_GB2312" w:hAnsi="宋体" w:eastAsia="楷体_GB2312"/>
          <w:b/>
          <w:bCs/>
          <w:color w:val="auto"/>
          <w:szCs w:val="21"/>
          <w:u w:val="single"/>
          <w:lang w:eastAsia="zh-CN"/>
        </w:rPr>
        <w:t>】</w:t>
      </w:r>
      <w:r>
        <w:rPr>
          <w:rFonts w:hint="eastAsia" w:ascii="楷体_GB2312" w:hAnsi="宋体" w:eastAsia="楷体_GB2312"/>
          <w:b/>
          <w:bCs/>
          <w:color w:val="auto"/>
          <w:szCs w:val="21"/>
          <w:u w:val="single"/>
        </w:rPr>
        <w:t>元</w:t>
      </w:r>
      <w:r>
        <w:rPr>
          <w:rFonts w:hint="eastAsia" w:ascii="楷体_GB2312" w:hAnsi="宋体" w:eastAsia="楷体_GB2312"/>
          <w:b/>
          <w:bCs/>
          <w:szCs w:val="21"/>
        </w:rPr>
        <w:t>，超出部分应为</w:t>
      </w:r>
      <w:r>
        <w:rPr>
          <w:rFonts w:hint="eastAsia" w:ascii="楷体_GB2312" w:hAnsi="宋体" w:eastAsia="楷体_GB2312"/>
          <w:b/>
          <w:bCs/>
          <w:szCs w:val="21"/>
          <w:u w:val="single"/>
          <w:lang w:eastAsia="zh-CN"/>
        </w:rPr>
        <w:t>【</w:t>
      </w:r>
      <w:r>
        <w:rPr>
          <w:rFonts w:ascii="楷体_GB2312" w:hAnsi="宋体" w:eastAsia="楷体_GB2312"/>
          <w:b/>
          <w:bCs/>
          <w:color w:val="C00000"/>
          <w:szCs w:val="21"/>
          <w:u w:val="single"/>
        </w:rPr>
        <w:t>1</w:t>
      </w:r>
      <w:r>
        <w:rPr>
          <w:rFonts w:hint="eastAsia" w:ascii="楷体_GB2312" w:hAnsi="宋体" w:eastAsia="楷体_GB2312"/>
          <w:b/>
          <w:bCs/>
          <w:color w:val="auto"/>
          <w:szCs w:val="21"/>
          <w:u w:val="single"/>
          <w:lang w:eastAsia="zh-CN"/>
        </w:rPr>
        <w:t>】</w:t>
      </w:r>
      <w:r>
        <w:rPr>
          <w:rFonts w:hint="eastAsia" w:ascii="楷体_GB2312" w:hAnsi="宋体" w:eastAsia="楷体_GB2312"/>
          <w:b/>
          <w:bCs/>
          <w:color w:val="auto"/>
          <w:szCs w:val="21"/>
          <w:u w:val="single"/>
        </w:rPr>
        <w:t>元</w:t>
      </w:r>
      <w:r>
        <w:rPr>
          <w:rFonts w:hint="eastAsia" w:ascii="楷体_GB2312" w:hAnsi="宋体" w:eastAsia="楷体_GB2312"/>
          <w:b/>
          <w:bCs/>
          <w:color w:val="auto"/>
          <w:szCs w:val="21"/>
          <w:u w:val="none"/>
        </w:rPr>
        <w:t>的整数倍</w:t>
      </w:r>
      <w:r>
        <w:rPr>
          <w:rFonts w:hint="eastAsia" w:ascii="楷体_GB2312" w:hAnsi="宋体" w:eastAsia="楷体_GB2312"/>
          <w:b/>
          <w:bCs/>
          <w:szCs w:val="21"/>
        </w:rPr>
        <w:t>。</w:t>
      </w:r>
      <w:r>
        <w:rPr>
          <w:rFonts w:hint="eastAsia" w:ascii="楷体" w:hAnsi="楷体" w:eastAsia="楷体" w:cs="楷体"/>
          <w:b/>
          <w:bCs/>
          <w:color w:val="auto"/>
          <w:u w:val="none"/>
          <w:lang w:val="en-US" w:eastAsia="zh-CN"/>
        </w:rPr>
        <w:t>本理财产品在代理销售机构的实际销售起点金额，因代理销售机构的不同可能存在差异（可能高于销售文件约定的销售起点金额），应当以代理销售机构展示为准。代理销售机构的实际销售起点金额，不得低于销售文件约定的销售起点金额。</w:t>
      </w:r>
    </w:p>
    <w:p>
      <w:pPr>
        <w:spacing w:line="360" w:lineRule="auto"/>
        <w:ind w:firstLine="422" w:firstLineChars="200"/>
        <w:contextualSpacing/>
        <w:outlineLvl w:val="2"/>
        <w:rPr>
          <w:rFonts w:hint="default" w:ascii="楷体_GB2312" w:hAnsi="宋体" w:eastAsia="楷体_GB2312"/>
          <w:b/>
          <w:bCs/>
          <w:szCs w:val="21"/>
          <w:lang w:val="en-US" w:eastAsia="zh-CN"/>
        </w:rPr>
      </w:pPr>
      <w:r>
        <w:rPr>
          <w:rFonts w:hint="eastAsia" w:ascii="楷体_GB2312" w:hAnsi="宋体" w:eastAsia="楷体_GB2312"/>
          <w:b/>
          <w:bCs/>
          <w:szCs w:val="21"/>
          <w:lang w:val="en-US" w:eastAsia="zh-CN"/>
        </w:rPr>
        <w:t>5.认购费用</w:t>
      </w:r>
    </w:p>
    <w:p>
      <w:pPr>
        <w:spacing w:line="360" w:lineRule="auto"/>
        <w:ind w:firstLine="422" w:firstLineChars="200"/>
        <w:contextualSpacing/>
        <w:rPr>
          <w:rFonts w:hint="eastAsia" w:ascii="楷体_GB2312" w:hAnsi="宋体" w:eastAsia="楷体_GB2312" w:cs="楷体_GB2312"/>
          <w:b/>
          <w:bCs/>
          <w:szCs w:val="22"/>
          <w:lang w:val="en-US" w:eastAsia="zh-CN"/>
        </w:rPr>
      </w:pPr>
      <w:r>
        <w:rPr>
          <w:rFonts w:hint="eastAsia" w:ascii="楷体_GB2312" w:hAnsi="宋体" w:eastAsia="楷体_GB2312" w:cs="楷体_GB2312"/>
          <w:b/>
          <w:bCs/>
          <w:szCs w:val="22"/>
          <w:u w:val="none"/>
          <w:lang w:val="en-US" w:eastAsia="zh-CN"/>
        </w:rPr>
        <w:t>本理财产品认购费率</w:t>
      </w:r>
      <w:r>
        <w:rPr>
          <w:rFonts w:hint="eastAsia" w:ascii="楷体_GB2312" w:hAnsi="宋体" w:eastAsia="楷体_GB2312" w:cs="楷体_GB2312"/>
          <w:b/>
          <w:bCs/>
          <w:szCs w:val="22"/>
          <w:lang w:val="en-US" w:eastAsia="zh-CN"/>
        </w:rPr>
        <w:t>：【</w:t>
      </w:r>
      <w:r>
        <w:rPr>
          <w:rFonts w:hint="eastAsia" w:ascii="楷体_GB2312" w:hAnsi="宋体" w:eastAsia="楷体_GB2312" w:cs="楷体_GB2312"/>
          <w:b/>
          <w:bCs/>
          <w:color w:val="C00000"/>
          <w:szCs w:val="22"/>
          <w:lang w:val="en-US" w:eastAsia="zh-CN"/>
        </w:rPr>
        <w:t>/</w:t>
      </w:r>
      <w:r>
        <w:rPr>
          <w:rFonts w:hint="eastAsia" w:ascii="楷体_GB2312" w:hAnsi="宋体" w:eastAsia="楷体_GB2312" w:cs="楷体_GB2312"/>
          <w:b/>
          <w:bCs/>
          <w:szCs w:val="22"/>
          <w:lang w:val="en-US" w:eastAsia="zh-CN"/>
        </w:rPr>
        <w:t>】。</w:t>
      </w:r>
    </w:p>
    <w:p>
      <w:pPr>
        <w:spacing w:line="360" w:lineRule="auto"/>
        <w:ind w:firstLine="422" w:firstLineChars="200"/>
        <w:contextualSpacing/>
        <w:rPr>
          <w:rFonts w:hint="eastAsia" w:ascii="楷体_GB2312" w:hAnsi="宋体" w:eastAsia="楷体_GB2312" w:cs="楷体_GB2312"/>
          <w:b/>
          <w:bCs/>
          <w:szCs w:val="22"/>
          <w:lang w:val="en-US" w:eastAsia="zh-CN"/>
        </w:rPr>
      </w:pPr>
      <w:r>
        <w:rPr>
          <w:rFonts w:hint="eastAsia" w:ascii="楷体_GB2312" w:hAnsi="宋体" w:eastAsia="楷体_GB2312" w:cs="楷体_GB2312"/>
          <w:b/>
          <w:bCs/>
          <w:szCs w:val="22"/>
          <w:lang w:val="en-US" w:eastAsia="zh-CN"/>
        </w:rPr>
        <w:t>该费用</w:t>
      </w:r>
      <w:r>
        <w:rPr>
          <w:rFonts w:hint="eastAsia" w:ascii="楷体_GB2312" w:hAnsi="宋体" w:eastAsia="楷体_GB2312"/>
          <w:b/>
          <w:bCs/>
          <w:szCs w:val="21"/>
          <w:lang w:val="en-US" w:eastAsia="zh-CN"/>
        </w:rPr>
        <w:t>由投资者承担并于认购份额时一次性支付。</w:t>
      </w:r>
    </w:p>
    <w:p>
      <w:pPr>
        <w:spacing w:line="360" w:lineRule="auto"/>
        <w:ind w:firstLine="422" w:firstLineChars="200"/>
        <w:contextualSpacing/>
        <w:outlineLvl w:val="2"/>
        <w:rPr>
          <w:rFonts w:hint="default" w:ascii="楷体_GB2312" w:hAnsi="宋体" w:eastAsia="楷体_GB2312"/>
          <w:b/>
          <w:bCs/>
          <w:szCs w:val="21"/>
          <w:lang w:val="en-US" w:eastAsia="zh-CN"/>
        </w:rPr>
      </w:pPr>
      <w:r>
        <w:rPr>
          <w:rFonts w:hint="eastAsia" w:ascii="楷体_GB2312" w:hAnsi="宋体" w:eastAsia="楷体_GB2312"/>
          <w:b/>
          <w:bCs/>
          <w:szCs w:val="21"/>
          <w:lang w:val="en-US" w:eastAsia="zh-CN"/>
        </w:rPr>
        <w:t>6</w:t>
      </w:r>
      <w:r>
        <w:rPr>
          <w:rFonts w:hint="eastAsia" w:ascii="楷体_GB2312" w:hAnsi="宋体" w:eastAsia="楷体_GB2312"/>
          <w:b/>
          <w:bCs/>
          <w:szCs w:val="21"/>
        </w:rPr>
        <w:t>.</w:t>
      </w:r>
      <w:r>
        <w:rPr>
          <w:rFonts w:hint="eastAsia" w:ascii="楷体_GB2312" w:hAnsi="宋体" w:eastAsia="楷体_GB2312"/>
          <w:b/>
          <w:bCs/>
          <w:szCs w:val="21"/>
          <w:lang w:val="en-US" w:eastAsia="zh-CN"/>
        </w:rPr>
        <w:t>认购数量限制</w:t>
      </w:r>
    </w:p>
    <w:p>
      <w:pPr>
        <w:spacing w:line="360" w:lineRule="auto"/>
        <w:ind w:firstLine="422" w:firstLineChars="200"/>
        <w:contextualSpacing/>
      </w:pPr>
      <w:r>
        <w:rPr>
          <w:rFonts w:hint="eastAsia" w:ascii="楷体_GB2312" w:hAnsi="宋体" w:eastAsia="楷体_GB2312"/>
          <w:b/>
          <w:bCs/>
          <w:szCs w:val="21"/>
          <w:highlight w:val="none"/>
          <w:lang w:val="en-US" w:eastAsia="zh-CN"/>
        </w:rPr>
        <w:t>本理财产品</w:t>
      </w:r>
      <w:r>
        <w:rPr>
          <w:rFonts w:hint="eastAsia" w:ascii="楷体_GB2312" w:hAnsi="宋体" w:eastAsia="楷体_GB2312"/>
          <w:b/>
          <w:bCs/>
          <w:szCs w:val="21"/>
          <w:highlight w:val="none"/>
        </w:rPr>
        <w:t>单户累计最大购买金额为</w:t>
      </w:r>
      <w:r>
        <w:rPr>
          <w:rFonts w:hint="eastAsia" w:ascii="楷体_GB2312" w:hAnsi="宋体" w:eastAsia="楷体_GB2312"/>
          <w:b/>
          <w:bCs/>
          <w:color w:val="auto"/>
          <w:szCs w:val="21"/>
          <w:highlight w:val="none"/>
          <w:u w:val="single"/>
          <w:lang w:eastAsia="zh-CN"/>
        </w:rPr>
        <w:t>【</w:t>
      </w:r>
      <w:r>
        <w:rPr>
          <w:rFonts w:hint="eastAsia" w:ascii="楷体_GB2312" w:hAnsi="宋体" w:eastAsia="楷体_GB2312"/>
          <w:b/>
          <w:bCs/>
          <w:color w:val="C00000"/>
          <w:szCs w:val="21"/>
          <w:highlight w:val="none"/>
          <w:u w:val="single"/>
          <w:lang w:val="en-US" w:eastAsia="zh-CN"/>
        </w:rPr>
        <w:t>5000</w:t>
      </w:r>
      <w:r>
        <w:rPr>
          <w:rFonts w:hint="eastAsia" w:ascii="楷体_GB2312" w:hAnsi="宋体" w:eastAsia="楷体_GB2312"/>
          <w:b/>
          <w:bCs/>
          <w:color w:val="auto"/>
          <w:szCs w:val="21"/>
          <w:highlight w:val="none"/>
          <w:u w:val="single"/>
          <w:lang w:val="en-US" w:eastAsia="zh-CN"/>
        </w:rPr>
        <w:t>】</w:t>
      </w:r>
      <w:r>
        <w:rPr>
          <w:rFonts w:hint="eastAsia" w:ascii="楷体_GB2312" w:hAnsi="宋体" w:eastAsia="楷体_GB2312"/>
          <w:b/>
          <w:bCs/>
          <w:color w:val="auto"/>
          <w:szCs w:val="21"/>
          <w:highlight w:val="none"/>
          <w:u w:val="single"/>
        </w:rPr>
        <w:t>万元</w:t>
      </w:r>
      <w:r>
        <w:rPr>
          <w:rFonts w:hint="eastAsia" w:ascii="楷体_GB2312" w:hAnsi="宋体" w:eastAsia="楷体_GB2312"/>
          <w:b/>
          <w:bCs/>
          <w:color w:val="auto"/>
          <w:szCs w:val="21"/>
          <w:highlight w:val="none"/>
          <w:u w:val="none"/>
          <w:lang w:eastAsia="zh-CN"/>
        </w:rPr>
        <w:t>，</w:t>
      </w:r>
      <w:r>
        <w:rPr>
          <w:rFonts w:hint="eastAsia" w:ascii="楷体_GB2312" w:hAnsi="宋体" w:eastAsia="楷体_GB2312"/>
          <w:b/>
          <w:bCs/>
          <w:color w:val="auto"/>
          <w:szCs w:val="21"/>
          <w:highlight w:val="none"/>
          <w:u w:val="none"/>
          <w:lang w:val="en-US" w:eastAsia="zh-CN"/>
        </w:rPr>
        <w:t>且</w:t>
      </w:r>
      <w:r>
        <w:rPr>
          <w:rFonts w:hint="eastAsia" w:ascii="楷体_GB2312" w:hAnsi="宋体" w:eastAsia="楷体_GB2312"/>
          <w:b/>
          <w:bCs/>
          <w:szCs w:val="21"/>
          <w:highlight w:val="none"/>
          <w:lang w:val="en-US" w:eastAsia="zh-CN"/>
        </w:rPr>
        <w:t>单一投资者持有份额不得超过产品总份额</w:t>
      </w:r>
      <w:r>
        <w:rPr>
          <w:rFonts w:hint="eastAsia" w:ascii="楷体_GB2312" w:hAnsi="宋体" w:eastAsia="楷体_GB2312"/>
          <w:b/>
          <w:bCs/>
          <w:color w:val="C00000"/>
          <w:szCs w:val="21"/>
          <w:highlight w:val="none"/>
          <w:u w:val="single"/>
          <w:lang w:val="en-US" w:eastAsia="zh-CN"/>
        </w:rPr>
        <w:t>50%</w:t>
      </w:r>
      <w:r>
        <w:rPr>
          <w:rFonts w:hint="eastAsia" w:ascii="楷体_GB2312" w:hAnsi="宋体" w:eastAsia="楷体_GB2312"/>
          <w:b/>
          <w:bCs/>
          <w:szCs w:val="21"/>
          <w:highlight w:val="none"/>
          <w:lang w:val="en-US" w:eastAsia="zh-CN"/>
        </w:rPr>
        <w:t>。投资者认购或申购确认后可能导致其持有份额超过产品总份额</w:t>
      </w:r>
      <w:r>
        <w:rPr>
          <w:rFonts w:hint="eastAsia" w:ascii="楷体_GB2312" w:hAnsi="宋体" w:eastAsia="楷体_GB2312"/>
          <w:b/>
          <w:bCs/>
          <w:color w:val="C00000"/>
          <w:szCs w:val="21"/>
          <w:highlight w:val="none"/>
          <w:u w:val="single"/>
          <w:lang w:val="en-US" w:eastAsia="zh-CN"/>
        </w:rPr>
        <w:t>50%</w:t>
      </w:r>
      <w:r>
        <w:rPr>
          <w:rFonts w:hint="eastAsia" w:ascii="楷体_GB2312" w:hAnsi="宋体" w:eastAsia="楷体_GB2312"/>
          <w:b/>
          <w:bCs/>
          <w:szCs w:val="21"/>
          <w:highlight w:val="none"/>
          <w:lang w:val="en-US" w:eastAsia="zh-CN"/>
        </w:rPr>
        <w:t>的，管理人有权拒绝或暂停认购、申购。非因管理人主观因素导致突破该比例限制的，在单一投资者持有比例降至</w:t>
      </w:r>
      <w:r>
        <w:rPr>
          <w:rFonts w:hint="eastAsia" w:ascii="楷体_GB2312" w:hAnsi="宋体" w:eastAsia="楷体_GB2312"/>
          <w:b/>
          <w:bCs/>
          <w:color w:val="C00000"/>
          <w:szCs w:val="21"/>
          <w:highlight w:val="none"/>
          <w:u w:val="single"/>
          <w:lang w:val="en-US" w:eastAsia="zh-CN"/>
        </w:rPr>
        <w:t>50%</w:t>
      </w:r>
      <w:r>
        <w:rPr>
          <w:rFonts w:hint="eastAsia" w:ascii="楷体_GB2312" w:hAnsi="宋体" w:eastAsia="楷体_GB2312"/>
          <w:b/>
          <w:bCs/>
          <w:szCs w:val="21"/>
          <w:highlight w:val="none"/>
          <w:lang w:val="en-US" w:eastAsia="zh-CN"/>
        </w:rPr>
        <w:t>以下之前，管理人不再接受该投资者对本产品的认购、申购申请。</w:t>
      </w:r>
    </w:p>
    <w:p>
      <w:pPr>
        <w:spacing w:line="360" w:lineRule="auto"/>
        <w:ind w:firstLine="422" w:firstLineChars="200"/>
        <w:contextualSpacing/>
        <w:outlineLvl w:val="2"/>
        <w:rPr>
          <w:rFonts w:ascii="楷体_GB2312" w:hAnsi="宋体" w:eastAsia="楷体_GB2312"/>
          <w:b/>
          <w:bCs/>
          <w:szCs w:val="21"/>
        </w:rPr>
      </w:pPr>
      <w:r>
        <w:rPr>
          <w:rFonts w:hint="eastAsia" w:ascii="楷体_GB2312" w:hAnsi="宋体" w:eastAsia="楷体_GB2312"/>
          <w:b/>
          <w:bCs/>
          <w:szCs w:val="21"/>
          <w:lang w:val="en-US" w:eastAsia="zh-CN"/>
        </w:rPr>
        <w:t>7</w:t>
      </w:r>
      <w:r>
        <w:rPr>
          <w:rFonts w:ascii="楷体_GB2312" w:hAnsi="宋体" w:eastAsia="楷体_GB2312"/>
          <w:b/>
          <w:bCs/>
          <w:szCs w:val="21"/>
        </w:rPr>
        <w:t>.</w:t>
      </w:r>
      <w:r>
        <w:rPr>
          <w:rFonts w:hint="eastAsia" w:ascii="楷体_GB2312" w:hAnsi="宋体" w:eastAsia="楷体_GB2312"/>
          <w:b/>
          <w:bCs/>
          <w:szCs w:val="21"/>
        </w:rPr>
        <w:t>认购方式</w:t>
      </w:r>
      <w:r>
        <w:rPr>
          <w:rFonts w:ascii="楷体_GB2312" w:hAnsi="宋体" w:eastAsia="楷体_GB2312"/>
          <w:b/>
          <w:bCs/>
          <w:szCs w:val="21"/>
        </w:rPr>
        <w:t>及确认</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（1）本理财产品采取</w:t>
      </w:r>
      <w:r>
        <w:rPr>
          <w:rFonts w:ascii="楷体_GB2312" w:hAnsi="宋体" w:eastAsia="楷体_GB2312"/>
          <w:b/>
          <w:bCs/>
          <w:szCs w:val="21"/>
        </w:rPr>
        <w:t>金额认购的方式。</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w:t>
      </w:r>
      <w:r>
        <w:rPr>
          <w:rFonts w:ascii="楷体_GB2312" w:hAnsi="宋体" w:eastAsia="楷体_GB2312"/>
          <w:b/>
          <w:bCs/>
          <w:szCs w:val="21"/>
        </w:rPr>
        <w:t>2</w:t>
      </w:r>
      <w:r>
        <w:rPr>
          <w:rFonts w:hint="eastAsia" w:ascii="楷体_GB2312" w:hAnsi="宋体" w:eastAsia="楷体_GB2312"/>
          <w:b/>
          <w:bCs/>
          <w:szCs w:val="21"/>
        </w:rPr>
        <w:t>）</w:t>
      </w:r>
      <w:r>
        <w:rPr>
          <w:rFonts w:ascii="楷体_GB2312" w:hAnsi="宋体" w:eastAsia="楷体_GB2312"/>
          <w:b/>
          <w:bCs/>
          <w:szCs w:val="21"/>
        </w:rPr>
        <w:t>销售机构受理认购申请并不表示对该申请成功的确认，而仅代表其收到了认购申请，申请是否有效应以管理人的确认为准。具体而言，投资者按规定提交认购申请、全额交付款项并经销售机构成功冻结或预扣的，认购申请成立；如管理人在认购</w:t>
      </w:r>
      <w:r>
        <w:rPr>
          <w:rFonts w:hint="eastAsia" w:ascii="楷体_GB2312" w:hAnsi="宋体" w:eastAsia="楷体_GB2312"/>
          <w:b/>
          <w:bCs/>
          <w:szCs w:val="21"/>
          <w:lang w:val="en-US" w:eastAsia="zh-CN"/>
        </w:rPr>
        <w:t>确认</w:t>
      </w:r>
      <w:r>
        <w:rPr>
          <w:rFonts w:ascii="楷体_GB2312" w:hAnsi="宋体" w:eastAsia="楷体_GB2312"/>
          <w:b/>
          <w:bCs/>
          <w:szCs w:val="21"/>
        </w:rPr>
        <w:t>日根据投资者的认购申请为投资者成功登记认购份额，则视为投资者的认购申请生效，并以管理人的登记记录为准。投资者应在本理财产品成立后及时查询最终成交确认情况和认购的份额</w:t>
      </w:r>
      <w:r>
        <w:rPr>
          <w:rFonts w:hint="eastAsia" w:ascii="楷体_GB2312" w:hAnsi="宋体" w:eastAsia="楷体_GB2312"/>
          <w:b/>
          <w:bCs/>
          <w:szCs w:val="21"/>
        </w:rPr>
        <w:t>。</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w:t>
      </w:r>
      <w:r>
        <w:rPr>
          <w:rFonts w:ascii="楷体_GB2312" w:hAnsi="宋体" w:eastAsia="楷体_GB2312"/>
          <w:b/>
          <w:bCs/>
          <w:szCs w:val="21"/>
        </w:rPr>
        <w:t>3</w:t>
      </w:r>
      <w:r>
        <w:rPr>
          <w:rFonts w:hint="eastAsia" w:ascii="楷体_GB2312" w:hAnsi="宋体" w:eastAsia="楷体_GB2312"/>
          <w:b/>
          <w:bCs/>
          <w:szCs w:val="21"/>
        </w:rPr>
        <w:t>）认购</w:t>
      </w:r>
      <w:r>
        <w:rPr>
          <w:rFonts w:ascii="楷体_GB2312" w:hAnsi="宋体" w:eastAsia="楷体_GB2312"/>
          <w:b/>
          <w:bCs/>
          <w:szCs w:val="21"/>
        </w:rPr>
        <w:t>撤单</w:t>
      </w:r>
    </w:p>
    <w:p>
      <w:pPr>
        <w:spacing w:line="360" w:lineRule="auto"/>
        <w:ind w:firstLine="422" w:firstLineChars="200"/>
        <w:contextualSpacing/>
        <w:rPr>
          <w:rFonts w:ascii="楷体_GB2312" w:hAnsi="宋体" w:eastAsia="楷体_GB2312"/>
          <w:b/>
          <w:bCs/>
          <w:szCs w:val="21"/>
          <w:highlight w:val="none"/>
        </w:rPr>
      </w:pPr>
      <w:r>
        <w:rPr>
          <w:rFonts w:hint="eastAsia" w:ascii="楷体_GB2312" w:hAnsi="宋体" w:eastAsia="楷体_GB2312" w:cstheme="minorBidi"/>
          <w:b/>
          <w:bCs/>
          <w:sz w:val="21"/>
          <w:szCs w:val="21"/>
          <w:highlight w:val="none"/>
        </w:rPr>
        <w:t>投资者可通过销售机构和管理人认可的方式办理撤销本理财</w:t>
      </w:r>
      <w:r>
        <w:rPr>
          <w:rFonts w:hint="eastAsia" w:ascii="楷体_GB2312" w:hAnsi="宋体" w:eastAsia="楷体_GB2312" w:cstheme="minorBidi"/>
          <w:b/>
          <w:bCs/>
          <w:sz w:val="21"/>
          <w:szCs w:val="21"/>
          <w:highlight w:val="none"/>
          <w:lang w:val="en-US" w:eastAsia="zh-CN"/>
        </w:rPr>
        <w:t>产品</w:t>
      </w:r>
      <w:r>
        <w:rPr>
          <w:rFonts w:hint="eastAsia" w:ascii="楷体_GB2312" w:hAnsi="宋体" w:eastAsia="楷体_GB2312" w:cstheme="minorBidi"/>
          <w:b/>
          <w:bCs/>
          <w:sz w:val="21"/>
          <w:szCs w:val="21"/>
          <w:highlight w:val="none"/>
        </w:rPr>
        <w:t>份额，</w:t>
      </w:r>
      <w:r>
        <w:rPr>
          <w:rFonts w:hint="eastAsia" w:ascii="楷体_GB2312" w:hAnsi="宋体" w:eastAsia="楷体_GB2312"/>
          <w:b/>
          <w:bCs/>
          <w:szCs w:val="21"/>
          <w:highlight w:val="none"/>
        </w:rPr>
        <w:t>投资者</w:t>
      </w:r>
      <w:r>
        <w:rPr>
          <w:rFonts w:ascii="楷体_GB2312" w:hAnsi="宋体" w:eastAsia="楷体_GB2312"/>
          <w:b/>
          <w:bCs/>
          <w:szCs w:val="21"/>
          <w:highlight w:val="none"/>
        </w:rPr>
        <w:t>在认购期内的撤单规则，以销售机构受理规则为准。</w:t>
      </w:r>
    </w:p>
    <w:p>
      <w:pPr>
        <w:spacing w:line="360" w:lineRule="auto"/>
        <w:ind w:firstLine="422" w:firstLineChars="200"/>
        <w:contextualSpacing/>
        <w:rPr>
          <w:rFonts w:ascii="楷体_GB2312" w:hAnsi="宋体" w:eastAsia="楷体_GB2312"/>
          <w:b/>
          <w:bCs/>
          <w:szCs w:val="21"/>
          <w:highlight w:val="none"/>
        </w:rPr>
      </w:pPr>
      <w:r>
        <w:rPr>
          <w:rFonts w:hint="eastAsia" w:ascii="楷体_GB2312" w:hAnsi="宋体" w:eastAsia="楷体_GB2312"/>
          <w:b/>
          <w:bCs/>
          <w:szCs w:val="21"/>
          <w:highlight w:val="none"/>
        </w:rPr>
        <w:t>（4）投资者在募集期内认购本理财产品被受理后，</w:t>
      </w:r>
      <w:r>
        <w:rPr>
          <w:rFonts w:ascii="楷体_GB2312" w:hAnsi="宋体" w:eastAsia="楷体_GB2312"/>
          <w:b/>
          <w:bCs/>
          <w:szCs w:val="21"/>
          <w:highlight w:val="none"/>
        </w:rPr>
        <w:t>销售机构有权冻结</w:t>
      </w:r>
      <w:r>
        <w:rPr>
          <w:rFonts w:hint="eastAsia" w:ascii="楷体_GB2312" w:hAnsi="宋体" w:eastAsia="楷体_GB2312"/>
          <w:b/>
          <w:bCs/>
          <w:szCs w:val="21"/>
          <w:highlight w:val="none"/>
        </w:rPr>
        <w:t>或</w:t>
      </w:r>
      <w:r>
        <w:rPr>
          <w:rFonts w:ascii="楷体_GB2312" w:hAnsi="宋体" w:eastAsia="楷体_GB2312"/>
          <w:b/>
          <w:bCs/>
          <w:szCs w:val="21"/>
          <w:highlight w:val="none"/>
        </w:rPr>
        <w:t>预扣认购款项，冻结</w:t>
      </w:r>
      <w:r>
        <w:rPr>
          <w:rFonts w:hint="eastAsia" w:ascii="楷体_GB2312" w:hAnsi="宋体" w:eastAsia="楷体_GB2312"/>
          <w:b/>
          <w:bCs/>
          <w:szCs w:val="21"/>
          <w:highlight w:val="none"/>
        </w:rPr>
        <w:t>或</w:t>
      </w:r>
      <w:r>
        <w:rPr>
          <w:rFonts w:ascii="楷体_GB2312" w:hAnsi="宋体" w:eastAsia="楷体_GB2312"/>
          <w:b/>
          <w:bCs/>
          <w:szCs w:val="21"/>
          <w:highlight w:val="none"/>
        </w:rPr>
        <w:t>预扣期间管理人不向投资者计付利息，</w:t>
      </w:r>
      <w:r>
        <w:rPr>
          <w:rFonts w:hint="eastAsia" w:ascii="楷体_GB2312" w:hAnsi="宋体" w:eastAsia="楷体_GB2312"/>
          <w:b/>
          <w:bCs/>
          <w:szCs w:val="21"/>
          <w:highlight w:val="none"/>
        </w:rPr>
        <w:t>销售机构</w:t>
      </w:r>
      <w:r>
        <w:rPr>
          <w:rFonts w:ascii="楷体_GB2312" w:hAnsi="宋体" w:eastAsia="楷体_GB2312"/>
          <w:b/>
          <w:bCs/>
          <w:szCs w:val="21"/>
          <w:highlight w:val="none"/>
        </w:rPr>
        <w:t>是否计付利息以销售机构</w:t>
      </w:r>
      <w:r>
        <w:rPr>
          <w:rFonts w:hint="eastAsia" w:ascii="楷体_GB2312" w:hAnsi="宋体" w:eastAsia="楷体_GB2312"/>
          <w:b/>
          <w:bCs/>
          <w:szCs w:val="21"/>
          <w:highlight w:val="none"/>
        </w:rPr>
        <w:t>计息规则</w:t>
      </w:r>
      <w:r>
        <w:rPr>
          <w:rFonts w:ascii="楷体_GB2312" w:hAnsi="宋体" w:eastAsia="楷体_GB2312"/>
          <w:b/>
          <w:bCs/>
          <w:szCs w:val="21"/>
          <w:highlight w:val="none"/>
        </w:rPr>
        <w:t>为准</w:t>
      </w:r>
      <w:r>
        <w:rPr>
          <w:rFonts w:hint="eastAsia" w:ascii="楷体_GB2312" w:hAnsi="宋体" w:eastAsia="楷体_GB2312"/>
          <w:b/>
          <w:bCs/>
          <w:szCs w:val="21"/>
          <w:highlight w:val="none"/>
          <w:lang w:eastAsia="zh-CN"/>
        </w:rPr>
        <w:t>，</w:t>
      </w:r>
      <w:r>
        <w:rPr>
          <w:rFonts w:hint="eastAsia" w:ascii="楷体_GB2312" w:eastAsia="楷体_GB2312" w:cs="楷体_GB2312"/>
          <w:b/>
          <w:bCs/>
          <w:highlight w:val="none"/>
        </w:rPr>
        <w:t>利息</w:t>
      </w:r>
      <w:r>
        <w:rPr>
          <w:rFonts w:ascii="楷体_GB2312" w:eastAsia="楷体_GB2312" w:cs="楷体_GB2312"/>
          <w:b/>
          <w:bCs/>
          <w:highlight w:val="none"/>
        </w:rPr>
        <w:t>部分</w:t>
      </w:r>
      <w:r>
        <w:rPr>
          <w:rFonts w:hint="eastAsia" w:ascii="楷体_GB2312" w:eastAsia="楷体_GB2312" w:cs="楷体_GB2312"/>
          <w:b/>
          <w:bCs/>
          <w:highlight w:val="none"/>
        </w:rPr>
        <w:t>不计入认购本金</w:t>
      </w:r>
      <w:r>
        <w:rPr>
          <w:rFonts w:ascii="楷体_GB2312" w:hAnsi="宋体" w:eastAsia="楷体_GB2312"/>
          <w:b/>
          <w:bCs/>
          <w:szCs w:val="21"/>
          <w:highlight w:val="none"/>
        </w:rPr>
        <w:t>。</w:t>
      </w:r>
    </w:p>
    <w:p>
      <w:pPr>
        <w:spacing w:line="360" w:lineRule="auto"/>
        <w:ind w:firstLine="422" w:firstLineChars="200"/>
        <w:contextualSpacing/>
        <w:outlineLvl w:val="2"/>
        <w:rPr>
          <w:rFonts w:ascii="楷体_GB2312" w:hAnsi="宋体" w:eastAsia="楷体_GB2312"/>
          <w:b/>
          <w:bCs/>
          <w:szCs w:val="21"/>
        </w:rPr>
      </w:pPr>
      <w:r>
        <w:rPr>
          <w:rFonts w:hint="eastAsia" w:ascii="楷体_GB2312" w:hAnsi="宋体" w:eastAsia="楷体_GB2312"/>
          <w:b/>
          <w:bCs/>
          <w:szCs w:val="21"/>
          <w:lang w:val="en-US" w:eastAsia="zh-CN"/>
        </w:rPr>
        <w:t>8</w:t>
      </w:r>
      <w:r>
        <w:rPr>
          <w:rFonts w:ascii="楷体_GB2312" w:hAnsi="宋体" w:eastAsia="楷体_GB2312"/>
          <w:b/>
          <w:bCs/>
          <w:szCs w:val="21"/>
        </w:rPr>
        <w:t>.认购份额的计算</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本理财产品认购份额的具体计算方法如下：</w:t>
      </w:r>
    </w:p>
    <w:p>
      <w:pPr>
        <w:spacing w:line="360" w:lineRule="auto"/>
        <w:ind w:firstLine="422" w:firstLineChars="200"/>
        <w:contextualSpacing/>
        <w:rPr>
          <w:rFonts w:ascii="楷体_GB2312" w:hAnsi="宋体" w:eastAsia="楷体_GB2312"/>
          <w:b/>
          <w:bCs/>
          <w:szCs w:val="21"/>
          <w:u w:val="none"/>
        </w:rPr>
      </w:pPr>
      <w:r>
        <w:rPr>
          <w:rFonts w:ascii="楷体_GB2312" w:hAnsi="宋体" w:eastAsia="楷体_GB2312"/>
          <w:b/>
          <w:bCs/>
          <w:szCs w:val="21"/>
          <w:u w:val="none"/>
        </w:rPr>
        <w:t>认购份额＝认购金额÷</w:t>
      </w:r>
      <w:r>
        <w:rPr>
          <w:rFonts w:hint="eastAsia" w:ascii="楷体_GB2312" w:hAnsi="宋体" w:eastAsia="楷体_GB2312"/>
          <w:b/>
          <w:bCs/>
          <w:szCs w:val="21"/>
          <w:u w:val="none"/>
        </w:rPr>
        <w:t>（1</w:t>
      </w:r>
      <w:r>
        <w:rPr>
          <w:rFonts w:ascii="楷体_GB2312" w:hAnsi="宋体" w:eastAsia="楷体_GB2312"/>
          <w:b/>
          <w:bCs/>
          <w:szCs w:val="21"/>
          <w:u w:val="none"/>
        </w:rPr>
        <w:t>+认购费率</w:t>
      </w:r>
      <w:r>
        <w:rPr>
          <w:rFonts w:hint="eastAsia" w:ascii="楷体_GB2312" w:hAnsi="宋体" w:eastAsia="楷体_GB2312"/>
          <w:b/>
          <w:bCs/>
          <w:szCs w:val="21"/>
          <w:u w:val="none"/>
        </w:rPr>
        <w:t>）÷产品</w:t>
      </w:r>
      <w:r>
        <w:rPr>
          <w:rFonts w:ascii="楷体_GB2312" w:hAnsi="宋体" w:eastAsia="楷体_GB2312"/>
          <w:b/>
          <w:bCs/>
          <w:szCs w:val="21"/>
          <w:u w:val="none"/>
        </w:rPr>
        <w:t>初始</w:t>
      </w:r>
      <w:r>
        <w:rPr>
          <w:rFonts w:hint="eastAsia" w:ascii="楷体_GB2312" w:hAnsi="宋体" w:eastAsia="楷体_GB2312"/>
          <w:b/>
          <w:bCs/>
          <w:szCs w:val="21"/>
          <w:u w:val="none"/>
          <w:lang w:val="en-US" w:eastAsia="zh-CN"/>
        </w:rPr>
        <w:t>份额</w:t>
      </w:r>
      <w:r>
        <w:rPr>
          <w:rFonts w:ascii="楷体_GB2312" w:hAnsi="宋体" w:eastAsia="楷体_GB2312"/>
          <w:b/>
          <w:bCs/>
          <w:szCs w:val="21"/>
          <w:u w:val="none"/>
        </w:rPr>
        <w:t>净值</w:t>
      </w:r>
    </w:p>
    <w:p>
      <w:pPr>
        <w:spacing w:line="360" w:lineRule="auto"/>
        <w:ind w:firstLine="422" w:firstLineChars="200"/>
        <w:contextualSpacing/>
        <w:rPr>
          <w:rFonts w:ascii="楷体_GB2312" w:hAnsi="宋体" w:eastAsia="楷体_GB2312"/>
          <w:b/>
          <w:bCs/>
          <w:szCs w:val="21"/>
          <w:u w:val="none"/>
        </w:rPr>
      </w:pPr>
      <w:r>
        <w:rPr>
          <w:rFonts w:ascii="楷体_GB2312" w:hAnsi="宋体" w:eastAsia="楷体_GB2312"/>
          <w:b/>
          <w:bCs/>
          <w:szCs w:val="21"/>
          <w:u w:val="none"/>
        </w:rPr>
        <w:t>认购份额</w:t>
      </w:r>
      <w:r>
        <w:rPr>
          <w:rFonts w:hint="eastAsia" w:ascii="楷体_GB2312" w:hAnsi="宋体" w:eastAsia="楷体_GB2312"/>
          <w:b/>
          <w:bCs/>
          <w:szCs w:val="21"/>
          <w:u w:val="none"/>
        </w:rPr>
        <w:t>采用</w:t>
      </w:r>
      <w:r>
        <w:rPr>
          <w:rFonts w:ascii="楷体_GB2312" w:hAnsi="宋体" w:eastAsia="楷体_GB2312"/>
          <w:b/>
          <w:bCs/>
          <w:szCs w:val="21"/>
          <w:u w:val="none"/>
        </w:rPr>
        <w:t>四舍五入法保留至小数点后2位。</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示例：假定某投资者投资100元人民币认购本理财产品，</w:t>
      </w:r>
      <w:r>
        <w:rPr>
          <w:rFonts w:hint="eastAsia" w:ascii="楷体_GB2312" w:hAnsi="宋体" w:eastAsia="楷体_GB2312"/>
          <w:b/>
          <w:bCs/>
          <w:szCs w:val="21"/>
        </w:rPr>
        <w:t>认购费率为</w:t>
      </w:r>
      <w:r>
        <w:rPr>
          <w:rFonts w:ascii="楷体_GB2312" w:hAnsi="宋体" w:eastAsia="楷体_GB2312"/>
          <w:b/>
          <w:bCs/>
          <w:szCs w:val="21"/>
        </w:rPr>
        <w:t>0.</w:t>
      </w:r>
      <w:r>
        <w:rPr>
          <w:rFonts w:hint="eastAsia" w:ascii="楷体_GB2312" w:hAnsi="宋体" w:eastAsia="楷体_GB2312"/>
          <w:b/>
          <w:bCs/>
          <w:szCs w:val="21"/>
        </w:rPr>
        <w:t>0</w:t>
      </w:r>
      <w:r>
        <w:rPr>
          <w:rFonts w:ascii="楷体_GB2312" w:hAnsi="宋体" w:eastAsia="楷体_GB2312"/>
          <w:b/>
          <w:bCs/>
          <w:szCs w:val="21"/>
        </w:rPr>
        <w:t>0</w:t>
      </w:r>
      <w:r>
        <w:rPr>
          <w:rFonts w:hint="eastAsia" w:ascii="楷体_GB2312" w:hAnsi="宋体" w:eastAsia="楷体_GB2312"/>
          <w:b/>
          <w:bCs/>
          <w:szCs w:val="21"/>
        </w:rPr>
        <w:t>%</w:t>
      </w:r>
      <w:r>
        <w:rPr>
          <w:rFonts w:ascii="楷体_GB2312" w:hAnsi="宋体" w:eastAsia="楷体_GB2312"/>
          <w:b/>
          <w:bCs/>
          <w:szCs w:val="21"/>
        </w:rPr>
        <w:t>，则其可得到的认购份额计算如下：</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认购份额＝100÷</w:t>
      </w:r>
      <w:r>
        <w:rPr>
          <w:rFonts w:hint="eastAsia" w:ascii="楷体_GB2312" w:hAnsi="宋体" w:eastAsia="楷体_GB2312"/>
          <w:b/>
          <w:bCs/>
          <w:szCs w:val="21"/>
        </w:rPr>
        <w:t>（1</w:t>
      </w:r>
      <w:r>
        <w:rPr>
          <w:rFonts w:ascii="楷体_GB2312" w:hAnsi="宋体" w:eastAsia="楷体_GB2312"/>
          <w:b/>
          <w:bCs/>
          <w:szCs w:val="21"/>
        </w:rPr>
        <w:t>+0.00%</w:t>
      </w:r>
      <w:r>
        <w:rPr>
          <w:rFonts w:hint="eastAsia" w:ascii="楷体_GB2312" w:hAnsi="宋体" w:eastAsia="楷体_GB2312"/>
          <w:b/>
          <w:bCs/>
          <w:szCs w:val="21"/>
        </w:rPr>
        <w:t>）÷</w:t>
      </w:r>
      <w:r>
        <w:rPr>
          <w:rFonts w:ascii="楷体_GB2312" w:hAnsi="宋体" w:eastAsia="楷体_GB2312"/>
          <w:b/>
          <w:bCs/>
          <w:szCs w:val="21"/>
        </w:rPr>
        <w:t>1.00元/份＝100.00份</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（二）</w:t>
      </w:r>
      <w:r>
        <w:rPr>
          <w:rFonts w:ascii="楷体" w:hAnsi="楷体" w:eastAsia="楷体"/>
          <w:sz w:val="21"/>
        </w:rPr>
        <w:t>理财产品申购、赎回</w:t>
      </w:r>
    </w:p>
    <w:p>
      <w:pPr>
        <w:spacing w:line="360" w:lineRule="auto"/>
        <w:ind w:firstLine="422" w:firstLineChars="200"/>
        <w:contextualSpacing/>
        <w:outlineLvl w:val="2"/>
        <w:rPr>
          <w:rFonts w:hint="eastAsia" w:ascii="楷体_GB2312" w:hAnsi="宋体" w:eastAsia="楷体_GB2312"/>
          <w:b/>
          <w:bCs/>
          <w:szCs w:val="21"/>
          <w:lang w:val="en-US" w:eastAsia="zh-CN"/>
        </w:rPr>
      </w:pPr>
      <w:r>
        <w:rPr>
          <w:rFonts w:hint="eastAsia" w:ascii="楷体_GB2312" w:hAnsi="宋体" w:eastAsia="楷体_GB2312"/>
          <w:b/>
          <w:bCs/>
          <w:szCs w:val="21"/>
          <w:lang w:val="en-US" w:eastAsia="zh-CN"/>
        </w:rPr>
        <w:t>1.产品开放日</w:t>
      </w:r>
    </w:p>
    <w:p>
      <w:pPr>
        <w:numPr>
          <w:ilvl w:val="-1"/>
          <w:numId w:val="0"/>
        </w:numPr>
        <w:spacing w:line="360" w:lineRule="auto"/>
        <w:ind w:firstLine="422" w:firstLineChars="200"/>
        <w:contextualSpacing/>
        <w:rPr>
          <w:rFonts w:hint="default" w:ascii="楷体_GB2312" w:hAnsi="宋体" w:eastAsia="楷体_GB2312"/>
          <w:b/>
          <w:bCs/>
          <w:szCs w:val="21"/>
          <w:lang w:val="en-US" w:eastAsia="zh-CN"/>
        </w:rPr>
      </w:pPr>
      <w:r>
        <w:rPr>
          <w:rFonts w:hint="default" w:ascii="楷体_GB2312" w:hAnsi="宋体" w:eastAsia="楷体_GB2312"/>
          <w:b/>
          <w:bCs/>
          <w:szCs w:val="21"/>
          <w:lang w:val="en-US" w:eastAsia="zh-CN"/>
        </w:rPr>
        <w:t>在理财产品存续期内，除投资封闭期外每一自然日为产品开放日，管理人将在产品开放日受理本理财产品的申购申请。在理财产品存续期内，管理人有权根据市场情况变化暂停本理财产品的申购，暂停公告通过《产品说明书》“信息披露”约定的方式向投资者披露。</w:t>
      </w:r>
    </w:p>
    <w:p>
      <w:pPr>
        <w:spacing w:line="360" w:lineRule="auto"/>
        <w:ind w:firstLine="422" w:firstLineChars="200"/>
        <w:contextualSpacing/>
        <w:outlineLvl w:val="2"/>
        <w:rPr>
          <w:rFonts w:hint="eastAsia" w:ascii="楷体_GB2312" w:hAnsi="宋体" w:eastAsia="楷体_GB2312"/>
          <w:b/>
          <w:bCs/>
          <w:szCs w:val="21"/>
          <w:lang w:val="en-US" w:eastAsia="zh-CN"/>
        </w:rPr>
      </w:pPr>
      <w:r>
        <w:rPr>
          <w:rFonts w:hint="eastAsia" w:ascii="楷体_GB2312" w:hAnsi="宋体" w:eastAsia="楷体_GB2312"/>
          <w:b/>
          <w:bCs/>
          <w:szCs w:val="21"/>
          <w:lang w:val="en-US" w:eastAsia="zh-CN"/>
        </w:rPr>
        <w:t>2.最短持有期</w:t>
      </w:r>
    </w:p>
    <w:p>
      <w:pPr>
        <w:numPr>
          <w:ilvl w:val="12"/>
          <w:numId w:val="0"/>
        </w:num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rPr>
        <w:t>本理财产品对投资者的每笔有效认/申购设置</w:t>
      </w:r>
      <w:r>
        <w:rPr>
          <w:rFonts w:hint="eastAsia" w:ascii="楷体" w:hAnsi="楷体" w:eastAsia="楷体" w:cs="楷体"/>
          <w:b/>
          <w:bCs/>
          <w:color w:val="auto"/>
          <w:u w:val="none"/>
          <w:lang w:eastAsia="zh-CN"/>
        </w:rPr>
        <w:t>【</w:t>
      </w:r>
      <w:r>
        <w:rPr>
          <w:rFonts w:hint="eastAsia" w:ascii="楷体" w:hAnsi="楷体" w:eastAsia="楷体"/>
          <w:b/>
          <w:bCs/>
          <w:color w:val="C00000"/>
          <w:u w:val="single"/>
          <w:lang w:val="en-US" w:eastAsia="zh-CN"/>
        </w:rPr>
        <w:t>9</w:t>
      </w:r>
      <w:r>
        <w:rPr>
          <w:rFonts w:hint="eastAsia" w:ascii="楷体" w:hAnsi="楷体" w:eastAsia="楷体" w:cstheme="minorBidi"/>
          <w:b/>
          <w:bCs/>
          <w:color w:val="C00000"/>
          <w:u w:val="single"/>
          <w:lang w:eastAsia="zh-CN"/>
        </w:rPr>
        <w:t>0</w:t>
      </w:r>
      <w:r>
        <w:rPr>
          <w:rFonts w:hint="eastAsia" w:ascii="楷体" w:hAnsi="楷体" w:eastAsia="楷体" w:cs="楷体"/>
          <w:b/>
          <w:bCs/>
          <w:color w:val="auto"/>
          <w:u w:val="none"/>
          <w:lang w:eastAsia="zh-CN"/>
        </w:rPr>
        <w:t>】</w:t>
      </w:r>
      <w:r>
        <w:rPr>
          <w:rFonts w:hint="eastAsia" w:ascii="楷体" w:hAnsi="楷体" w:eastAsia="楷体" w:cs="楷体"/>
          <w:b/>
          <w:bCs/>
          <w:szCs w:val="21"/>
          <w:u w:val="none"/>
        </w:rPr>
        <w:t>个自然日的最短持有期限。</w:t>
      </w:r>
    </w:p>
    <w:p>
      <w:pPr>
        <w:numPr>
          <w:ilvl w:val="12"/>
          <w:numId w:val="0"/>
        </w:num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rPr>
        <w:t>最短持有期起始日即认/申购对应的成立日/确认日，每笔理财产品份额从最短持有期起始日起，至其后第</w:t>
      </w:r>
      <w:r>
        <w:rPr>
          <w:rFonts w:hint="eastAsia" w:ascii="楷体" w:hAnsi="楷体" w:eastAsia="楷体" w:cs="楷体"/>
          <w:b/>
          <w:bCs/>
          <w:color w:val="auto"/>
          <w:u w:val="none"/>
          <w:lang w:eastAsia="zh-CN"/>
        </w:rPr>
        <w:t>【</w:t>
      </w:r>
      <w:r>
        <w:rPr>
          <w:rFonts w:hint="eastAsia" w:ascii="楷体" w:hAnsi="楷体" w:eastAsia="楷体"/>
          <w:b/>
          <w:bCs/>
          <w:color w:val="C00000"/>
          <w:u w:val="single"/>
          <w:lang w:val="en-US" w:eastAsia="zh-CN"/>
        </w:rPr>
        <w:t>9</w:t>
      </w:r>
      <w:r>
        <w:rPr>
          <w:rFonts w:hint="eastAsia" w:ascii="楷体" w:hAnsi="楷体" w:eastAsia="楷体" w:cstheme="minorBidi"/>
          <w:b/>
          <w:bCs/>
          <w:color w:val="C00000"/>
          <w:u w:val="single"/>
          <w:lang w:eastAsia="zh-CN"/>
        </w:rPr>
        <w:t>0</w:t>
      </w:r>
      <w:r>
        <w:rPr>
          <w:rFonts w:hint="eastAsia" w:ascii="楷体" w:hAnsi="楷体" w:eastAsia="楷体" w:cs="楷体"/>
          <w:b/>
          <w:bCs/>
          <w:color w:val="auto"/>
          <w:u w:val="none"/>
          <w:lang w:eastAsia="zh-CN"/>
        </w:rPr>
        <w:t>】</w:t>
      </w:r>
      <w:r>
        <w:rPr>
          <w:rFonts w:hint="eastAsia" w:ascii="楷体" w:hAnsi="楷体" w:eastAsia="楷体" w:cs="楷体"/>
          <w:b/>
          <w:bCs/>
          <w:szCs w:val="21"/>
          <w:u w:val="none"/>
        </w:rPr>
        <w:t>个自然日（不含）内，投资者不能提出赎回申请。</w:t>
      </w:r>
    </w:p>
    <w:p>
      <w:pPr>
        <w:numPr>
          <w:ilvl w:val="12"/>
          <w:numId w:val="0"/>
        </w:num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rPr>
        <w:t>最短持有期结束日为最短持有期起始日后的第</w:t>
      </w:r>
      <w:r>
        <w:rPr>
          <w:rFonts w:hint="eastAsia" w:ascii="楷体" w:hAnsi="楷体" w:eastAsia="楷体" w:cs="楷体"/>
          <w:b/>
          <w:bCs/>
          <w:color w:val="auto"/>
          <w:u w:val="none"/>
          <w:lang w:eastAsia="zh-CN"/>
        </w:rPr>
        <w:t>【</w:t>
      </w:r>
      <w:r>
        <w:rPr>
          <w:rFonts w:hint="eastAsia" w:ascii="楷体" w:hAnsi="楷体" w:eastAsia="楷体"/>
          <w:b/>
          <w:bCs/>
          <w:color w:val="C00000"/>
          <w:u w:val="single"/>
          <w:lang w:val="en-US" w:eastAsia="zh-CN"/>
        </w:rPr>
        <w:t>9</w:t>
      </w:r>
      <w:r>
        <w:rPr>
          <w:rFonts w:hint="eastAsia" w:ascii="楷体" w:hAnsi="楷体" w:eastAsia="楷体" w:cstheme="minorBidi"/>
          <w:b/>
          <w:bCs/>
          <w:color w:val="C00000"/>
          <w:u w:val="single"/>
          <w:lang w:eastAsia="zh-CN"/>
        </w:rPr>
        <w:t>0</w:t>
      </w:r>
      <w:r>
        <w:rPr>
          <w:rFonts w:hint="eastAsia" w:ascii="楷体" w:hAnsi="楷体" w:eastAsia="楷体" w:cs="楷体"/>
          <w:b/>
          <w:bCs/>
          <w:color w:val="auto"/>
          <w:u w:val="none"/>
          <w:lang w:eastAsia="zh-CN"/>
        </w:rPr>
        <w:t>】</w:t>
      </w:r>
      <w:r>
        <w:rPr>
          <w:rFonts w:hint="eastAsia" w:ascii="楷体" w:hAnsi="楷体" w:eastAsia="楷体" w:cs="楷体"/>
          <w:b/>
          <w:bCs/>
          <w:szCs w:val="21"/>
          <w:u w:val="none"/>
        </w:rPr>
        <w:t>个自然日（如遇非</w:t>
      </w:r>
      <w:r>
        <w:rPr>
          <w:rFonts w:hint="eastAsia" w:ascii="楷体" w:hAnsi="楷体" w:eastAsia="楷体" w:cs="楷体"/>
          <w:b/>
          <w:bCs/>
          <w:color w:val="auto"/>
          <w:u w:val="none"/>
          <w:lang w:eastAsia="zh-CN"/>
        </w:rPr>
        <w:t>【交易日】</w:t>
      </w:r>
      <w:r>
        <w:rPr>
          <w:rFonts w:hint="eastAsia" w:ascii="楷体" w:hAnsi="楷体" w:eastAsia="楷体" w:cs="楷体"/>
          <w:b/>
          <w:bCs/>
          <w:szCs w:val="21"/>
          <w:u w:val="none"/>
        </w:rPr>
        <w:t>则顺延至下一个</w:t>
      </w:r>
      <w:r>
        <w:rPr>
          <w:rFonts w:hint="eastAsia" w:ascii="楷体" w:hAnsi="楷体" w:eastAsia="楷体" w:cs="楷体"/>
          <w:b/>
          <w:bCs/>
          <w:color w:val="auto"/>
          <w:u w:val="none"/>
          <w:lang w:eastAsia="zh-CN"/>
        </w:rPr>
        <w:t>【交易日】</w:t>
      </w:r>
      <w:r>
        <w:rPr>
          <w:rFonts w:hint="eastAsia" w:ascii="楷体" w:hAnsi="楷体" w:eastAsia="楷体" w:cs="楷体"/>
          <w:b/>
          <w:bCs/>
          <w:szCs w:val="21"/>
          <w:u w:val="none"/>
        </w:rPr>
        <w:t>），从最短持有期结束日当日（含）起，投资者可以提出赎回申请。</w:t>
      </w:r>
    </w:p>
    <w:p>
      <w:pPr>
        <w:spacing w:line="360" w:lineRule="auto"/>
        <w:ind w:firstLine="422" w:firstLineChars="200"/>
        <w:contextualSpacing/>
        <w:outlineLvl w:val="2"/>
        <w:rPr>
          <w:rFonts w:ascii="楷体_GB2312" w:hAnsi="宋体" w:eastAsia="楷体_GB2312"/>
          <w:b/>
          <w:bCs/>
          <w:szCs w:val="21"/>
        </w:rPr>
      </w:pPr>
      <w:r>
        <w:rPr>
          <w:rFonts w:hint="eastAsia" w:ascii="楷体_GB2312" w:hAnsi="宋体" w:eastAsia="楷体_GB2312"/>
          <w:b/>
          <w:bCs/>
          <w:szCs w:val="21"/>
          <w:lang w:val="en-US" w:eastAsia="zh-CN"/>
        </w:rPr>
        <w:t>3.</w:t>
      </w:r>
      <w:r>
        <w:rPr>
          <w:rFonts w:hint="eastAsia" w:ascii="楷体_GB2312" w:hAnsi="宋体" w:eastAsia="楷体_GB2312"/>
          <w:b/>
          <w:bCs/>
          <w:szCs w:val="21"/>
        </w:rPr>
        <w:t>产品</w:t>
      </w:r>
      <w:r>
        <w:rPr>
          <w:rFonts w:ascii="楷体_GB2312" w:hAnsi="宋体" w:eastAsia="楷体_GB2312"/>
          <w:b/>
          <w:bCs/>
          <w:szCs w:val="21"/>
        </w:rPr>
        <w:t>规模</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产品发行规模</w:t>
      </w:r>
      <w:r>
        <w:rPr>
          <w:rFonts w:ascii="楷体_GB2312" w:hAnsi="宋体" w:eastAsia="楷体_GB2312"/>
          <w:b/>
          <w:bCs/>
          <w:szCs w:val="21"/>
        </w:rPr>
        <w:t>上</w:t>
      </w:r>
      <w:r>
        <w:rPr>
          <w:rFonts w:hint="eastAsia" w:ascii="楷体_GB2312" w:hAnsi="宋体" w:eastAsia="楷体_GB2312"/>
          <w:b/>
          <w:bCs/>
          <w:szCs w:val="21"/>
        </w:rPr>
        <w:t>限</w:t>
      </w:r>
      <w:r>
        <w:rPr>
          <w:rFonts w:ascii="楷体_GB2312" w:hAnsi="宋体" w:eastAsia="楷体_GB2312"/>
          <w:b/>
          <w:bCs/>
          <w:szCs w:val="21"/>
        </w:rPr>
        <w:t>为</w:t>
      </w:r>
      <w:r>
        <w:rPr>
          <w:rFonts w:hint="eastAsia" w:ascii="楷体_GB2312" w:hAnsi="宋体" w:eastAsia="楷体_GB2312"/>
          <w:b/>
          <w:bCs/>
          <w:color w:val="auto"/>
          <w:szCs w:val="21"/>
          <w:u w:val="single"/>
          <w:lang w:eastAsia="zh-CN"/>
        </w:rPr>
        <w:t>【</w:t>
      </w:r>
      <w:r>
        <w:rPr>
          <w:rFonts w:hint="eastAsia" w:ascii="楷体" w:hAnsi="楷体" w:eastAsia="楷体"/>
          <w:b/>
          <w:bCs/>
          <w:color w:val="C00000"/>
          <w:szCs w:val="22"/>
          <w:u w:val="single"/>
          <w:lang w:val="en-US" w:eastAsia="zh-CN"/>
        </w:rPr>
        <w:t>5</w:t>
      </w:r>
      <w:r>
        <w:rPr>
          <w:rFonts w:hint="eastAsia" w:ascii="楷体_GB2312" w:hAnsi="宋体" w:eastAsia="楷体_GB2312"/>
          <w:b/>
          <w:bCs/>
          <w:color w:val="C00000"/>
          <w:szCs w:val="21"/>
          <w:u w:val="single"/>
          <w:lang w:val="en-US" w:eastAsia="zh-CN"/>
        </w:rPr>
        <w:t>0</w:t>
      </w:r>
      <w:r>
        <w:rPr>
          <w:rFonts w:hint="eastAsia" w:ascii="楷体_GB2312" w:hAnsi="宋体" w:eastAsia="楷体_GB2312"/>
          <w:b/>
          <w:bCs/>
          <w:color w:val="auto"/>
          <w:szCs w:val="21"/>
          <w:u w:val="single"/>
          <w:lang w:val="en-US" w:eastAsia="zh-CN"/>
        </w:rPr>
        <w:t>】</w:t>
      </w:r>
      <w:r>
        <w:rPr>
          <w:rFonts w:hint="eastAsia" w:ascii="楷体_GB2312" w:hAnsi="宋体" w:eastAsia="楷体_GB2312"/>
          <w:b/>
          <w:bCs/>
          <w:color w:val="auto"/>
          <w:szCs w:val="21"/>
          <w:u w:val="single"/>
        </w:rPr>
        <w:t>亿元</w:t>
      </w:r>
      <w:r>
        <w:rPr>
          <w:rFonts w:ascii="楷体_GB2312" w:hAnsi="宋体" w:eastAsia="楷体_GB2312"/>
          <w:b/>
          <w:bCs/>
          <w:szCs w:val="21"/>
        </w:rPr>
        <w:t>，如产品发行规模达到规模上限，</w:t>
      </w:r>
      <w:r>
        <w:rPr>
          <w:rFonts w:hint="eastAsia" w:ascii="楷体_GB2312" w:hAnsi="宋体" w:eastAsia="楷体_GB2312" w:cs="楷体_GB2312"/>
          <w:b/>
          <w:bCs/>
        </w:rPr>
        <w:t>管理人有权</w:t>
      </w:r>
      <w:r>
        <w:rPr>
          <w:rFonts w:ascii="楷体_GB2312" w:hAnsi="宋体" w:eastAsia="楷体_GB2312" w:cs="楷体_GB2312"/>
          <w:b/>
          <w:bCs/>
        </w:rPr>
        <w:t>暂停</w:t>
      </w:r>
      <w:r>
        <w:rPr>
          <w:rFonts w:hint="eastAsia" w:ascii="楷体_GB2312" w:hAnsi="宋体" w:eastAsia="楷体_GB2312"/>
          <w:b/>
          <w:bCs/>
          <w:szCs w:val="21"/>
        </w:rPr>
        <w:t>受理</w:t>
      </w:r>
      <w:r>
        <w:rPr>
          <w:rFonts w:ascii="楷体_GB2312" w:hAnsi="宋体" w:eastAsia="楷体_GB2312"/>
          <w:b/>
          <w:bCs/>
          <w:szCs w:val="21"/>
        </w:rPr>
        <w:t>该</w:t>
      </w:r>
      <w:r>
        <w:rPr>
          <w:rFonts w:hint="eastAsia" w:ascii="楷体_GB2312" w:hAnsi="宋体" w:eastAsia="楷体_GB2312"/>
          <w:b/>
          <w:bCs/>
          <w:szCs w:val="21"/>
        </w:rPr>
        <w:t>产品</w:t>
      </w:r>
      <w:r>
        <w:rPr>
          <w:rFonts w:ascii="楷体_GB2312" w:hAnsi="宋体" w:eastAsia="楷体_GB2312"/>
          <w:b/>
          <w:bCs/>
          <w:szCs w:val="21"/>
        </w:rPr>
        <w:t>的</w:t>
      </w:r>
      <w:r>
        <w:rPr>
          <w:rFonts w:hint="eastAsia" w:ascii="楷体_GB2312" w:hAnsi="宋体" w:eastAsia="楷体_GB2312"/>
          <w:b/>
          <w:bCs/>
          <w:szCs w:val="21"/>
        </w:rPr>
        <w:t>申</w:t>
      </w:r>
      <w:r>
        <w:rPr>
          <w:rFonts w:ascii="楷体_GB2312" w:hAnsi="宋体" w:eastAsia="楷体_GB2312"/>
          <w:b/>
          <w:bCs/>
          <w:szCs w:val="21"/>
        </w:rPr>
        <w:t>购申请</w:t>
      </w:r>
      <w:r>
        <w:rPr>
          <w:rFonts w:hint="eastAsia" w:ascii="楷体_GB2312" w:hAnsi="宋体" w:eastAsia="楷体_GB2312"/>
          <w:b/>
          <w:bCs/>
          <w:szCs w:val="21"/>
        </w:rPr>
        <w:t>。</w:t>
      </w:r>
      <w:r>
        <w:rPr>
          <w:rFonts w:hint="eastAsia" w:ascii="楷体" w:hAnsi="楷体" w:eastAsia="楷体"/>
          <w:b/>
          <w:bCs/>
        </w:rPr>
        <w:t>管理人有权对本理财产品规模上限进行调整。</w:t>
      </w:r>
      <w:r>
        <w:rPr>
          <w:rFonts w:hint="eastAsia" w:ascii="楷体" w:hAnsi="楷体" w:eastAsia="楷体" w:cs="楷体"/>
          <w:b/>
          <w:bCs/>
        </w:rPr>
        <w:t>销售机构实际</w:t>
      </w:r>
      <w:r>
        <w:rPr>
          <w:rFonts w:hint="eastAsia" w:ascii="楷体" w:hAnsi="楷体" w:eastAsia="楷体" w:cs="楷体"/>
          <w:b/>
          <w:bCs/>
          <w:lang w:val="en-US" w:eastAsia="zh-CN"/>
        </w:rPr>
        <w:t>销售规模限制</w:t>
      </w:r>
      <w:r>
        <w:rPr>
          <w:rFonts w:hint="eastAsia" w:ascii="楷体" w:hAnsi="楷体" w:eastAsia="楷体" w:cs="楷体"/>
          <w:b/>
          <w:bCs/>
        </w:rPr>
        <w:t>可能与《产品说明书》不一致，具体以销售机构</w:t>
      </w:r>
      <w:r>
        <w:rPr>
          <w:rFonts w:hint="eastAsia" w:ascii="楷体" w:hAnsi="楷体" w:eastAsia="楷体" w:cs="楷体"/>
          <w:b/>
          <w:bCs/>
          <w:color w:val="000000" w:themeColor="text1"/>
          <w14:textFill>
            <w14:solidFill>
              <w14:schemeClr w14:val="tx1"/>
            </w14:solidFill>
          </w14:textFill>
        </w:rPr>
        <w:t>规则为准</w:t>
      </w:r>
      <w:r>
        <w:rPr>
          <w:rFonts w:hint="eastAsia" w:ascii="楷体" w:hAnsi="楷体" w:eastAsia="楷体" w:cs="楷体"/>
          <w:b/>
          <w:bCs/>
        </w:rPr>
        <w:t>。</w:t>
      </w:r>
    </w:p>
    <w:p>
      <w:pPr>
        <w:spacing w:line="360" w:lineRule="auto"/>
        <w:ind w:firstLine="422" w:firstLineChars="200"/>
        <w:contextualSpacing/>
        <w:outlineLvl w:val="2"/>
        <w:rPr>
          <w:rFonts w:ascii="楷体_GB2312" w:hAnsi="宋体" w:eastAsia="楷体_GB2312"/>
          <w:b/>
          <w:bCs/>
          <w:szCs w:val="21"/>
        </w:rPr>
      </w:pPr>
      <w:r>
        <w:rPr>
          <w:rFonts w:hint="eastAsia" w:ascii="楷体_GB2312" w:hAnsi="宋体" w:eastAsia="楷体_GB2312"/>
          <w:b/>
          <w:bCs/>
          <w:szCs w:val="21"/>
          <w:lang w:val="en-US" w:eastAsia="zh-CN"/>
        </w:rPr>
        <w:t>4</w:t>
      </w:r>
      <w:r>
        <w:rPr>
          <w:rFonts w:hint="eastAsia" w:ascii="楷体_GB2312" w:hAnsi="宋体" w:eastAsia="楷体_GB2312"/>
          <w:b/>
          <w:bCs/>
          <w:szCs w:val="21"/>
        </w:rPr>
        <w:t>.申购</w:t>
      </w:r>
      <w:r>
        <w:rPr>
          <w:rFonts w:ascii="楷体_GB2312" w:hAnsi="宋体" w:eastAsia="楷体_GB2312"/>
          <w:b/>
          <w:bCs/>
          <w:szCs w:val="21"/>
        </w:rPr>
        <w:t>/赎回</w:t>
      </w:r>
      <w:r>
        <w:rPr>
          <w:rFonts w:hint="eastAsia" w:ascii="楷体_GB2312" w:hAnsi="宋体" w:eastAsia="楷体_GB2312"/>
          <w:b/>
          <w:bCs/>
          <w:szCs w:val="21"/>
        </w:rPr>
        <w:t>规则</w:t>
      </w:r>
    </w:p>
    <w:p>
      <w:pPr>
        <w:spacing w:line="360" w:lineRule="auto"/>
        <w:ind w:firstLine="422" w:firstLineChars="200"/>
        <w:contextualSpacing/>
        <w:rPr>
          <w:rFonts w:hint="eastAsia" w:ascii="楷体_GB2312" w:hAnsi="宋体" w:eastAsia="楷体_GB2312"/>
          <w:b/>
          <w:bCs/>
          <w:szCs w:val="21"/>
          <w:lang w:eastAsia="zh-CN"/>
        </w:rPr>
      </w:pPr>
      <w:r>
        <w:rPr>
          <w:rFonts w:hint="eastAsia" w:ascii="楷体_GB2312" w:hAnsi="宋体" w:eastAsia="楷体_GB2312"/>
          <w:b/>
          <w:bCs/>
          <w:szCs w:val="21"/>
        </w:rPr>
        <w:t>（1）投资者赎回本理财</w:t>
      </w:r>
      <w:r>
        <w:rPr>
          <w:rFonts w:hint="eastAsia" w:ascii="楷体_GB2312" w:hAnsi="宋体" w:eastAsia="楷体_GB2312"/>
          <w:b/>
          <w:bCs/>
          <w:szCs w:val="21"/>
          <w:lang w:val="en-US" w:eastAsia="zh-CN"/>
        </w:rPr>
        <w:t>产品</w:t>
      </w:r>
      <w:r>
        <w:rPr>
          <w:rFonts w:hint="eastAsia" w:ascii="楷体_GB2312" w:hAnsi="宋体" w:eastAsia="楷体_GB2312"/>
          <w:b/>
          <w:bCs/>
          <w:szCs w:val="21"/>
        </w:rPr>
        <w:t>时，管理人不承诺保证本金，也不承诺任何收益</w:t>
      </w:r>
      <w:r>
        <w:rPr>
          <w:rFonts w:hint="eastAsia" w:ascii="楷体_GB2312" w:hAnsi="宋体" w:eastAsia="楷体_GB2312"/>
          <w:b/>
          <w:bCs/>
          <w:szCs w:val="21"/>
          <w:lang w:eastAsia="zh-CN"/>
        </w:rPr>
        <w:t>。</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2</w:t>
      </w:r>
      <w:r>
        <w:rPr>
          <w:rFonts w:hint="eastAsia" w:ascii="楷体_GB2312" w:hAnsi="宋体" w:eastAsia="楷体_GB2312"/>
          <w:b/>
          <w:bCs/>
          <w:szCs w:val="21"/>
          <w:lang w:eastAsia="zh-CN"/>
        </w:rPr>
        <w:t>）</w:t>
      </w:r>
      <w:r>
        <w:rPr>
          <w:rFonts w:ascii="楷体_GB2312" w:hAnsi="宋体" w:eastAsia="楷体_GB2312"/>
          <w:b/>
          <w:bCs/>
          <w:szCs w:val="21"/>
        </w:rPr>
        <w:t>投资者申购、赎回本理财产品时，采用“未知价”原则，即本理财产品申购和赎回价格为</w:t>
      </w:r>
      <w:r>
        <w:rPr>
          <w:rFonts w:hint="eastAsia" w:ascii="楷体_GB2312" w:hAnsi="宋体" w:eastAsia="楷体_GB2312"/>
          <w:b/>
          <w:bCs/>
          <w:szCs w:val="21"/>
        </w:rPr>
        <w:t>对应确认日</w:t>
      </w:r>
      <w:r>
        <w:rPr>
          <w:rFonts w:hint="eastAsia" w:ascii="楷体_GB2312" w:hAnsi="宋体" w:eastAsia="楷体_GB2312"/>
          <w:b/>
          <w:bCs/>
          <w:szCs w:val="21"/>
          <w:lang w:val="en-US" w:eastAsia="zh-CN"/>
        </w:rPr>
        <w:t>前一交易日</w:t>
      </w:r>
      <w:r>
        <w:rPr>
          <w:rFonts w:ascii="楷体_GB2312" w:hAnsi="宋体" w:eastAsia="楷体_GB2312"/>
          <w:b/>
          <w:bCs/>
          <w:szCs w:val="21"/>
        </w:rPr>
        <w:t>的理财产品</w:t>
      </w:r>
      <w:r>
        <w:rPr>
          <w:rFonts w:hint="eastAsia" w:ascii="楷体_GB2312" w:hAnsi="宋体" w:eastAsia="楷体_GB2312"/>
          <w:b/>
          <w:bCs/>
          <w:szCs w:val="21"/>
          <w:lang w:val="en-US" w:eastAsia="zh-CN"/>
        </w:rPr>
        <w:t>份额</w:t>
      </w:r>
      <w:r>
        <w:rPr>
          <w:rFonts w:ascii="楷体_GB2312" w:hAnsi="宋体" w:eastAsia="楷体_GB2312"/>
          <w:b/>
          <w:bCs/>
          <w:szCs w:val="21"/>
        </w:rPr>
        <w:t>净值；</w:t>
      </w:r>
      <w:r>
        <w:rPr>
          <w:rFonts w:hint="eastAsia" w:ascii="楷体_GB2312" w:hAnsi="宋体" w:eastAsia="楷体_GB2312"/>
          <w:b/>
          <w:bCs/>
          <w:szCs w:val="21"/>
          <w:lang w:val="en-US" w:eastAsia="zh-CN"/>
        </w:rPr>
        <w:t>理财</w:t>
      </w:r>
      <w:r>
        <w:rPr>
          <w:rFonts w:ascii="楷体_GB2312" w:hAnsi="宋体" w:eastAsia="楷体_GB2312"/>
          <w:b/>
          <w:bCs/>
          <w:szCs w:val="21"/>
        </w:rPr>
        <w:t>产品</w:t>
      </w:r>
      <w:r>
        <w:rPr>
          <w:rFonts w:hint="eastAsia" w:ascii="楷体_GB2312" w:hAnsi="宋体" w:eastAsia="楷体_GB2312"/>
          <w:b/>
          <w:bCs/>
          <w:szCs w:val="21"/>
          <w:lang w:val="en-US" w:eastAsia="zh-CN"/>
        </w:rPr>
        <w:t>份额</w:t>
      </w:r>
      <w:r>
        <w:rPr>
          <w:rFonts w:ascii="楷体_GB2312" w:hAnsi="宋体" w:eastAsia="楷体_GB2312"/>
          <w:b/>
          <w:bCs/>
          <w:szCs w:val="21"/>
        </w:rPr>
        <w:t>净值的公布详见</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产品说明书</w:t>
      </w:r>
      <w:r>
        <w:rPr>
          <w:rFonts w:hint="eastAsia" w:ascii="楷体_GB2312" w:hAnsi="宋体" w:eastAsia="楷体_GB2312"/>
          <w:b/>
          <w:bCs/>
          <w:szCs w:val="21"/>
          <w:lang w:eastAsia="zh-CN"/>
        </w:rPr>
        <w:t>》</w:t>
      </w:r>
      <w:r>
        <w:rPr>
          <w:rFonts w:ascii="楷体_GB2312" w:hAnsi="宋体" w:eastAsia="楷体_GB2312"/>
          <w:b/>
          <w:bCs/>
          <w:szCs w:val="21"/>
        </w:rPr>
        <w:t>“理财产品估值”。</w:t>
      </w:r>
    </w:p>
    <w:p>
      <w:pPr>
        <w:spacing w:line="360" w:lineRule="auto"/>
        <w:ind w:firstLine="422" w:firstLineChars="200"/>
        <w:contextualSpacing/>
        <w:rPr>
          <w:rFonts w:hint="eastAsia" w:ascii="楷体_GB2312" w:hAnsi="宋体" w:eastAsia="楷体_GB2312"/>
          <w:b/>
          <w:bCs/>
          <w:szCs w:val="21"/>
          <w:lang w:eastAsia="zh-CN"/>
        </w:rPr>
      </w:pPr>
      <w:r>
        <w:rPr>
          <w:rFonts w:hint="eastAsia" w:ascii="楷体_GB2312" w:hAnsi="宋体" w:eastAsia="楷体_GB2312"/>
          <w:b/>
          <w:bCs/>
          <w:szCs w:val="21"/>
        </w:rPr>
        <w:t>（</w:t>
      </w:r>
      <w:r>
        <w:rPr>
          <w:rFonts w:hint="eastAsia" w:ascii="楷体_GB2312" w:hAnsi="宋体" w:eastAsia="楷体_GB2312"/>
          <w:b/>
          <w:bCs/>
          <w:szCs w:val="21"/>
          <w:lang w:val="en-US" w:eastAsia="zh-CN"/>
        </w:rPr>
        <w:t>3</w:t>
      </w:r>
      <w:r>
        <w:rPr>
          <w:rFonts w:hint="eastAsia" w:ascii="楷体_GB2312" w:hAnsi="宋体" w:eastAsia="楷体_GB2312"/>
          <w:b/>
          <w:bCs/>
          <w:szCs w:val="21"/>
        </w:rPr>
        <w:t>）本理财</w:t>
      </w:r>
      <w:r>
        <w:rPr>
          <w:rFonts w:hint="eastAsia" w:ascii="楷体_GB2312" w:hAnsi="宋体" w:eastAsia="楷体_GB2312"/>
          <w:b/>
          <w:bCs/>
          <w:szCs w:val="21"/>
          <w:lang w:val="en-US" w:eastAsia="zh-CN"/>
        </w:rPr>
        <w:t>产品</w:t>
      </w:r>
      <w:r>
        <w:rPr>
          <w:rFonts w:hint="eastAsia" w:ascii="楷体_GB2312" w:hAnsi="宋体" w:eastAsia="楷体_GB2312"/>
          <w:b/>
          <w:bCs/>
          <w:szCs w:val="21"/>
        </w:rPr>
        <w:t>采用金额申购、份额赎回的原则，即申购以金额申请，赎回以份额赎回</w:t>
      </w:r>
      <w:r>
        <w:rPr>
          <w:rFonts w:hint="eastAsia" w:ascii="楷体_GB2312" w:hAnsi="宋体" w:eastAsia="楷体_GB2312"/>
          <w:b/>
          <w:bCs/>
          <w:szCs w:val="21"/>
          <w:lang w:eastAsia="zh-CN"/>
        </w:rPr>
        <w:t>。</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4</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投资者可于</w:t>
      </w:r>
      <w:r>
        <w:rPr>
          <w:rFonts w:hint="eastAsia" w:ascii="楷体_GB2312" w:hAnsi="宋体" w:eastAsia="楷体_GB2312"/>
          <w:b/>
          <w:bCs/>
          <w:szCs w:val="21"/>
        </w:rPr>
        <w:t>申购开放日向销售机构提出申购申请</w:t>
      </w:r>
      <w:r>
        <w:rPr>
          <w:rFonts w:hint="eastAsia" w:ascii="楷体_GB2312" w:hAnsi="宋体" w:eastAsia="楷体_GB2312"/>
          <w:b/>
          <w:bCs/>
          <w:szCs w:val="21"/>
          <w:lang w:val="en-US" w:eastAsia="zh-CN"/>
        </w:rPr>
        <w:t>，</w:t>
      </w:r>
      <w:r>
        <w:rPr>
          <w:rFonts w:hint="eastAsia" w:ascii="楷体_GB2312" w:hAnsi="宋体" w:eastAsia="楷体_GB2312"/>
          <w:b/>
          <w:bCs/>
          <w:szCs w:val="21"/>
          <w:highlight w:val="none"/>
          <w:lang w:eastAsia="zh-CN"/>
        </w:rPr>
        <w:t>管理人按照先申请、先申购原则确认申购申请，如累计申购份额已达到产品规模上限，</w:t>
      </w:r>
      <w:r>
        <w:rPr>
          <w:rFonts w:hint="eastAsia" w:ascii="楷体_GB2312" w:hAnsi="宋体" w:eastAsia="楷体_GB2312"/>
          <w:b/>
          <w:bCs/>
          <w:szCs w:val="21"/>
        </w:rPr>
        <w:t>管理人</w:t>
      </w:r>
      <w:r>
        <w:rPr>
          <w:rFonts w:hint="eastAsia" w:ascii="楷体_GB2312" w:hAnsi="宋体" w:eastAsia="楷体_GB2312"/>
          <w:b/>
          <w:bCs/>
          <w:szCs w:val="21"/>
          <w:highlight w:val="none"/>
          <w:lang w:eastAsia="zh-CN"/>
        </w:rPr>
        <w:t>有权</w:t>
      </w:r>
      <w:r>
        <w:rPr>
          <w:rFonts w:hint="eastAsia" w:ascii="楷体_GB2312" w:hAnsi="宋体" w:eastAsia="楷体_GB2312"/>
          <w:b/>
          <w:bCs/>
          <w:szCs w:val="21"/>
          <w:highlight w:val="none"/>
          <w:lang w:val="en-US" w:eastAsia="zh-CN"/>
        </w:rPr>
        <w:t>暂停接受</w:t>
      </w:r>
      <w:r>
        <w:rPr>
          <w:rFonts w:hint="eastAsia" w:ascii="楷体_GB2312" w:hAnsi="宋体" w:eastAsia="楷体_GB2312"/>
          <w:b/>
          <w:bCs/>
          <w:szCs w:val="21"/>
          <w:highlight w:val="none"/>
          <w:lang w:eastAsia="zh-CN"/>
        </w:rPr>
        <w:t>超出产品规模上限部分的申购申请。</w:t>
      </w:r>
    </w:p>
    <w:p>
      <w:pPr>
        <w:spacing w:line="360" w:lineRule="auto"/>
        <w:ind w:firstLine="422" w:firstLineChars="200"/>
        <w:contextualSpacing/>
        <w:rPr>
          <w:rFonts w:hint="eastAsia" w:ascii="楷体_GB2312" w:hAnsi="宋体" w:eastAsia="楷体_GB2312"/>
          <w:b/>
          <w:bCs/>
          <w:szCs w:val="21"/>
          <w:lang w:eastAsia="zh-CN"/>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5</w:t>
      </w:r>
      <w:r>
        <w:rPr>
          <w:rFonts w:hint="eastAsia" w:ascii="楷体_GB2312" w:hAnsi="宋体" w:eastAsia="楷体_GB2312"/>
          <w:b/>
          <w:bCs/>
          <w:szCs w:val="21"/>
          <w:lang w:eastAsia="zh-CN"/>
        </w:rPr>
        <w:t>）</w:t>
      </w:r>
      <w:r>
        <w:rPr>
          <w:rFonts w:ascii="楷体_GB2312" w:hAnsi="宋体" w:eastAsia="楷体_GB2312"/>
          <w:b/>
          <w:bCs/>
          <w:szCs w:val="21"/>
        </w:rPr>
        <w:t>本理财产品客户首次</w:t>
      </w:r>
      <w:r>
        <w:rPr>
          <w:rFonts w:hint="eastAsia" w:ascii="楷体_GB2312" w:hAnsi="宋体" w:eastAsia="楷体_GB2312"/>
          <w:b/>
          <w:bCs/>
          <w:szCs w:val="21"/>
        </w:rPr>
        <w:t>申购</w:t>
      </w:r>
      <w:r>
        <w:rPr>
          <w:rFonts w:ascii="楷体_GB2312" w:hAnsi="宋体" w:eastAsia="楷体_GB2312"/>
          <w:b/>
          <w:bCs/>
          <w:szCs w:val="21"/>
        </w:rPr>
        <w:t>的最低金额为</w:t>
      </w:r>
      <w:r>
        <w:rPr>
          <w:rFonts w:hint="eastAsia" w:ascii="楷体_GB2312" w:hAnsi="宋体" w:eastAsia="楷体_GB2312"/>
          <w:b/>
          <w:bCs/>
          <w:szCs w:val="21"/>
          <w:u w:val="single"/>
          <w:lang w:eastAsia="zh-CN"/>
        </w:rPr>
        <w:t>【</w:t>
      </w:r>
      <w:r>
        <w:rPr>
          <w:rFonts w:ascii="楷体_GB2312" w:hAnsi="宋体" w:eastAsia="楷体_GB2312"/>
          <w:b/>
          <w:bCs/>
          <w:color w:val="C00000"/>
          <w:szCs w:val="21"/>
          <w:u w:val="single"/>
        </w:rPr>
        <w:t>1</w:t>
      </w:r>
      <w:r>
        <w:rPr>
          <w:rFonts w:hint="eastAsia" w:ascii="楷体_GB2312" w:hAnsi="宋体" w:eastAsia="楷体_GB2312"/>
          <w:b/>
          <w:bCs/>
          <w:color w:val="auto"/>
          <w:szCs w:val="21"/>
          <w:u w:val="single"/>
          <w:lang w:eastAsia="zh-CN"/>
        </w:rPr>
        <w:t>】</w:t>
      </w:r>
      <w:r>
        <w:rPr>
          <w:rFonts w:ascii="楷体_GB2312" w:hAnsi="宋体" w:eastAsia="楷体_GB2312"/>
          <w:b/>
          <w:bCs/>
          <w:color w:val="auto"/>
          <w:szCs w:val="21"/>
          <w:u w:val="single"/>
        </w:rPr>
        <w:t>元</w:t>
      </w:r>
      <w:r>
        <w:rPr>
          <w:rFonts w:hint="eastAsia" w:ascii="楷体_GB2312" w:hAnsi="宋体" w:eastAsia="楷体_GB2312"/>
          <w:b/>
          <w:bCs/>
          <w:szCs w:val="21"/>
        </w:rPr>
        <w:t>，超出部分应为</w:t>
      </w:r>
      <w:r>
        <w:rPr>
          <w:rFonts w:hint="eastAsia" w:ascii="楷体_GB2312" w:hAnsi="宋体" w:eastAsia="楷体_GB2312"/>
          <w:b/>
          <w:bCs/>
          <w:szCs w:val="21"/>
          <w:u w:val="single"/>
          <w:lang w:eastAsia="zh-CN"/>
        </w:rPr>
        <w:t>【</w:t>
      </w:r>
      <w:r>
        <w:rPr>
          <w:rFonts w:ascii="楷体_GB2312" w:hAnsi="宋体" w:eastAsia="楷体_GB2312"/>
          <w:b/>
          <w:bCs/>
          <w:color w:val="C00000"/>
          <w:szCs w:val="21"/>
          <w:u w:val="single"/>
        </w:rPr>
        <w:t>1</w:t>
      </w:r>
      <w:r>
        <w:rPr>
          <w:rFonts w:hint="eastAsia" w:ascii="楷体_GB2312" w:hAnsi="宋体" w:eastAsia="楷体_GB2312"/>
          <w:b/>
          <w:bCs/>
          <w:color w:val="auto"/>
          <w:szCs w:val="21"/>
          <w:u w:val="single"/>
          <w:lang w:eastAsia="zh-CN"/>
        </w:rPr>
        <w:t>】</w:t>
      </w:r>
      <w:r>
        <w:rPr>
          <w:rFonts w:hint="eastAsia" w:ascii="楷体_GB2312" w:hAnsi="宋体" w:eastAsia="楷体_GB2312"/>
          <w:b/>
          <w:bCs/>
          <w:color w:val="auto"/>
          <w:szCs w:val="21"/>
          <w:u w:val="single"/>
        </w:rPr>
        <w:t>元</w:t>
      </w:r>
      <w:r>
        <w:rPr>
          <w:rFonts w:hint="eastAsia" w:ascii="楷体_GB2312" w:hAnsi="宋体" w:eastAsia="楷体_GB2312"/>
          <w:b/>
          <w:bCs/>
          <w:color w:val="auto"/>
          <w:szCs w:val="21"/>
          <w:u w:val="none"/>
        </w:rPr>
        <w:t>的整数倍</w:t>
      </w:r>
      <w:r>
        <w:rPr>
          <w:rFonts w:hint="eastAsia" w:ascii="楷体_GB2312" w:hAnsi="宋体" w:eastAsia="楷体_GB2312"/>
          <w:b/>
          <w:bCs/>
          <w:szCs w:val="21"/>
        </w:rPr>
        <w:t>。最低追加申购金额为</w:t>
      </w:r>
      <w:r>
        <w:rPr>
          <w:rFonts w:hint="eastAsia" w:ascii="楷体_GB2312" w:hAnsi="宋体" w:eastAsia="楷体_GB2312"/>
          <w:b/>
          <w:bCs/>
          <w:szCs w:val="21"/>
          <w:u w:val="single"/>
          <w:lang w:eastAsia="zh-CN"/>
        </w:rPr>
        <w:t>【</w:t>
      </w:r>
      <w:r>
        <w:rPr>
          <w:rFonts w:ascii="楷体_GB2312" w:hAnsi="宋体" w:eastAsia="楷体_GB2312"/>
          <w:b/>
          <w:bCs/>
          <w:color w:val="C00000"/>
          <w:szCs w:val="21"/>
          <w:u w:val="single"/>
        </w:rPr>
        <w:t>1</w:t>
      </w:r>
      <w:r>
        <w:rPr>
          <w:rFonts w:hint="eastAsia" w:ascii="楷体_GB2312" w:hAnsi="宋体" w:eastAsia="楷体_GB2312"/>
          <w:b/>
          <w:bCs/>
          <w:color w:val="auto"/>
          <w:szCs w:val="21"/>
          <w:u w:val="single"/>
          <w:lang w:eastAsia="zh-CN"/>
        </w:rPr>
        <w:t>】</w:t>
      </w:r>
      <w:r>
        <w:rPr>
          <w:rFonts w:hint="eastAsia" w:ascii="楷体_GB2312" w:hAnsi="宋体" w:eastAsia="楷体_GB2312"/>
          <w:b/>
          <w:bCs/>
          <w:color w:val="auto"/>
          <w:szCs w:val="21"/>
          <w:u w:val="single"/>
        </w:rPr>
        <w:t>元</w:t>
      </w:r>
      <w:r>
        <w:rPr>
          <w:rFonts w:hint="eastAsia" w:ascii="楷体_GB2312" w:hAnsi="宋体" w:eastAsia="楷体_GB2312"/>
          <w:b/>
          <w:bCs/>
          <w:szCs w:val="21"/>
        </w:rPr>
        <w:t>，超出部分应为</w:t>
      </w:r>
      <w:r>
        <w:rPr>
          <w:rFonts w:hint="eastAsia" w:ascii="楷体_GB2312" w:hAnsi="宋体" w:eastAsia="楷体_GB2312"/>
          <w:b/>
          <w:bCs/>
          <w:szCs w:val="21"/>
          <w:u w:val="single"/>
          <w:lang w:eastAsia="zh-CN"/>
        </w:rPr>
        <w:t>【</w:t>
      </w:r>
      <w:r>
        <w:rPr>
          <w:rFonts w:ascii="楷体_GB2312" w:hAnsi="宋体" w:eastAsia="楷体_GB2312"/>
          <w:b/>
          <w:bCs/>
          <w:color w:val="C00000"/>
          <w:szCs w:val="21"/>
          <w:u w:val="single"/>
        </w:rPr>
        <w:t>1</w:t>
      </w:r>
      <w:r>
        <w:rPr>
          <w:rFonts w:hint="eastAsia" w:ascii="楷体_GB2312" w:hAnsi="宋体" w:eastAsia="楷体_GB2312"/>
          <w:b/>
          <w:bCs/>
          <w:color w:val="auto"/>
          <w:szCs w:val="21"/>
          <w:u w:val="single"/>
          <w:lang w:eastAsia="zh-CN"/>
        </w:rPr>
        <w:t>】</w:t>
      </w:r>
      <w:r>
        <w:rPr>
          <w:rFonts w:hint="eastAsia" w:ascii="楷体_GB2312" w:hAnsi="宋体" w:eastAsia="楷体_GB2312"/>
          <w:b/>
          <w:bCs/>
          <w:color w:val="auto"/>
          <w:szCs w:val="21"/>
          <w:u w:val="single"/>
        </w:rPr>
        <w:t>元</w:t>
      </w:r>
      <w:r>
        <w:rPr>
          <w:rFonts w:hint="eastAsia" w:ascii="楷体_GB2312" w:hAnsi="宋体" w:eastAsia="楷体_GB2312"/>
          <w:b/>
          <w:bCs/>
          <w:color w:val="auto"/>
          <w:szCs w:val="21"/>
          <w:u w:val="none"/>
        </w:rPr>
        <w:t>的整数倍</w:t>
      </w:r>
      <w:r>
        <w:rPr>
          <w:rFonts w:hint="eastAsia" w:ascii="楷体_GB2312" w:hAnsi="宋体" w:eastAsia="楷体_GB2312"/>
          <w:b/>
          <w:bCs/>
          <w:szCs w:val="21"/>
        </w:rPr>
        <w:t>。</w:t>
      </w:r>
      <w:r>
        <w:rPr>
          <w:rFonts w:hint="eastAsia" w:ascii="楷体" w:hAnsi="楷体" w:eastAsia="楷体" w:cs="楷体"/>
          <w:b/>
          <w:bCs/>
          <w:color w:val="auto"/>
          <w:szCs w:val="21"/>
          <w:u w:val="none"/>
          <w:lang w:val="en-US" w:eastAsia="zh-CN"/>
        </w:rPr>
        <w:t>本理财产品在代理销售机构的实际销售起点金额，因代理销售机构的不同可能存在差异（可能高于销售文件约定的销售起点金额），应当以代理销售机构展示为准。代理销售机构的实际销售起点金额，不得低于销售文件约定的销售起点金额。</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（6）</w:t>
      </w:r>
      <w:r>
        <w:rPr>
          <w:rFonts w:hint="eastAsia" w:ascii="楷体_GB2312" w:hAnsi="宋体" w:eastAsia="楷体_GB2312"/>
          <w:b/>
          <w:bCs/>
          <w:szCs w:val="21"/>
          <w:highlight w:val="none"/>
          <w:lang w:val="en-US" w:eastAsia="zh-CN"/>
        </w:rPr>
        <w:t>本理财产品</w:t>
      </w:r>
      <w:r>
        <w:rPr>
          <w:rFonts w:hint="eastAsia" w:ascii="楷体_GB2312" w:hAnsi="宋体" w:eastAsia="楷体_GB2312"/>
          <w:b/>
          <w:bCs/>
          <w:szCs w:val="21"/>
          <w:highlight w:val="none"/>
        </w:rPr>
        <w:t>单户累计最大购买金额为</w:t>
      </w:r>
      <w:r>
        <w:rPr>
          <w:rFonts w:hint="eastAsia" w:ascii="楷体_GB2312" w:hAnsi="宋体" w:eastAsia="楷体_GB2312"/>
          <w:b/>
          <w:bCs/>
          <w:color w:val="auto"/>
          <w:szCs w:val="21"/>
          <w:highlight w:val="none"/>
          <w:u w:val="single"/>
          <w:lang w:eastAsia="zh-CN"/>
        </w:rPr>
        <w:t>【</w:t>
      </w:r>
      <w:r>
        <w:rPr>
          <w:rFonts w:hint="eastAsia" w:ascii="楷体_GB2312" w:hAnsi="宋体" w:eastAsia="楷体_GB2312"/>
          <w:b/>
          <w:bCs/>
          <w:color w:val="C00000"/>
          <w:szCs w:val="21"/>
          <w:highlight w:val="none"/>
          <w:u w:val="single"/>
          <w:lang w:val="en-US" w:eastAsia="zh-CN"/>
        </w:rPr>
        <w:t>5000</w:t>
      </w:r>
      <w:r>
        <w:rPr>
          <w:rFonts w:hint="eastAsia" w:ascii="楷体_GB2312" w:hAnsi="宋体" w:eastAsia="楷体_GB2312"/>
          <w:b/>
          <w:bCs/>
          <w:color w:val="auto"/>
          <w:szCs w:val="21"/>
          <w:highlight w:val="none"/>
          <w:u w:val="single"/>
          <w:lang w:val="en-US" w:eastAsia="zh-CN"/>
        </w:rPr>
        <w:t>】</w:t>
      </w:r>
      <w:r>
        <w:rPr>
          <w:rFonts w:hint="eastAsia" w:ascii="楷体_GB2312" w:hAnsi="宋体" w:eastAsia="楷体_GB2312"/>
          <w:b/>
          <w:bCs/>
          <w:color w:val="auto"/>
          <w:szCs w:val="21"/>
          <w:highlight w:val="none"/>
          <w:u w:val="single"/>
        </w:rPr>
        <w:t>万元</w:t>
      </w:r>
      <w:r>
        <w:rPr>
          <w:rFonts w:hint="eastAsia" w:ascii="楷体_GB2312" w:hAnsi="宋体" w:eastAsia="楷体_GB2312"/>
          <w:b/>
          <w:bCs/>
          <w:color w:val="auto"/>
          <w:szCs w:val="21"/>
          <w:highlight w:val="none"/>
          <w:u w:val="none"/>
          <w:lang w:eastAsia="zh-CN"/>
        </w:rPr>
        <w:t>，</w:t>
      </w:r>
      <w:r>
        <w:rPr>
          <w:rFonts w:hint="eastAsia" w:ascii="楷体_GB2312" w:hAnsi="宋体" w:eastAsia="楷体_GB2312"/>
          <w:b/>
          <w:bCs/>
          <w:color w:val="auto"/>
          <w:szCs w:val="21"/>
          <w:highlight w:val="none"/>
          <w:u w:val="none"/>
          <w:lang w:val="en-US" w:eastAsia="zh-CN"/>
        </w:rPr>
        <w:t>且</w:t>
      </w:r>
      <w:r>
        <w:rPr>
          <w:rFonts w:hint="eastAsia" w:ascii="楷体_GB2312" w:hAnsi="宋体" w:eastAsia="楷体_GB2312"/>
          <w:b/>
          <w:bCs/>
          <w:szCs w:val="21"/>
          <w:highlight w:val="none"/>
          <w:lang w:val="en-US" w:eastAsia="zh-CN"/>
        </w:rPr>
        <w:t>单一投资者持有份额不得超过产品总份额</w:t>
      </w:r>
      <w:r>
        <w:rPr>
          <w:rFonts w:hint="eastAsia" w:ascii="楷体_GB2312" w:hAnsi="宋体" w:eastAsia="楷体_GB2312"/>
          <w:b/>
          <w:bCs/>
          <w:color w:val="C00000"/>
          <w:szCs w:val="21"/>
          <w:highlight w:val="none"/>
          <w:u w:val="single"/>
          <w:lang w:val="en-US" w:eastAsia="zh-CN"/>
        </w:rPr>
        <w:t>50%</w:t>
      </w:r>
      <w:r>
        <w:rPr>
          <w:rFonts w:hint="eastAsia" w:ascii="楷体_GB2312" w:hAnsi="宋体" w:eastAsia="楷体_GB2312"/>
          <w:b/>
          <w:bCs/>
          <w:szCs w:val="21"/>
          <w:highlight w:val="none"/>
          <w:lang w:val="en-US" w:eastAsia="zh-CN"/>
        </w:rPr>
        <w:t>。投资者认购或申购确认后可能导致其持有份额超过产品总份额</w:t>
      </w:r>
      <w:r>
        <w:rPr>
          <w:rFonts w:hint="eastAsia" w:ascii="楷体_GB2312" w:hAnsi="宋体" w:eastAsia="楷体_GB2312"/>
          <w:b/>
          <w:bCs/>
          <w:color w:val="C00000"/>
          <w:szCs w:val="21"/>
          <w:highlight w:val="none"/>
          <w:u w:val="single"/>
          <w:lang w:val="en-US" w:eastAsia="zh-CN"/>
        </w:rPr>
        <w:t>50%</w:t>
      </w:r>
      <w:r>
        <w:rPr>
          <w:rFonts w:hint="eastAsia" w:ascii="楷体_GB2312" w:hAnsi="宋体" w:eastAsia="楷体_GB2312"/>
          <w:b/>
          <w:bCs/>
          <w:szCs w:val="21"/>
          <w:highlight w:val="none"/>
          <w:lang w:val="en-US" w:eastAsia="zh-CN"/>
        </w:rPr>
        <w:t>的，管理人有权拒绝或暂停认购、申购。非因管理人主观因素导致突破该比例限制的，在单一投资者持有比例降至</w:t>
      </w:r>
      <w:r>
        <w:rPr>
          <w:rFonts w:hint="eastAsia" w:ascii="楷体_GB2312" w:hAnsi="宋体" w:eastAsia="楷体_GB2312"/>
          <w:b/>
          <w:bCs/>
          <w:color w:val="C00000"/>
          <w:szCs w:val="21"/>
          <w:highlight w:val="none"/>
          <w:u w:val="single"/>
          <w:lang w:val="en-US" w:eastAsia="zh-CN"/>
        </w:rPr>
        <w:t>50%</w:t>
      </w:r>
      <w:r>
        <w:rPr>
          <w:rFonts w:hint="eastAsia" w:ascii="楷体_GB2312" w:hAnsi="宋体" w:eastAsia="楷体_GB2312"/>
          <w:b/>
          <w:bCs/>
          <w:szCs w:val="21"/>
          <w:highlight w:val="none"/>
          <w:lang w:val="en-US" w:eastAsia="zh-CN"/>
        </w:rPr>
        <w:t>以下之前，管理人不再接受该投资者对本产品的认购、申购申请。</w:t>
      </w:r>
    </w:p>
    <w:p>
      <w:pPr>
        <w:spacing w:line="360" w:lineRule="auto"/>
        <w:ind w:firstLine="422" w:firstLineChars="200"/>
        <w:contextualSpacing/>
        <w:rPr>
          <w:rFonts w:hint="eastAsia" w:ascii="楷体_GB2312" w:hAnsi="宋体" w:eastAsia="楷体_GB2312"/>
          <w:b/>
          <w:bCs/>
          <w:szCs w:val="21"/>
          <w:lang w:eastAsia="zh-CN"/>
        </w:rPr>
      </w:pP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lang w:val="en-US" w:eastAsia="zh-CN"/>
        </w:rPr>
        <w:t>7</w:t>
      </w:r>
      <w:r>
        <w:rPr>
          <w:rFonts w:hint="eastAsia" w:ascii="楷体_GB2312" w:hAnsi="宋体" w:eastAsia="楷体_GB2312"/>
          <w:b/>
          <w:bCs/>
          <w:szCs w:val="21"/>
          <w:highlight w:val="none"/>
          <w:lang w:eastAsia="zh-CN"/>
        </w:rPr>
        <w:t>）</w:t>
      </w:r>
      <w:r>
        <w:rPr>
          <w:rFonts w:hint="eastAsia" w:ascii="楷体_GB2312" w:hAnsi="宋体" w:eastAsia="楷体_GB2312"/>
          <w:b/>
          <w:bCs/>
          <w:szCs w:val="21"/>
        </w:rPr>
        <w:t>最短持有期之后，</w:t>
      </w:r>
      <w:r>
        <w:rPr>
          <w:rFonts w:ascii="楷体_GB2312" w:hAnsi="宋体" w:eastAsia="楷体_GB2312"/>
          <w:b/>
          <w:bCs/>
          <w:szCs w:val="21"/>
        </w:rPr>
        <w:t>投资者有权部分或全部赎回理财产品份额。</w:t>
      </w:r>
      <w:r>
        <w:rPr>
          <w:rFonts w:hint="eastAsia" w:ascii="楷体_GB2312" w:hAnsi="宋体" w:eastAsia="楷体_GB2312"/>
          <w:b/>
          <w:bCs/>
          <w:szCs w:val="21"/>
        </w:rPr>
        <w:t>赎回原则遵循“先进先出”原则</w:t>
      </w:r>
      <w:r>
        <w:rPr>
          <w:rFonts w:hint="eastAsia" w:ascii="楷体_GB2312" w:hAnsi="宋体" w:eastAsia="楷体_GB2312"/>
          <w:b/>
          <w:bCs/>
          <w:szCs w:val="21"/>
          <w:lang w:eastAsia="zh-CN"/>
        </w:rPr>
        <w:t>，</w:t>
      </w:r>
      <w:r>
        <w:rPr>
          <w:rFonts w:hint="eastAsia" w:ascii="楷体_GB2312" w:hAnsi="宋体" w:eastAsia="楷体_GB2312"/>
          <w:b/>
          <w:bCs/>
          <w:szCs w:val="21"/>
        </w:rPr>
        <w:t>如投资者赎回申请为部分赎回的，则优先赎回最早认/申购的产品份额。产品赎回顺序按时间优先原则进行确认。</w:t>
      </w:r>
    </w:p>
    <w:p>
      <w:pPr>
        <w:spacing w:line="360" w:lineRule="auto"/>
        <w:ind w:firstLine="422" w:firstLineChars="200"/>
        <w:contextualSpacing/>
        <w:rPr>
          <w:rFonts w:hint="eastAsia" w:ascii="楷体_GB2312" w:hAnsi="宋体" w:eastAsia="楷体_GB2312"/>
          <w:b/>
          <w:bCs/>
          <w:szCs w:val="21"/>
          <w:highlight w:val="none"/>
          <w:lang w:eastAsia="zh-CN"/>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8</w:t>
      </w:r>
      <w:r>
        <w:rPr>
          <w:rFonts w:hint="eastAsia" w:ascii="楷体_GB2312" w:hAnsi="宋体" w:eastAsia="楷体_GB2312"/>
          <w:b/>
          <w:bCs/>
          <w:szCs w:val="21"/>
          <w:lang w:eastAsia="zh-CN"/>
        </w:rPr>
        <w:t>）</w:t>
      </w:r>
      <w:r>
        <w:rPr>
          <w:rFonts w:ascii="楷体_GB2312" w:hAnsi="宋体" w:eastAsia="楷体_GB2312"/>
          <w:b/>
          <w:bCs/>
          <w:szCs w:val="21"/>
        </w:rPr>
        <w:t>本理财产品</w:t>
      </w:r>
      <w:r>
        <w:rPr>
          <w:rFonts w:hint="eastAsia" w:ascii="楷体_GB2312" w:hAnsi="宋体" w:eastAsia="楷体_GB2312"/>
          <w:b/>
          <w:bCs/>
          <w:szCs w:val="21"/>
        </w:rPr>
        <w:t>客户</w:t>
      </w:r>
      <w:r>
        <w:rPr>
          <w:rFonts w:ascii="楷体_GB2312" w:hAnsi="宋体" w:eastAsia="楷体_GB2312"/>
          <w:b/>
          <w:bCs/>
          <w:szCs w:val="21"/>
        </w:rPr>
        <w:t>赎回最低</w:t>
      </w:r>
      <w:r>
        <w:rPr>
          <w:rFonts w:hint="eastAsia" w:ascii="楷体_GB2312" w:hAnsi="宋体" w:eastAsia="楷体_GB2312"/>
          <w:b/>
          <w:bCs/>
          <w:szCs w:val="21"/>
        </w:rPr>
        <w:t>份额</w:t>
      </w:r>
      <w:r>
        <w:rPr>
          <w:rFonts w:ascii="楷体_GB2312" w:hAnsi="宋体" w:eastAsia="楷体_GB2312"/>
          <w:b/>
          <w:bCs/>
          <w:szCs w:val="21"/>
        </w:rPr>
        <w:t>为</w:t>
      </w:r>
      <w:r>
        <w:rPr>
          <w:rFonts w:hint="eastAsia" w:ascii="楷体_GB2312" w:hAnsi="宋体" w:eastAsia="楷体_GB2312"/>
          <w:b/>
          <w:bCs/>
          <w:szCs w:val="21"/>
          <w:u w:val="single"/>
          <w:lang w:eastAsia="zh-CN"/>
        </w:rPr>
        <w:t>【</w:t>
      </w:r>
      <w:r>
        <w:rPr>
          <w:rFonts w:hint="eastAsia" w:ascii="楷体_GB2312" w:hAnsi="宋体" w:eastAsia="楷体_GB2312"/>
          <w:b/>
          <w:bCs/>
          <w:szCs w:val="21"/>
          <w:u w:val="single"/>
          <w:lang w:val="en-US" w:eastAsia="zh-CN"/>
        </w:rPr>
        <w:t>/</w:t>
      </w:r>
      <w:r>
        <w:rPr>
          <w:rFonts w:hint="eastAsia" w:ascii="楷体_GB2312" w:hAnsi="宋体" w:eastAsia="楷体_GB2312"/>
          <w:b/>
          <w:bCs/>
          <w:color w:val="auto"/>
          <w:szCs w:val="21"/>
          <w:u w:val="single"/>
          <w:lang w:eastAsia="zh-CN"/>
        </w:rPr>
        <w:t>】</w:t>
      </w:r>
      <w:r>
        <w:rPr>
          <w:rFonts w:ascii="楷体_GB2312" w:hAnsi="宋体" w:eastAsia="楷体_GB2312"/>
          <w:b/>
          <w:bCs/>
          <w:color w:val="auto"/>
          <w:szCs w:val="21"/>
          <w:u w:val="single"/>
        </w:rPr>
        <w:t>份</w:t>
      </w:r>
      <w:r>
        <w:rPr>
          <w:rFonts w:ascii="楷体_GB2312" w:hAnsi="宋体" w:eastAsia="楷体_GB2312"/>
          <w:b/>
          <w:bCs/>
          <w:szCs w:val="21"/>
        </w:rPr>
        <w:t>，超出部分应为</w:t>
      </w:r>
      <w:r>
        <w:rPr>
          <w:rFonts w:hint="eastAsia" w:ascii="楷体_GB2312" w:hAnsi="宋体" w:eastAsia="楷体_GB2312"/>
          <w:b/>
          <w:bCs/>
          <w:color w:val="auto"/>
          <w:szCs w:val="21"/>
          <w:u w:val="single"/>
          <w:lang w:eastAsia="zh-CN"/>
        </w:rPr>
        <w:t>【</w:t>
      </w:r>
      <w:r>
        <w:rPr>
          <w:rFonts w:hint="eastAsia" w:ascii="楷体_GB2312" w:hAnsi="宋体" w:eastAsia="楷体_GB2312"/>
          <w:b/>
          <w:bCs/>
          <w:color w:val="auto"/>
          <w:szCs w:val="21"/>
          <w:u w:val="single"/>
          <w:lang w:val="en-US" w:eastAsia="zh-CN"/>
        </w:rPr>
        <w:t>/</w:t>
      </w:r>
      <w:r>
        <w:rPr>
          <w:rFonts w:hint="eastAsia" w:ascii="楷体_GB2312" w:hAnsi="宋体" w:eastAsia="楷体_GB2312"/>
          <w:b/>
          <w:bCs/>
          <w:color w:val="auto"/>
          <w:szCs w:val="21"/>
          <w:u w:val="single"/>
          <w:lang w:eastAsia="zh-CN"/>
        </w:rPr>
        <w:t>】</w:t>
      </w:r>
      <w:r>
        <w:rPr>
          <w:rFonts w:ascii="楷体_GB2312" w:hAnsi="宋体" w:eastAsia="楷体_GB2312"/>
          <w:b/>
          <w:bCs/>
          <w:color w:val="auto"/>
          <w:szCs w:val="21"/>
          <w:u w:val="single"/>
        </w:rPr>
        <w:t>份</w:t>
      </w:r>
      <w:r>
        <w:rPr>
          <w:rFonts w:ascii="楷体_GB2312" w:hAnsi="宋体" w:eastAsia="楷体_GB2312"/>
          <w:b/>
          <w:bCs/>
          <w:color w:val="auto"/>
          <w:szCs w:val="21"/>
          <w:u w:val="none"/>
        </w:rPr>
        <w:t>的整数倍</w:t>
      </w:r>
      <w:r>
        <w:rPr>
          <w:rFonts w:hint="eastAsia" w:ascii="楷体_GB2312" w:hAnsi="宋体" w:eastAsia="楷体_GB2312"/>
          <w:b/>
          <w:bCs/>
          <w:szCs w:val="21"/>
        </w:rPr>
        <w:t>，</w:t>
      </w:r>
      <w:r>
        <w:rPr>
          <w:rFonts w:ascii="楷体_GB2312" w:hAnsi="宋体" w:eastAsia="楷体_GB2312"/>
          <w:b/>
          <w:bCs/>
          <w:szCs w:val="21"/>
        </w:rPr>
        <w:t>全额赎回除外。</w:t>
      </w:r>
      <w:r>
        <w:rPr>
          <w:rFonts w:hint="eastAsia" w:ascii="楷体_GB2312" w:hAnsi="宋体" w:eastAsia="楷体_GB2312"/>
          <w:b/>
          <w:bCs/>
          <w:color w:val="auto"/>
          <w:szCs w:val="21"/>
          <w:highlight w:val="none"/>
          <w:u w:val="none"/>
          <w:lang w:val="en-US" w:eastAsia="zh-CN"/>
        </w:rPr>
        <w:t>投资者通过代理销售机构购买理财产品的，按照代理销售机构对于交易赎回设置的相关规定执行。</w:t>
      </w:r>
      <w:r>
        <w:rPr>
          <w:rFonts w:hint="eastAsia" w:ascii="楷体_GB2312" w:hAnsi="宋体" w:eastAsia="楷体_GB2312"/>
          <w:b/>
          <w:bCs/>
          <w:szCs w:val="21"/>
        </w:rPr>
        <w:t>如投资者所持份额中，可赎回份额低于赎回申请的份额时，管理人有权拒绝该笔赎回申请。</w:t>
      </w:r>
      <w:r>
        <w:rPr>
          <w:rFonts w:ascii="楷体_GB2312" w:hAnsi="宋体" w:eastAsia="楷体_GB2312"/>
          <w:b/>
          <w:bCs/>
          <w:szCs w:val="21"/>
        </w:rPr>
        <w:t>如赎回将导致单个投资者的理财产品份额余额不足</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0.01</w:t>
      </w:r>
      <w:r>
        <w:rPr>
          <w:rFonts w:hint="eastAsia" w:ascii="楷体_GB2312" w:hAnsi="宋体" w:eastAsia="楷体_GB2312"/>
          <w:b/>
          <w:bCs/>
          <w:szCs w:val="21"/>
          <w:lang w:eastAsia="zh-CN"/>
        </w:rPr>
        <w:t>】</w:t>
      </w:r>
      <w:r>
        <w:rPr>
          <w:rFonts w:ascii="楷体_GB2312" w:hAnsi="宋体" w:eastAsia="楷体_GB2312"/>
          <w:b/>
          <w:bCs/>
          <w:szCs w:val="21"/>
        </w:rPr>
        <w:t>份时，投资者剩余份额将被一次性全额赎回。全部赎回理财产品份额后，投资者如需再次申购，则申购的金额不得低于该份额</w:t>
      </w:r>
      <w:r>
        <w:rPr>
          <w:rFonts w:hint="eastAsia" w:ascii="楷体_GB2312" w:hAnsi="宋体" w:eastAsia="楷体_GB2312"/>
          <w:b/>
          <w:bCs/>
          <w:szCs w:val="21"/>
          <w:lang w:val="en-US" w:eastAsia="zh-CN"/>
        </w:rPr>
        <w:t>首次申购最低金额</w:t>
      </w:r>
      <w:r>
        <w:rPr>
          <w:rFonts w:ascii="楷体_GB2312" w:hAnsi="宋体" w:eastAsia="楷体_GB2312"/>
          <w:b/>
          <w:bCs/>
          <w:szCs w:val="21"/>
        </w:rPr>
        <w:t>。部分赎回理财产品份额后，投资者如需再行申购，则申购最低金额为</w:t>
      </w:r>
      <w:r>
        <w:rPr>
          <w:rFonts w:hint="eastAsia" w:ascii="楷体_GB2312" w:hAnsi="宋体" w:eastAsia="楷体_GB2312"/>
          <w:b/>
          <w:bCs/>
          <w:i w:val="0"/>
          <w:iCs w:val="0"/>
          <w:szCs w:val="21"/>
          <w:u w:val="single"/>
          <w:lang w:eastAsia="zh-CN"/>
        </w:rPr>
        <w:t>【</w:t>
      </w:r>
      <w:r>
        <w:rPr>
          <w:rFonts w:ascii="楷体_GB2312" w:hAnsi="宋体" w:eastAsia="楷体_GB2312"/>
          <w:b/>
          <w:bCs/>
          <w:i w:val="0"/>
          <w:iCs w:val="0"/>
          <w:color w:val="C00000"/>
          <w:szCs w:val="21"/>
          <w:u w:val="single"/>
        </w:rPr>
        <w:t>1</w:t>
      </w:r>
      <w:r>
        <w:rPr>
          <w:rFonts w:hint="eastAsia" w:ascii="楷体_GB2312" w:hAnsi="宋体" w:eastAsia="楷体_GB2312"/>
          <w:b/>
          <w:bCs/>
          <w:i w:val="0"/>
          <w:iCs w:val="0"/>
          <w:color w:val="auto"/>
          <w:szCs w:val="21"/>
          <w:u w:val="single"/>
          <w:lang w:eastAsia="zh-CN"/>
        </w:rPr>
        <w:t>】</w:t>
      </w:r>
      <w:r>
        <w:rPr>
          <w:rFonts w:ascii="楷体_GB2312" w:hAnsi="宋体" w:eastAsia="楷体_GB2312"/>
          <w:b/>
          <w:bCs/>
          <w:i w:val="0"/>
          <w:iCs w:val="0"/>
          <w:color w:val="auto"/>
          <w:szCs w:val="21"/>
          <w:u w:val="single"/>
        </w:rPr>
        <w:t>元</w:t>
      </w:r>
      <w:r>
        <w:rPr>
          <w:rFonts w:ascii="楷体_GB2312" w:hAnsi="宋体" w:eastAsia="楷体_GB2312"/>
          <w:b/>
          <w:bCs/>
          <w:szCs w:val="21"/>
        </w:rPr>
        <w:t>或</w:t>
      </w:r>
      <w:r>
        <w:rPr>
          <w:rFonts w:hint="eastAsia" w:ascii="楷体_GB2312" w:hAnsi="宋体" w:eastAsia="楷体_GB2312"/>
          <w:b/>
          <w:bCs/>
          <w:szCs w:val="21"/>
          <w:u w:val="single"/>
          <w:lang w:eastAsia="zh-CN"/>
        </w:rPr>
        <w:t>【</w:t>
      </w:r>
      <w:r>
        <w:rPr>
          <w:rFonts w:ascii="楷体_GB2312" w:hAnsi="宋体" w:eastAsia="楷体_GB2312"/>
          <w:b/>
          <w:bCs/>
          <w:color w:val="C00000"/>
          <w:szCs w:val="21"/>
          <w:u w:val="single"/>
        </w:rPr>
        <w:t>1</w:t>
      </w:r>
      <w:r>
        <w:rPr>
          <w:rFonts w:hint="eastAsia" w:ascii="楷体_GB2312" w:hAnsi="宋体" w:eastAsia="楷体_GB2312"/>
          <w:b/>
          <w:bCs/>
          <w:color w:val="auto"/>
          <w:szCs w:val="21"/>
          <w:u w:val="single"/>
          <w:lang w:eastAsia="zh-CN"/>
        </w:rPr>
        <w:t>】</w:t>
      </w:r>
      <w:r>
        <w:rPr>
          <w:rFonts w:ascii="楷体_GB2312" w:hAnsi="宋体" w:eastAsia="楷体_GB2312"/>
          <w:b/>
          <w:bCs/>
          <w:color w:val="auto"/>
          <w:szCs w:val="21"/>
          <w:u w:val="single"/>
        </w:rPr>
        <w:t>元</w:t>
      </w:r>
      <w:r>
        <w:rPr>
          <w:rFonts w:ascii="楷体_GB2312" w:hAnsi="宋体" w:eastAsia="楷体_GB2312"/>
          <w:b/>
          <w:bCs/>
          <w:color w:val="auto"/>
          <w:szCs w:val="21"/>
          <w:u w:val="none"/>
        </w:rPr>
        <w:t>的整数倍</w:t>
      </w:r>
      <w:r>
        <w:rPr>
          <w:rFonts w:ascii="楷体_GB2312" w:hAnsi="宋体" w:eastAsia="楷体_GB2312"/>
          <w:b/>
          <w:bCs/>
          <w:szCs w:val="21"/>
        </w:rPr>
        <w:t>。</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9</w:t>
      </w:r>
      <w:r>
        <w:rPr>
          <w:rFonts w:hint="eastAsia" w:ascii="楷体_GB2312" w:hAnsi="宋体" w:eastAsia="楷体_GB2312"/>
          <w:b/>
          <w:bCs/>
          <w:szCs w:val="21"/>
          <w:lang w:eastAsia="zh-CN"/>
        </w:rPr>
        <w:t>）</w:t>
      </w:r>
      <w:r>
        <w:rPr>
          <w:rFonts w:hint="eastAsia" w:ascii="楷体_GB2312" w:hAnsi="宋体" w:eastAsia="楷体_GB2312"/>
          <w:b/>
          <w:bCs/>
          <w:szCs w:val="21"/>
        </w:rPr>
        <w:t>销售机构受理申购/赎回申请并不表示对该申请成功的确认，而仅代表其收到了申购/赎回申请，申请是否有效应以管理人的确认为准。具体而言，投资者按规定提交申购/赎回申请并经销售机构成功受理的，申购/赎回申请成立；如管理人在申购/赎回确认日根据投资者的申请为投资者成功办理登记/赎回份额，则视为投资者的申请生效，并以管理人的登记记录为准。投资者应在交易申请相应的确认日后及时查询最终成交确认情况。</w:t>
      </w:r>
    </w:p>
    <w:p>
      <w:pPr>
        <w:spacing w:line="360" w:lineRule="auto"/>
        <w:ind w:firstLine="422" w:firstLineChars="200"/>
        <w:contextualSpacing/>
        <w:rPr>
          <w:rFonts w:hint="eastAsia" w:ascii="楷体_GB2312" w:hAnsi="宋体" w:eastAsia="楷体_GB2312"/>
          <w:b/>
          <w:bCs/>
          <w:szCs w:val="21"/>
          <w:lang w:eastAsia="zh-CN"/>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10</w:t>
      </w:r>
      <w:r>
        <w:rPr>
          <w:rFonts w:hint="eastAsia" w:ascii="楷体_GB2312" w:hAnsi="宋体" w:eastAsia="楷体_GB2312"/>
          <w:b/>
          <w:bCs/>
          <w:szCs w:val="21"/>
          <w:lang w:eastAsia="zh-CN"/>
        </w:rPr>
        <w:t>）</w:t>
      </w:r>
      <w:r>
        <w:rPr>
          <w:rFonts w:hint="eastAsia" w:ascii="楷体_GB2312" w:hAnsi="宋体" w:eastAsia="楷体_GB2312"/>
          <w:b/>
          <w:bCs/>
          <w:szCs w:val="21"/>
        </w:rPr>
        <w:t>投资者</w:t>
      </w:r>
      <w:r>
        <w:rPr>
          <w:rFonts w:ascii="楷体_GB2312" w:hAnsi="宋体" w:eastAsia="楷体_GB2312"/>
          <w:b/>
          <w:bCs/>
          <w:szCs w:val="21"/>
        </w:rPr>
        <w:t>在</w:t>
      </w:r>
      <w:r>
        <w:rPr>
          <w:rFonts w:hint="eastAsia" w:ascii="楷体_GB2312" w:hAnsi="宋体" w:eastAsia="楷体_GB2312"/>
          <w:b/>
          <w:bCs/>
          <w:szCs w:val="21"/>
        </w:rPr>
        <w:t>产品存续</w:t>
      </w:r>
      <w:r>
        <w:rPr>
          <w:rFonts w:ascii="楷体_GB2312" w:hAnsi="宋体" w:eastAsia="楷体_GB2312"/>
          <w:b/>
          <w:bCs/>
          <w:szCs w:val="21"/>
        </w:rPr>
        <w:t>期内的</w:t>
      </w:r>
      <w:r>
        <w:rPr>
          <w:rFonts w:hint="eastAsia" w:ascii="楷体_GB2312" w:hAnsi="宋体" w:eastAsia="楷体_GB2312"/>
          <w:b/>
          <w:bCs/>
          <w:szCs w:val="21"/>
        </w:rPr>
        <w:t>申购/赎回</w:t>
      </w:r>
      <w:r>
        <w:rPr>
          <w:rFonts w:ascii="楷体_GB2312" w:hAnsi="宋体" w:eastAsia="楷体_GB2312"/>
          <w:b/>
          <w:bCs/>
          <w:szCs w:val="21"/>
        </w:rPr>
        <w:t>撤单规则，以销售机构受理规则为准。</w:t>
      </w:r>
    </w:p>
    <w:p>
      <w:pPr>
        <w:spacing w:line="360" w:lineRule="auto"/>
        <w:ind w:firstLine="422" w:firstLineChars="200"/>
        <w:contextualSpacing/>
        <w:rPr>
          <w:rFonts w:hint="eastAsia" w:ascii="楷体_GB2312" w:hAnsi="宋体" w:eastAsia="楷体_GB2312"/>
          <w:b/>
          <w:bCs/>
          <w:szCs w:val="21"/>
          <w:lang w:eastAsia="zh-CN"/>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11</w:t>
      </w:r>
      <w:r>
        <w:rPr>
          <w:rFonts w:hint="eastAsia" w:ascii="楷体_GB2312" w:hAnsi="宋体" w:eastAsia="楷体_GB2312"/>
          <w:b/>
          <w:bCs/>
          <w:szCs w:val="21"/>
          <w:lang w:eastAsia="zh-CN"/>
        </w:rPr>
        <w:t>）</w:t>
      </w:r>
      <w:r>
        <w:rPr>
          <w:rFonts w:ascii="楷体_GB2312" w:hAnsi="宋体" w:eastAsia="楷体_GB2312"/>
          <w:b/>
          <w:bCs/>
          <w:szCs w:val="21"/>
        </w:rPr>
        <w:t>因不可抗力导致理财产品无法继续申购或赎回时，</w:t>
      </w:r>
      <w:r>
        <w:rPr>
          <w:rFonts w:hint="eastAsia" w:ascii="楷体_GB2312" w:hAnsi="宋体" w:eastAsia="楷体_GB2312"/>
          <w:b/>
          <w:bCs/>
          <w:szCs w:val="21"/>
        </w:rPr>
        <w:t>管理人</w:t>
      </w:r>
      <w:r>
        <w:rPr>
          <w:rFonts w:ascii="楷体_GB2312" w:hAnsi="宋体" w:eastAsia="楷体_GB2312"/>
          <w:b/>
          <w:bCs/>
          <w:szCs w:val="21"/>
        </w:rPr>
        <w:t>有权暂停接受投资者的申购或赎回的申请</w:t>
      </w:r>
      <w:r>
        <w:rPr>
          <w:rFonts w:hint="eastAsia" w:ascii="楷体_GB2312" w:hAnsi="宋体" w:eastAsia="楷体_GB2312"/>
          <w:b/>
          <w:bCs/>
          <w:szCs w:val="21"/>
          <w:lang w:eastAsia="zh-CN"/>
        </w:rPr>
        <w:t>。</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12</w:t>
      </w:r>
      <w:r>
        <w:rPr>
          <w:rFonts w:hint="eastAsia" w:ascii="楷体_GB2312" w:hAnsi="宋体" w:eastAsia="楷体_GB2312"/>
          <w:b/>
          <w:bCs/>
          <w:szCs w:val="21"/>
          <w:lang w:eastAsia="zh-CN"/>
        </w:rPr>
        <w:t>）</w:t>
      </w:r>
      <w:r>
        <w:rPr>
          <w:rFonts w:hint="eastAsia" w:ascii="楷体_GB2312" w:hAnsi="宋体" w:eastAsia="楷体_GB2312"/>
          <w:b/>
          <w:bCs/>
          <w:szCs w:val="21"/>
        </w:rPr>
        <w:t>如本产品连续三个开放日累计净赎回总</w:t>
      </w:r>
      <w:r>
        <w:rPr>
          <w:rFonts w:ascii="楷体_GB2312" w:hAnsi="宋体" w:eastAsia="楷体_GB2312"/>
          <w:b/>
          <w:bCs/>
          <w:szCs w:val="21"/>
        </w:rPr>
        <w:t>份额</w:t>
      </w:r>
      <w:r>
        <w:rPr>
          <w:rFonts w:hint="eastAsia" w:ascii="楷体_GB2312" w:hAnsi="宋体" w:eastAsia="楷体_GB2312"/>
          <w:b/>
          <w:bCs/>
          <w:szCs w:val="21"/>
        </w:rPr>
        <w:t>达到产品</w:t>
      </w:r>
      <w:r>
        <w:rPr>
          <w:rFonts w:ascii="楷体_GB2312" w:hAnsi="宋体" w:eastAsia="楷体_GB2312"/>
          <w:b/>
          <w:bCs/>
          <w:szCs w:val="21"/>
        </w:rPr>
        <w:t>份额的</w:t>
      </w:r>
      <w:r>
        <w:rPr>
          <w:rFonts w:hint="eastAsia" w:ascii="楷体_GB2312" w:hAnsi="宋体" w:eastAsia="楷体_GB2312"/>
          <w:b/>
          <w:bCs/>
          <w:color w:val="C00000"/>
          <w:szCs w:val="21"/>
          <w:u w:val="single"/>
        </w:rPr>
        <w:t>20%</w:t>
      </w:r>
      <w:r>
        <w:rPr>
          <w:rFonts w:hint="eastAsia" w:ascii="楷体_GB2312" w:hAnsi="宋体" w:eastAsia="楷体_GB2312"/>
          <w:b/>
          <w:bCs/>
          <w:szCs w:val="21"/>
        </w:rPr>
        <w:t>以上，管理人有权</w:t>
      </w:r>
      <w:r>
        <w:rPr>
          <w:rFonts w:hint="eastAsia" w:ascii="楷体_GB2312" w:hAnsi="宋体" w:eastAsia="楷体_GB2312" w:cs="楷体_GB2312"/>
          <w:b/>
          <w:bCs/>
        </w:rPr>
        <w:t>暂不接受赎回申请</w:t>
      </w:r>
      <w:r>
        <w:rPr>
          <w:rFonts w:hint="eastAsia" w:ascii="楷体_GB2312" w:hAnsi="宋体" w:eastAsia="楷体_GB2312"/>
          <w:b/>
          <w:bCs/>
          <w:szCs w:val="21"/>
        </w:rPr>
        <w:t>或</w:t>
      </w:r>
      <w:r>
        <w:rPr>
          <w:rFonts w:ascii="楷体_GB2312" w:hAnsi="宋体" w:eastAsia="楷体_GB2312"/>
          <w:b/>
          <w:bCs/>
          <w:szCs w:val="21"/>
        </w:rPr>
        <w:t>按比例接受赎回申请</w:t>
      </w:r>
      <w:r>
        <w:rPr>
          <w:rFonts w:hint="eastAsia" w:ascii="楷体_GB2312" w:hAnsi="宋体" w:eastAsia="楷体_GB2312"/>
          <w:b/>
          <w:bCs/>
          <w:szCs w:val="21"/>
        </w:rPr>
        <w:t>。</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13</w:t>
      </w:r>
      <w:r>
        <w:rPr>
          <w:rFonts w:hint="eastAsia" w:ascii="楷体_GB2312" w:hAnsi="宋体" w:eastAsia="楷体_GB2312"/>
          <w:b/>
          <w:bCs/>
          <w:szCs w:val="21"/>
          <w:lang w:eastAsia="zh-CN"/>
        </w:rPr>
        <w:t>）</w:t>
      </w:r>
      <w:r>
        <w:rPr>
          <w:rFonts w:hint="eastAsia" w:ascii="楷体_GB2312" w:hAnsi="宋体" w:eastAsia="楷体_GB2312"/>
          <w:b/>
          <w:bCs/>
          <w:szCs w:val="21"/>
        </w:rPr>
        <w:t>发生</w:t>
      </w:r>
      <w:r>
        <w:rPr>
          <w:rFonts w:ascii="楷体_GB2312" w:hAnsi="宋体" w:eastAsia="楷体_GB2312"/>
          <w:b/>
          <w:bCs/>
          <w:szCs w:val="21"/>
        </w:rPr>
        <w:t>暂停估值情形</w:t>
      </w:r>
      <w:r>
        <w:rPr>
          <w:rFonts w:hint="eastAsia" w:ascii="楷体_GB2312" w:hAnsi="宋体" w:eastAsia="楷体_GB2312"/>
          <w:b/>
          <w:bCs/>
          <w:szCs w:val="21"/>
        </w:rPr>
        <w:t>的</w:t>
      </w:r>
      <w:r>
        <w:rPr>
          <w:rFonts w:ascii="楷体_GB2312" w:hAnsi="宋体" w:eastAsia="楷体_GB2312"/>
          <w:b/>
          <w:bCs/>
          <w:szCs w:val="21"/>
        </w:rPr>
        <w:t>，</w:t>
      </w:r>
      <w:r>
        <w:rPr>
          <w:rFonts w:hint="eastAsia" w:ascii="楷体_GB2312" w:hAnsi="宋体" w:eastAsia="楷体_GB2312"/>
          <w:b/>
          <w:bCs/>
          <w:szCs w:val="21"/>
        </w:rPr>
        <w:t>管理人</w:t>
      </w:r>
      <w:r>
        <w:rPr>
          <w:rFonts w:ascii="楷体_GB2312" w:hAnsi="宋体" w:eastAsia="楷体_GB2312"/>
          <w:b/>
          <w:bCs/>
          <w:szCs w:val="21"/>
        </w:rPr>
        <w:t>有权采取</w:t>
      </w:r>
      <w:r>
        <w:rPr>
          <w:rFonts w:hint="eastAsia" w:ascii="楷体_GB2312" w:hAnsi="宋体" w:eastAsia="楷体_GB2312"/>
          <w:b/>
          <w:bCs/>
          <w:szCs w:val="21"/>
        </w:rPr>
        <w:t>延缓支付赎回款项或暂停接受理财产品申购、赎回申请等措施。</w:t>
      </w:r>
    </w:p>
    <w:p>
      <w:pPr>
        <w:spacing w:line="360" w:lineRule="auto"/>
        <w:ind w:firstLine="422" w:firstLineChars="200"/>
        <w:contextualSpacing/>
        <w:outlineLvl w:val="2"/>
        <w:rPr>
          <w:rFonts w:hint="eastAsia" w:ascii="楷体_GB2312" w:hAnsi="宋体" w:eastAsia="楷体_GB2312"/>
          <w:b/>
          <w:bCs/>
          <w:szCs w:val="21"/>
        </w:rPr>
      </w:pPr>
      <w:r>
        <w:rPr>
          <w:rFonts w:hint="eastAsia" w:ascii="楷体_GB2312" w:hAnsi="宋体" w:eastAsia="楷体_GB2312"/>
          <w:b/>
          <w:bCs/>
          <w:szCs w:val="21"/>
          <w:lang w:val="en-US" w:eastAsia="zh-CN"/>
        </w:rPr>
        <w:t>5</w:t>
      </w:r>
      <w:r>
        <w:rPr>
          <w:rFonts w:ascii="楷体_GB2312" w:hAnsi="宋体" w:eastAsia="楷体_GB2312"/>
          <w:b/>
          <w:bCs/>
          <w:szCs w:val="21"/>
        </w:rPr>
        <w:t>.</w:t>
      </w:r>
      <w:r>
        <w:rPr>
          <w:rFonts w:hint="eastAsia" w:ascii="楷体_GB2312" w:hAnsi="宋体" w:eastAsia="楷体_GB2312"/>
          <w:b/>
          <w:bCs/>
          <w:szCs w:val="21"/>
        </w:rPr>
        <w:t>巨额赎回</w:t>
      </w:r>
      <w:r>
        <w:rPr>
          <w:rFonts w:hint="eastAsia" w:ascii="楷体_GB2312" w:hAnsi="宋体" w:eastAsia="楷体_GB2312"/>
          <w:b/>
          <w:bCs/>
          <w:szCs w:val="21"/>
          <w:lang w:val="en-US" w:eastAsia="zh-CN"/>
        </w:rPr>
        <w:t>的情形及处理方式</w:t>
      </w:r>
    </w:p>
    <w:p>
      <w:pPr>
        <w:spacing w:line="360" w:lineRule="auto"/>
        <w:ind w:firstLine="422" w:firstLineChars="200"/>
        <w:contextualSpacing/>
        <w:rPr>
          <w:rFonts w:hint="default" w:ascii="楷体_GB2312" w:hAnsi="宋体" w:eastAsia="楷体_GB2312"/>
          <w:b/>
          <w:bCs/>
          <w:szCs w:val="21"/>
          <w:lang w:val="en-US" w:eastAsia="zh-CN"/>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1</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巨额赎回的认定</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投资者</w:t>
      </w:r>
      <w:r>
        <w:rPr>
          <w:rFonts w:hint="eastAsia" w:ascii="楷体_GB2312" w:hAnsi="宋体" w:eastAsia="楷体_GB2312"/>
          <w:b/>
          <w:bCs/>
          <w:szCs w:val="21"/>
        </w:rPr>
        <w:t>在最短持有期后的</w:t>
      </w:r>
      <w:r>
        <w:rPr>
          <w:rFonts w:ascii="楷体_GB2312" w:hAnsi="宋体" w:eastAsia="楷体_GB2312"/>
          <w:b/>
          <w:bCs/>
          <w:szCs w:val="21"/>
        </w:rPr>
        <w:t>每个赎回开放日向销售机构提出赎回申请，如该赎回开放日内净赎回</w:t>
      </w:r>
      <w:r>
        <w:rPr>
          <w:rFonts w:hint="eastAsia" w:ascii="楷体_GB2312" w:hAnsi="宋体" w:eastAsia="楷体_GB2312"/>
          <w:b/>
          <w:bCs/>
          <w:szCs w:val="21"/>
          <w:lang w:val="en-US" w:eastAsia="zh-CN"/>
        </w:rPr>
        <w:t>申请份</w:t>
      </w:r>
      <w:r>
        <w:rPr>
          <w:rFonts w:ascii="楷体_GB2312" w:hAnsi="宋体" w:eastAsia="楷体_GB2312"/>
          <w:b/>
          <w:bCs/>
          <w:szCs w:val="21"/>
        </w:rPr>
        <w:t>额</w:t>
      </w:r>
      <w:r>
        <w:rPr>
          <w:rFonts w:hint="eastAsia" w:ascii="楷体_GB2312" w:eastAsia="楷体_GB2312" w:cs="楷体_GB2312"/>
          <w:b/>
          <w:bCs/>
        </w:rPr>
        <w:t>（赎回申请份额总数扣除申购申请份额总数）</w:t>
      </w:r>
      <w:r>
        <w:rPr>
          <w:rFonts w:ascii="楷体_GB2312" w:hAnsi="宋体" w:eastAsia="楷体_GB2312"/>
          <w:b/>
          <w:bCs/>
          <w:szCs w:val="21"/>
        </w:rPr>
        <w:t>合计超过理财产品上一</w:t>
      </w:r>
      <w:r>
        <w:rPr>
          <w:rFonts w:hint="eastAsia" w:ascii="楷体_GB2312" w:hAnsi="宋体" w:eastAsia="楷体_GB2312"/>
          <w:b/>
          <w:bCs/>
          <w:szCs w:val="21"/>
          <w:lang w:val="en-US" w:eastAsia="zh-CN"/>
        </w:rPr>
        <w:t>交易日</w:t>
      </w:r>
      <w:r>
        <w:rPr>
          <w:rFonts w:hint="eastAsia" w:ascii="楷体_GB2312" w:hAnsi="宋体" w:eastAsia="楷体_GB2312"/>
          <w:b/>
          <w:bCs/>
          <w:szCs w:val="21"/>
        </w:rPr>
        <w:t>日</w:t>
      </w:r>
      <w:r>
        <w:rPr>
          <w:rFonts w:ascii="楷体_GB2312" w:hAnsi="宋体" w:eastAsia="楷体_GB2312"/>
          <w:b/>
          <w:bCs/>
          <w:szCs w:val="21"/>
        </w:rPr>
        <w:t>终总份额的</w:t>
      </w:r>
      <w:r>
        <w:rPr>
          <w:rFonts w:hint="eastAsia" w:ascii="楷体_GB2312" w:hAnsi="宋体" w:eastAsia="楷体_GB2312"/>
          <w:b/>
          <w:bCs/>
          <w:color w:val="C00000"/>
          <w:szCs w:val="21"/>
          <w:u w:val="single"/>
        </w:rPr>
        <w:t>1</w:t>
      </w:r>
      <w:r>
        <w:rPr>
          <w:rFonts w:ascii="楷体_GB2312" w:hAnsi="宋体" w:eastAsia="楷体_GB2312"/>
          <w:b/>
          <w:bCs/>
          <w:color w:val="C00000"/>
          <w:szCs w:val="21"/>
          <w:u w:val="single"/>
        </w:rPr>
        <w:t>0%</w:t>
      </w:r>
      <w:r>
        <w:rPr>
          <w:rFonts w:ascii="楷体_GB2312" w:hAnsi="宋体" w:eastAsia="楷体_GB2312"/>
          <w:b/>
          <w:bCs/>
          <w:szCs w:val="21"/>
        </w:rPr>
        <w:t>，则发生巨额赎回事件。</w:t>
      </w:r>
    </w:p>
    <w:p>
      <w:pPr>
        <w:spacing w:line="360" w:lineRule="auto"/>
        <w:ind w:firstLine="422" w:firstLineChars="200"/>
        <w:contextualSpacing/>
        <w:rPr>
          <w:rFonts w:hint="default" w:ascii="楷体_GB2312" w:hAnsi="宋体" w:eastAsia="楷体_GB2312"/>
          <w:b/>
          <w:bCs/>
          <w:szCs w:val="21"/>
          <w:lang w:val="en-US" w:eastAsia="zh-CN"/>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2</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巨额赎回的处理方式</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在发生巨额赎回时，管理人有权依照理财产品当时的资产组合状况决定全额赎回、部分赎回或延缓支付。</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A</w:t>
      </w:r>
      <w:r>
        <w:rPr>
          <w:rFonts w:ascii="楷体_GB2312" w:hAnsi="宋体" w:eastAsia="楷体_GB2312"/>
          <w:b/>
          <w:bCs/>
          <w:szCs w:val="21"/>
        </w:rPr>
        <w:t>.全额赎回：当管理人有能力支付投资者的全部赎回申请时，按正常赎回程序</w:t>
      </w:r>
      <w:r>
        <w:rPr>
          <w:rFonts w:hint="eastAsia" w:ascii="楷体_GB2312" w:hAnsi="宋体" w:eastAsia="楷体_GB2312"/>
          <w:b/>
          <w:bCs/>
          <w:szCs w:val="21"/>
          <w:lang w:val="en-US" w:eastAsia="zh-CN"/>
        </w:rPr>
        <w:t>执</w:t>
      </w:r>
      <w:r>
        <w:rPr>
          <w:rFonts w:ascii="楷体_GB2312" w:hAnsi="宋体" w:eastAsia="楷体_GB2312"/>
          <w:b/>
          <w:bCs/>
          <w:szCs w:val="21"/>
        </w:rPr>
        <w:t>行；</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B.部分赎回：</w:t>
      </w:r>
      <w:r>
        <w:rPr>
          <w:rFonts w:hint="eastAsia" w:ascii="楷体_GB2312" w:hAnsi="宋体" w:eastAsia="楷体_GB2312"/>
          <w:b/>
          <w:bCs/>
          <w:szCs w:val="21"/>
          <w:lang w:val="en-US" w:eastAsia="zh-CN"/>
        </w:rPr>
        <w:t>当管理人认为支付投资者的赎回款项有困难或认为因支付投资者的赎回款项而进行的资产变现可能会对理财产品资产净值造成较大波动等情形时，在当日接受赎回比例不低于上一交易日日终理财产品总份额的</w:t>
      </w:r>
      <w:r>
        <w:rPr>
          <w:rFonts w:hint="eastAsia" w:ascii="楷体_GB2312" w:hAnsi="宋体" w:eastAsia="楷体_GB2312"/>
          <w:b/>
          <w:bCs/>
          <w:color w:val="C00000"/>
          <w:szCs w:val="21"/>
          <w:u w:val="single"/>
          <w:lang w:val="en-US" w:eastAsia="zh-CN"/>
        </w:rPr>
        <w:t>10%</w:t>
      </w:r>
      <w:r>
        <w:rPr>
          <w:rFonts w:hint="eastAsia" w:ascii="楷体_GB2312" w:hAnsi="宋体" w:eastAsia="楷体_GB2312"/>
          <w:b/>
          <w:bCs/>
          <w:szCs w:val="21"/>
          <w:lang w:val="en-US" w:eastAsia="zh-CN"/>
        </w:rPr>
        <w:t xml:space="preserve">的前提下，管理人有权暂停接受超过 </w:t>
      </w:r>
      <w:r>
        <w:rPr>
          <w:rFonts w:hint="eastAsia" w:ascii="楷体_GB2312" w:hAnsi="宋体" w:eastAsia="楷体_GB2312"/>
          <w:b/>
          <w:bCs/>
          <w:color w:val="C00000"/>
          <w:szCs w:val="21"/>
          <w:u w:val="single"/>
          <w:lang w:val="en-US" w:eastAsia="zh-CN"/>
        </w:rPr>
        <w:t>10%</w:t>
      </w:r>
      <w:r>
        <w:rPr>
          <w:rFonts w:hint="eastAsia" w:ascii="楷体_GB2312" w:hAnsi="宋体" w:eastAsia="楷体_GB2312"/>
          <w:b/>
          <w:bCs/>
          <w:szCs w:val="21"/>
          <w:lang w:val="en-US" w:eastAsia="zh-CN"/>
        </w:rPr>
        <w:t>以上部分的赎回申请，或对超过</w:t>
      </w:r>
      <w:r>
        <w:rPr>
          <w:rFonts w:hint="eastAsia" w:ascii="楷体_GB2312" w:hAnsi="宋体" w:eastAsia="楷体_GB2312"/>
          <w:b/>
          <w:bCs/>
          <w:color w:val="C00000"/>
          <w:szCs w:val="21"/>
          <w:u w:val="single"/>
          <w:lang w:val="en-US" w:eastAsia="zh-CN"/>
        </w:rPr>
        <w:t>10%</w:t>
      </w:r>
      <w:r>
        <w:rPr>
          <w:rFonts w:hint="eastAsia" w:ascii="楷体_GB2312" w:hAnsi="宋体" w:eastAsia="楷体_GB2312"/>
          <w:b/>
          <w:bCs/>
          <w:szCs w:val="21"/>
          <w:lang w:val="en-US" w:eastAsia="zh-CN"/>
        </w:rPr>
        <w:t>以上部分的赎回申请延期办理。</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若管理人对于超过</w:t>
      </w:r>
      <w:r>
        <w:rPr>
          <w:rFonts w:hint="eastAsia" w:ascii="楷体_GB2312" w:hAnsi="宋体" w:eastAsia="楷体_GB2312"/>
          <w:b/>
          <w:bCs/>
          <w:color w:val="C00000"/>
          <w:szCs w:val="21"/>
          <w:u w:val="single"/>
          <w:lang w:val="en-US" w:eastAsia="zh-CN"/>
        </w:rPr>
        <w:t>10%</w:t>
      </w:r>
      <w:r>
        <w:rPr>
          <w:rFonts w:hint="eastAsia" w:ascii="楷体_GB2312" w:hAnsi="宋体" w:eastAsia="楷体_GB2312"/>
          <w:b/>
          <w:bCs/>
          <w:szCs w:val="21"/>
          <w:lang w:val="en-US" w:eastAsia="zh-CN"/>
        </w:rPr>
        <w:t>以上部分的赎回申请选择延期办理，</w:t>
      </w:r>
      <w:r>
        <w:rPr>
          <w:rFonts w:ascii="楷体_GB2312" w:hAnsi="宋体" w:eastAsia="楷体_GB2312"/>
          <w:b/>
          <w:bCs/>
          <w:szCs w:val="21"/>
        </w:rPr>
        <w:t>管理人有权按照赎回开放日内投资者赎回递交申请的顺序，依照时间优先（即先申请、先赎回）的原则确认投资者的赎回申请；或对赎回开放日内投资者的所有赎回申请同等按照一定比例进行确认。</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若管理人对于超过</w:t>
      </w:r>
      <w:r>
        <w:rPr>
          <w:rFonts w:hint="eastAsia" w:ascii="楷体_GB2312" w:hAnsi="宋体" w:eastAsia="楷体_GB2312"/>
          <w:b/>
          <w:bCs/>
          <w:color w:val="C00000"/>
          <w:szCs w:val="21"/>
          <w:u w:val="single"/>
          <w:lang w:val="en-US" w:eastAsia="zh-CN"/>
        </w:rPr>
        <w:t>10%</w:t>
      </w:r>
      <w:r>
        <w:rPr>
          <w:rFonts w:hint="eastAsia" w:ascii="楷体_GB2312" w:hAnsi="宋体" w:eastAsia="楷体_GB2312"/>
          <w:b/>
          <w:bCs/>
          <w:szCs w:val="21"/>
          <w:lang w:val="en-US" w:eastAsia="zh-CN"/>
        </w:rPr>
        <w:t xml:space="preserve">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 </w:t>
      </w:r>
    </w:p>
    <w:p>
      <w:pPr>
        <w:spacing w:line="360" w:lineRule="auto"/>
        <w:ind w:firstLine="422" w:firstLineChars="200"/>
        <w:contextualSpacing/>
        <w:rPr>
          <w:rFonts w:hint="eastAsia" w:ascii="楷体_GB2312" w:hAnsi="宋体" w:eastAsia="楷体_GB2312"/>
          <w:b/>
          <w:bCs/>
          <w:szCs w:val="21"/>
          <w:lang w:eastAsia="zh-CN"/>
        </w:rPr>
      </w:pPr>
      <w:r>
        <w:rPr>
          <w:rFonts w:hint="eastAsia" w:ascii="楷体_GB2312" w:hAnsi="宋体" w:eastAsia="楷体_GB2312"/>
          <w:b/>
          <w:bCs/>
          <w:szCs w:val="21"/>
          <w:lang w:val="en-US" w:eastAsia="zh-CN"/>
        </w:rPr>
        <w:t>C</w:t>
      </w:r>
      <w:r>
        <w:rPr>
          <w:rFonts w:ascii="楷体_GB2312" w:hAnsi="宋体" w:eastAsia="楷体_GB2312"/>
          <w:b/>
          <w:bCs/>
          <w:szCs w:val="21"/>
        </w:rPr>
        <w:t>.</w:t>
      </w:r>
      <w:r>
        <w:rPr>
          <w:rFonts w:hint="eastAsia" w:ascii="楷体_GB2312" w:hAnsi="宋体" w:eastAsia="楷体_GB2312"/>
          <w:b/>
          <w:bCs/>
          <w:szCs w:val="21"/>
          <w:lang w:val="en-US" w:eastAsia="zh-CN"/>
        </w:rPr>
        <w:t>延缓支付</w:t>
      </w:r>
      <w:r>
        <w:rPr>
          <w:rFonts w:ascii="楷体_GB2312" w:hAnsi="宋体" w:eastAsia="楷体_GB2312"/>
          <w:b/>
          <w:bCs/>
          <w:szCs w:val="21"/>
        </w:rPr>
        <w:t>：</w:t>
      </w:r>
      <w:r>
        <w:rPr>
          <w:rFonts w:hint="eastAsia" w:ascii="楷体_GB2312" w:hAnsi="宋体" w:eastAsia="楷体_GB2312"/>
          <w:b/>
          <w:bCs/>
          <w:szCs w:val="21"/>
        </w:rPr>
        <w:t>选择延缓支付时，管理人应当接受并确认所有的赎回申请，当日按比例办理的赎回份额不得低于理财产品上一</w:t>
      </w:r>
      <w:r>
        <w:rPr>
          <w:rFonts w:hint="eastAsia" w:ascii="楷体_GB2312" w:hAnsi="宋体" w:eastAsia="楷体_GB2312"/>
          <w:b/>
          <w:bCs/>
          <w:szCs w:val="21"/>
          <w:lang w:val="en-US" w:eastAsia="zh-CN"/>
        </w:rPr>
        <w:t>交易日</w:t>
      </w:r>
      <w:r>
        <w:rPr>
          <w:rFonts w:hint="eastAsia" w:ascii="楷体_GB2312" w:hAnsi="宋体" w:eastAsia="楷体_GB2312"/>
          <w:b/>
          <w:bCs/>
          <w:szCs w:val="21"/>
        </w:rPr>
        <w:t>产品总份额的</w:t>
      </w:r>
      <w:r>
        <w:rPr>
          <w:rFonts w:ascii="楷体_GB2312" w:hAnsi="宋体" w:eastAsia="楷体_GB2312"/>
          <w:b/>
          <w:bCs/>
          <w:color w:val="C00000"/>
          <w:szCs w:val="21"/>
          <w:u w:val="single"/>
        </w:rPr>
        <w:t>10%</w:t>
      </w:r>
      <w:r>
        <w:rPr>
          <w:rFonts w:ascii="楷体_GB2312" w:hAnsi="宋体" w:eastAsia="楷体_GB2312"/>
          <w:b/>
          <w:bCs/>
          <w:szCs w:val="21"/>
        </w:rPr>
        <w:t>，其余赎回申请可以延缓支付赎回款项，但延缓支付的期限不得超过</w:t>
      </w:r>
      <w:r>
        <w:rPr>
          <w:rFonts w:hint="eastAsia" w:ascii="楷体_GB2312" w:hAnsi="宋体" w:eastAsia="楷体_GB2312"/>
          <w:b/>
          <w:bCs/>
          <w:szCs w:val="21"/>
          <w:lang w:val="en-US" w:eastAsia="zh-CN"/>
        </w:rPr>
        <w:t>20</w:t>
      </w:r>
      <w:r>
        <w:rPr>
          <w:rFonts w:ascii="楷体_GB2312" w:hAnsi="宋体" w:eastAsia="楷体_GB2312"/>
          <w:b/>
          <w:bCs/>
          <w:szCs w:val="21"/>
        </w:rPr>
        <w:t>个工作日</w:t>
      </w:r>
      <w:r>
        <w:rPr>
          <w:rFonts w:hint="eastAsia" w:ascii="楷体_GB2312" w:hAnsi="宋体" w:eastAsia="楷体_GB2312"/>
          <w:b/>
          <w:bCs/>
          <w:szCs w:val="21"/>
          <w:lang w:eastAsia="zh-CN"/>
        </w:rPr>
        <w:t>。</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当发生巨额赎回或连续巨额赎回，管理人选择延期办理巨额赎回申请、暂停接受赎回申请或延缓支付时，管理人将根据本理财《产品说明书》“信息披露”约定的方式向投资者进行信息披露。</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示例：如果最新理财产品的在赎回开放日的上一</w:t>
      </w:r>
      <w:r>
        <w:rPr>
          <w:rFonts w:hint="eastAsia" w:ascii="楷体_GB2312" w:hAnsi="宋体" w:eastAsia="楷体_GB2312"/>
          <w:b/>
          <w:bCs/>
          <w:szCs w:val="21"/>
          <w:lang w:val="en-US" w:eastAsia="zh-CN"/>
        </w:rPr>
        <w:t>交易日</w:t>
      </w:r>
      <w:r>
        <w:rPr>
          <w:rFonts w:hint="eastAsia" w:ascii="楷体_GB2312" w:hAnsi="宋体" w:eastAsia="楷体_GB2312"/>
          <w:b/>
          <w:bCs/>
          <w:szCs w:val="21"/>
        </w:rPr>
        <w:t>的总存续份额为</w:t>
      </w:r>
      <w:r>
        <w:rPr>
          <w:rFonts w:ascii="楷体_GB2312" w:hAnsi="宋体" w:eastAsia="楷体_GB2312"/>
          <w:b/>
          <w:bCs/>
          <w:szCs w:val="21"/>
        </w:rPr>
        <w:t>2000</w:t>
      </w:r>
      <w:r>
        <w:rPr>
          <w:rFonts w:hint="eastAsia" w:ascii="楷体_GB2312" w:hAnsi="宋体" w:eastAsia="楷体_GB2312"/>
          <w:b/>
          <w:bCs/>
          <w:szCs w:val="21"/>
        </w:rPr>
        <w:t>万</w:t>
      </w:r>
      <w:r>
        <w:rPr>
          <w:rFonts w:ascii="楷体_GB2312" w:hAnsi="宋体" w:eastAsia="楷体_GB2312"/>
          <w:b/>
          <w:bCs/>
          <w:szCs w:val="21"/>
        </w:rPr>
        <w:t>份，在赎回开放日投资者净赎回</w:t>
      </w:r>
      <w:r>
        <w:rPr>
          <w:rFonts w:hint="eastAsia" w:ascii="楷体_GB2312" w:hAnsi="宋体" w:eastAsia="楷体_GB2312"/>
          <w:b/>
          <w:bCs/>
          <w:szCs w:val="21"/>
          <w:lang w:val="en-US" w:eastAsia="zh-CN"/>
        </w:rPr>
        <w:t>申请</w:t>
      </w:r>
      <w:r>
        <w:rPr>
          <w:rFonts w:ascii="楷体_GB2312" w:hAnsi="宋体" w:eastAsia="楷体_GB2312"/>
          <w:b/>
          <w:bCs/>
          <w:szCs w:val="21"/>
        </w:rPr>
        <w:t>份额大于200</w:t>
      </w:r>
      <w:r>
        <w:rPr>
          <w:rFonts w:hint="eastAsia" w:ascii="楷体_GB2312" w:hAnsi="宋体" w:eastAsia="楷体_GB2312"/>
          <w:b/>
          <w:bCs/>
          <w:szCs w:val="21"/>
        </w:rPr>
        <w:t>万</w:t>
      </w:r>
      <w:r>
        <w:rPr>
          <w:rFonts w:ascii="楷体_GB2312" w:hAnsi="宋体" w:eastAsia="楷体_GB2312"/>
          <w:b/>
          <w:bCs/>
          <w:szCs w:val="21"/>
        </w:rPr>
        <w:t>份，管理人有权选择接受全部赎回申请，或选择接受部分赎回或延缓支付赎回款项。选择部分赎回或延缓支付时，按正常赎回程序执行</w:t>
      </w:r>
      <w:r>
        <w:rPr>
          <w:rFonts w:hint="eastAsia" w:ascii="楷体_GB2312" w:hAnsi="宋体" w:eastAsia="楷体_GB2312"/>
          <w:b/>
          <w:bCs/>
          <w:szCs w:val="21"/>
        </w:rPr>
        <w:t>总</w:t>
      </w:r>
      <w:r>
        <w:rPr>
          <w:rFonts w:ascii="楷体_GB2312" w:hAnsi="宋体" w:eastAsia="楷体_GB2312"/>
          <w:b/>
          <w:bCs/>
          <w:szCs w:val="21"/>
        </w:rPr>
        <w:t>的净赎回申请不得低于200</w:t>
      </w:r>
      <w:r>
        <w:rPr>
          <w:rFonts w:hint="eastAsia" w:ascii="楷体_GB2312" w:hAnsi="宋体" w:eastAsia="楷体_GB2312"/>
          <w:b/>
          <w:bCs/>
          <w:szCs w:val="21"/>
        </w:rPr>
        <w:t>万</w:t>
      </w:r>
      <w:r>
        <w:rPr>
          <w:rFonts w:ascii="楷体_GB2312" w:hAnsi="宋体" w:eastAsia="楷体_GB2312"/>
          <w:b/>
          <w:bCs/>
          <w:szCs w:val="21"/>
        </w:rPr>
        <w:t>份。</w:t>
      </w:r>
    </w:p>
    <w:p>
      <w:pPr>
        <w:spacing w:line="360" w:lineRule="auto"/>
        <w:ind w:firstLine="422" w:firstLineChars="200"/>
        <w:contextualSpacing/>
        <w:outlineLvl w:val="2"/>
        <w:rPr>
          <w:rFonts w:ascii="楷体_GB2312" w:hAnsi="宋体" w:eastAsia="楷体_GB2312"/>
          <w:b/>
          <w:bCs/>
          <w:szCs w:val="21"/>
        </w:rPr>
      </w:pPr>
      <w:r>
        <w:rPr>
          <w:rFonts w:hint="eastAsia" w:ascii="楷体_GB2312" w:hAnsi="宋体" w:eastAsia="楷体_GB2312"/>
          <w:b/>
          <w:bCs/>
          <w:szCs w:val="21"/>
          <w:lang w:val="en-US" w:eastAsia="zh-CN"/>
        </w:rPr>
        <w:t>6</w:t>
      </w:r>
      <w:r>
        <w:rPr>
          <w:rFonts w:hint="eastAsia" w:ascii="楷体_GB2312" w:hAnsi="宋体" w:eastAsia="楷体_GB2312"/>
          <w:b/>
          <w:bCs/>
          <w:szCs w:val="21"/>
        </w:rPr>
        <w:t>、</w:t>
      </w:r>
      <w:r>
        <w:rPr>
          <w:rFonts w:ascii="楷体_GB2312" w:hAnsi="宋体" w:eastAsia="楷体_GB2312"/>
          <w:b/>
          <w:bCs/>
          <w:szCs w:val="21"/>
        </w:rPr>
        <w:t>申购、赎回程序</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申购、赎回的申请方式</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投资者必须在</w:t>
      </w:r>
      <w:r>
        <w:rPr>
          <w:rFonts w:hint="eastAsia" w:ascii="楷体_GB2312" w:hAnsi="宋体" w:eastAsia="楷体_GB2312"/>
          <w:b/>
          <w:bCs/>
          <w:szCs w:val="21"/>
        </w:rPr>
        <w:t>投资封闭期之后的开放日</w:t>
      </w:r>
      <w:r>
        <w:rPr>
          <w:rFonts w:ascii="楷体_GB2312" w:hAnsi="宋体" w:eastAsia="楷体_GB2312"/>
          <w:b/>
          <w:bCs/>
          <w:szCs w:val="21"/>
        </w:rPr>
        <w:t>提出申购</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赎回</w:t>
      </w:r>
      <w:r>
        <w:rPr>
          <w:rFonts w:ascii="楷体_GB2312" w:hAnsi="宋体" w:eastAsia="楷体_GB2312"/>
          <w:b/>
          <w:bCs/>
          <w:szCs w:val="21"/>
        </w:rPr>
        <w:t>申请。</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投资者在提交申购申请时，须备足申购资金。投资者的申购申请被受理后，销售机构有权冻结人民币资金形式的申购款项，冻结期间管理人不向投资者计付利息，是否计付利息以销售机构为准。</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投资者提交赎回申请时，必须有足够的理财产品份额余额。</w:t>
      </w:r>
    </w:p>
    <w:p>
      <w:pPr>
        <w:numPr>
          <w:ilvl w:val="0"/>
          <w:numId w:val="5"/>
        </w:numPr>
        <w:spacing w:line="360" w:lineRule="auto"/>
        <w:ind w:firstLine="422" w:firstLineChars="200"/>
        <w:contextualSpacing/>
        <w:rPr>
          <w:rFonts w:hint="eastAsia" w:ascii="楷体_GB2312" w:hAnsi="宋体" w:eastAsia="楷体_GB2312"/>
          <w:b/>
          <w:bCs/>
          <w:szCs w:val="21"/>
          <w:lang w:val="en-US" w:eastAsia="zh-CN"/>
        </w:rPr>
      </w:pPr>
      <w:r>
        <w:rPr>
          <w:rFonts w:hint="eastAsia" w:ascii="楷体_GB2312" w:hAnsi="宋体" w:eastAsia="楷体_GB2312"/>
          <w:b/>
          <w:bCs/>
          <w:szCs w:val="21"/>
          <w:lang w:val="en-US" w:eastAsia="zh-CN"/>
        </w:rPr>
        <w:t>申购和赎回的确认</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rPr>
        <w:t>管理人在申购、赎回确认日对投资者的申购、赎回申请的有效性进行登记并确认。</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本理财产品交易时段为管理人业务处理系统记录的每日北京时间</w:t>
      </w:r>
      <w:r>
        <w:rPr>
          <w:rFonts w:hint="eastAsia" w:ascii="楷体_GB2312" w:hAnsi="宋体" w:eastAsia="楷体_GB2312"/>
          <w:b/>
          <w:bCs/>
          <w:szCs w:val="21"/>
          <w:u w:val="single"/>
          <w:lang w:eastAsia="zh-CN"/>
        </w:rPr>
        <w:t>【</w:t>
      </w:r>
      <w:r>
        <w:rPr>
          <w:rFonts w:ascii="楷体_GB2312" w:hAnsi="宋体" w:eastAsia="楷体_GB2312"/>
          <w:b/>
          <w:bCs/>
          <w:color w:val="C00000"/>
          <w:szCs w:val="21"/>
          <w:u w:val="single"/>
        </w:rPr>
        <w:t>0:00</w:t>
      </w:r>
      <w:r>
        <w:rPr>
          <w:rFonts w:hint="eastAsia" w:ascii="楷体_GB2312" w:hAnsi="宋体" w:eastAsia="楷体_GB2312"/>
          <w:b/>
          <w:bCs/>
          <w:color w:val="auto"/>
          <w:szCs w:val="21"/>
          <w:u w:val="single"/>
          <w:lang w:eastAsia="zh-CN"/>
        </w:rPr>
        <w:t>】</w:t>
      </w:r>
      <w:r>
        <w:rPr>
          <w:rFonts w:ascii="楷体_GB2312" w:hAnsi="宋体" w:eastAsia="楷体_GB2312"/>
          <w:b/>
          <w:bCs/>
          <w:color w:val="auto"/>
          <w:szCs w:val="21"/>
          <w:u w:val="single"/>
        </w:rPr>
        <w:t>起至</w:t>
      </w:r>
      <w:r>
        <w:rPr>
          <w:rFonts w:hint="eastAsia" w:ascii="楷体_GB2312" w:hAnsi="宋体" w:eastAsia="楷体_GB2312"/>
          <w:b/>
          <w:bCs/>
          <w:color w:val="auto"/>
          <w:szCs w:val="21"/>
          <w:u w:val="single"/>
          <w:lang w:eastAsia="zh-CN"/>
        </w:rPr>
        <w:t>【</w:t>
      </w:r>
      <w:r>
        <w:rPr>
          <w:rFonts w:ascii="楷体_GB2312" w:hAnsi="宋体" w:eastAsia="楷体_GB2312"/>
          <w:b/>
          <w:bCs/>
          <w:color w:val="C00000"/>
          <w:szCs w:val="21"/>
          <w:u w:val="single"/>
        </w:rPr>
        <w:t>24:00</w:t>
      </w:r>
      <w:r>
        <w:rPr>
          <w:rFonts w:hint="eastAsia" w:ascii="楷体_GB2312" w:hAnsi="宋体" w:eastAsia="楷体_GB2312"/>
          <w:b/>
          <w:bCs/>
          <w:color w:val="auto"/>
          <w:szCs w:val="21"/>
          <w:u w:val="single"/>
          <w:lang w:eastAsia="zh-CN"/>
        </w:rPr>
        <w:t>】</w:t>
      </w:r>
      <w:r>
        <w:rPr>
          <w:rFonts w:hint="eastAsia" w:ascii="楷体_GB2312" w:hAnsi="宋体" w:eastAsia="楷体_GB2312"/>
          <w:b/>
          <w:bCs/>
          <w:color w:val="auto"/>
          <w:szCs w:val="21"/>
          <w:u w:val="single"/>
        </w:rPr>
        <w:t>止</w:t>
      </w:r>
      <w:r>
        <w:rPr>
          <w:rFonts w:hint="eastAsia" w:ascii="楷体_GB2312" w:hAnsi="宋体" w:eastAsia="楷体_GB2312"/>
          <w:b/>
          <w:bCs/>
          <w:szCs w:val="21"/>
        </w:rPr>
        <w:t>（</w:t>
      </w:r>
      <w:r>
        <w:rPr>
          <w:rFonts w:ascii="楷体_GB2312" w:hAnsi="宋体" w:eastAsia="楷体_GB2312"/>
          <w:b/>
          <w:bCs/>
          <w:szCs w:val="21"/>
        </w:rPr>
        <w:t>系统清算时间除外）</w:t>
      </w:r>
      <w:r>
        <w:rPr>
          <w:rFonts w:hint="eastAsia" w:ascii="楷体_GB2312" w:hAnsi="宋体" w:eastAsia="楷体_GB2312"/>
          <w:b/>
          <w:bCs/>
          <w:szCs w:val="21"/>
        </w:rPr>
        <w:t>，</w:t>
      </w:r>
      <w:r>
        <w:rPr>
          <w:rFonts w:hint="eastAsia" w:ascii="楷体_GB2312" w:hAnsi="宋体" w:eastAsia="楷体_GB2312"/>
          <w:b/>
          <w:bCs/>
          <w:szCs w:val="21"/>
          <w:lang w:val="en-US" w:eastAsia="zh-CN"/>
        </w:rPr>
        <w:t>销售机构</w:t>
      </w:r>
      <w:r>
        <w:rPr>
          <w:rFonts w:hint="eastAsia" w:ascii="楷体_GB2312" w:hAnsi="宋体" w:eastAsia="楷体_GB2312"/>
          <w:b/>
          <w:bCs/>
          <w:szCs w:val="21"/>
        </w:rPr>
        <w:t>实际受理申购或赎回的时间可能与说明书不一致，具体以销售机构通知为准。具体申购、赎回份额</w:t>
      </w:r>
      <w:r>
        <w:rPr>
          <w:rFonts w:ascii="楷体_GB2312" w:hAnsi="宋体" w:eastAsia="楷体_GB2312"/>
          <w:b/>
          <w:bCs/>
          <w:szCs w:val="21"/>
        </w:rPr>
        <w:t>确认规则如下：</w:t>
      </w:r>
    </w:p>
    <w:tbl>
      <w:tblPr>
        <w:tblStyle w:val="10"/>
        <w:tblW w:w="76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500"/>
        <w:gridCol w:w="21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ascii="楷体_GB2312" w:hAnsi="宋体" w:eastAsia="楷体_GB2312"/>
                <w:b/>
                <w:bCs/>
                <w:szCs w:val="21"/>
              </w:rPr>
            </w:pPr>
            <w:r>
              <w:rPr>
                <w:rFonts w:hint="eastAsia" w:ascii="楷体_GB2312" w:hAnsi="宋体" w:eastAsia="楷体_GB2312"/>
                <w:b/>
                <w:bCs/>
                <w:szCs w:val="21"/>
              </w:rPr>
              <w:t>交易申请时间</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ascii="楷体_GB2312" w:hAnsi="宋体" w:eastAsia="楷体_GB2312"/>
                <w:b/>
                <w:bCs/>
                <w:szCs w:val="21"/>
              </w:rPr>
            </w:pPr>
            <w:r>
              <w:rPr>
                <w:rFonts w:hint="eastAsia" w:ascii="楷体_GB2312" w:hAnsi="宋体" w:eastAsia="楷体_GB2312"/>
                <w:b/>
                <w:bCs/>
                <w:szCs w:val="21"/>
              </w:rPr>
              <w:t>交易确认日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楷体_GB2312" w:hAnsi="宋体" w:eastAsia="楷体_GB2312"/>
                <w:b/>
                <w:bCs/>
                <w:szCs w:val="21"/>
                <w:highlight w:val="none"/>
              </w:rPr>
              <w:t>每个</w:t>
            </w:r>
            <w:r>
              <w:rPr>
                <w:rFonts w:hint="eastAsia" w:ascii="楷体_GB2312" w:hAnsi="宋体" w:eastAsia="楷体_GB2312"/>
                <w:b/>
                <w:bCs/>
                <w:szCs w:val="21"/>
                <w:highlight w:val="none"/>
                <w:lang w:eastAsia="zh-CN"/>
              </w:rPr>
              <w:t>【</w:t>
            </w:r>
            <w:r>
              <w:rPr>
                <w:rFonts w:hint="eastAsia" w:ascii="楷体_GB2312" w:hAnsi="宋体" w:eastAsia="楷体_GB2312"/>
                <w:b/>
                <w:bCs/>
                <w:color w:val="C00000"/>
                <w:szCs w:val="21"/>
                <w:highlight w:val="none"/>
                <w:lang w:val="en-US" w:eastAsia="zh-CN"/>
              </w:rPr>
              <w:t>交易日</w:t>
            </w:r>
            <w:r>
              <w:rPr>
                <w:rFonts w:hint="eastAsia" w:ascii="楷体_GB2312" w:hAnsi="宋体" w:eastAsia="楷体_GB2312"/>
                <w:b/>
                <w:bCs/>
                <w:szCs w:val="21"/>
                <w:highlight w:val="none"/>
                <w:lang w:val="en-US" w:eastAsia="zh-CN"/>
              </w:rPr>
              <w:t>】</w:t>
            </w:r>
            <w:r>
              <w:rPr>
                <w:rFonts w:hint="eastAsia" w:ascii="楷体_GB2312" w:hAnsi="宋体" w:eastAsia="楷体_GB2312"/>
                <w:b/>
                <w:bCs/>
                <w:szCs w:val="21"/>
                <w:highlight w:val="none"/>
              </w:rPr>
              <w:t>（</w:t>
            </w:r>
            <w:r>
              <w:rPr>
                <w:rFonts w:ascii="楷体_GB2312" w:hAnsi="宋体" w:eastAsia="楷体_GB2312"/>
                <w:b/>
                <w:bCs/>
                <w:szCs w:val="21"/>
                <w:highlight w:val="none"/>
              </w:rPr>
              <w:t>T日）</w:t>
            </w:r>
          </w:p>
          <w:p>
            <w:pPr>
              <w:contextualSpacing/>
              <w:jc w:val="center"/>
              <w:rPr>
                <w:rFonts w:ascii="楷体_GB2312" w:hAnsi="宋体" w:eastAsia="楷体_GB2312"/>
                <w:b/>
                <w:bCs/>
                <w:szCs w:val="21"/>
                <w:highlight w:val="none"/>
              </w:rPr>
            </w:pPr>
            <w:r>
              <w:rPr>
                <w:rFonts w:hint="eastAsia" w:ascii="楷体_GB2312" w:hAnsi="宋体" w:eastAsia="楷体_GB2312"/>
                <w:b/>
                <w:bCs/>
                <w:szCs w:val="21"/>
                <w:highlight w:val="none"/>
                <w:lang w:eastAsia="zh-CN"/>
              </w:rPr>
              <w:t>【</w:t>
            </w:r>
            <w:r>
              <w:rPr>
                <w:rFonts w:ascii="楷体_GB2312" w:hAnsi="宋体" w:eastAsia="楷体_GB2312"/>
                <w:b/>
                <w:bCs/>
                <w:color w:val="C00000"/>
                <w:szCs w:val="21"/>
                <w:highlight w:val="none"/>
              </w:rPr>
              <w:t>00:00</w:t>
            </w:r>
            <w:r>
              <w:rPr>
                <w:rFonts w:hint="eastAsia" w:ascii="楷体_GB2312" w:hAnsi="宋体" w:eastAsia="楷体_GB2312"/>
                <w:b/>
                <w:bCs/>
                <w:szCs w:val="21"/>
                <w:highlight w:val="none"/>
                <w:lang w:eastAsia="zh-CN"/>
              </w:rPr>
              <w:t>】</w:t>
            </w:r>
            <w:r>
              <w:rPr>
                <w:rFonts w:ascii="楷体_GB2312" w:hAnsi="宋体" w:eastAsia="楷体_GB2312"/>
                <w:b/>
                <w:bCs/>
                <w:szCs w:val="21"/>
                <w:highlight w:val="none"/>
              </w:rPr>
              <w:t>-</w:t>
            </w:r>
            <w:r>
              <w:rPr>
                <w:rFonts w:hint="eastAsia" w:ascii="楷体_GB2312" w:hAnsi="宋体" w:eastAsia="楷体_GB2312"/>
                <w:b/>
                <w:bCs/>
                <w:szCs w:val="21"/>
                <w:highlight w:val="none"/>
                <w:lang w:eastAsia="zh-CN"/>
              </w:rPr>
              <w:t>【</w:t>
            </w:r>
            <w:r>
              <w:rPr>
                <w:rFonts w:hint="eastAsia" w:ascii="楷体_GB2312" w:hAnsi="宋体" w:eastAsia="楷体_GB2312"/>
                <w:b/>
                <w:bCs/>
                <w:color w:val="C00000"/>
                <w:szCs w:val="21"/>
                <w:highlight w:val="none"/>
                <w:lang w:val="en-US" w:eastAsia="zh-CN"/>
              </w:rPr>
              <w:t>16:00</w:t>
            </w:r>
            <w:r>
              <w:rPr>
                <w:rFonts w:hint="eastAsia" w:ascii="楷体_GB2312" w:hAnsi="宋体" w:eastAsia="楷体_GB2312"/>
                <w:b/>
                <w:bCs/>
                <w:szCs w:val="21"/>
                <w:highlight w:val="none"/>
                <w:lang w:val="en-US" w:eastAsia="zh-CN"/>
              </w:rPr>
              <w:t>】</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_GB2312" w:hAnsi="宋体" w:eastAsia="楷体_GB2312"/>
                <w:b/>
                <w:bCs/>
                <w:szCs w:val="21"/>
                <w:lang w:eastAsia="zh-CN"/>
              </w:rPr>
            </w:pPr>
            <w:r>
              <w:rPr>
                <w:rFonts w:hint="eastAsia" w:ascii="楷体_GB2312" w:hAnsi="宋体" w:eastAsia="楷体_GB2312"/>
                <w:b/>
                <w:bCs/>
                <w:szCs w:val="21"/>
              </w:rPr>
              <w:t>T+1</w:t>
            </w:r>
            <w:r>
              <w:rPr>
                <w:rFonts w:hint="eastAsia" w:ascii="楷体_GB2312" w:hAnsi="宋体" w:eastAsia="楷体_GB2312"/>
                <w:b/>
                <w:bCs/>
                <w:szCs w:val="21"/>
                <w:lang w:eastAsia="zh-CN"/>
              </w:rPr>
              <w:t>【</w:t>
            </w:r>
            <w:r>
              <w:rPr>
                <w:rFonts w:hint="eastAsia" w:ascii="楷体_GB2312" w:hAnsi="宋体" w:eastAsia="楷体_GB2312"/>
                <w:b/>
                <w:bCs/>
                <w:color w:val="C00000"/>
                <w:szCs w:val="21"/>
                <w:lang w:val="en-US" w:eastAsia="zh-CN"/>
              </w:rPr>
              <w:t>交易</w:t>
            </w:r>
            <w:r>
              <w:rPr>
                <w:rFonts w:hint="eastAsia" w:ascii="楷体_GB2312" w:hAnsi="宋体" w:eastAsia="楷体_GB2312"/>
                <w:b/>
                <w:bCs/>
                <w:color w:val="C00000"/>
                <w:szCs w:val="21"/>
              </w:rPr>
              <w:t>日</w:t>
            </w:r>
            <w:r>
              <w:rPr>
                <w:rFonts w:hint="eastAsia" w:ascii="楷体_GB2312" w:hAnsi="宋体" w:eastAsia="楷体_GB2312"/>
                <w:b/>
                <w:bCs/>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contextualSpacing w:val="0"/>
              <w:jc w:val="center"/>
              <w:rPr>
                <w:rFonts w:ascii="楷体_GB2312" w:hAnsi="宋体" w:eastAsia="楷体_GB2312"/>
                <w:b/>
                <w:bCs/>
                <w:szCs w:val="21"/>
                <w:highlight w:val="none"/>
              </w:rPr>
            </w:pPr>
            <w:r>
              <w:rPr>
                <w:rFonts w:hint="eastAsia" w:ascii="楷体_GB2312" w:hAnsi="宋体" w:eastAsia="楷体_GB2312"/>
                <w:b/>
                <w:bCs/>
                <w:szCs w:val="21"/>
                <w:highlight w:val="none"/>
              </w:rPr>
              <w:t>每个</w:t>
            </w:r>
            <w:r>
              <w:rPr>
                <w:rFonts w:hint="eastAsia" w:ascii="楷体_GB2312" w:hAnsi="宋体" w:eastAsia="楷体_GB2312"/>
                <w:b/>
                <w:bCs/>
                <w:szCs w:val="21"/>
                <w:highlight w:val="none"/>
                <w:lang w:eastAsia="zh-CN"/>
              </w:rPr>
              <w:t>【</w:t>
            </w:r>
            <w:r>
              <w:rPr>
                <w:rFonts w:hint="eastAsia" w:ascii="楷体_GB2312" w:hAnsi="宋体" w:eastAsia="楷体_GB2312"/>
                <w:b/>
                <w:bCs/>
                <w:color w:val="C00000"/>
                <w:szCs w:val="21"/>
                <w:highlight w:val="none"/>
                <w:lang w:val="en-US" w:eastAsia="zh-CN"/>
              </w:rPr>
              <w:t>交易</w:t>
            </w:r>
            <w:r>
              <w:rPr>
                <w:rFonts w:hint="eastAsia" w:ascii="楷体_GB2312" w:hAnsi="宋体" w:eastAsia="楷体_GB2312"/>
                <w:b/>
                <w:bCs/>
                <w:color w:val="C00000"/>
                <w:szCs w:val="21"/>
                <w:highlight w:val="none"/>
              </w:rPr>
              <w:t>日</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rPr>
              <w:t>（</w:t>
            </w:r>
            <w:r>
              <w:rPr>
                <w:rFonts w:ascii="楷体_GB2312" w:hAnsi="宋体" w:eastAsia="楷体_GB2312"/>
                <w:b/>
                <w:bCs/>
                <w:szCs w:val="21"/>
                <w:highlight w:val="none"/>
              </w:rPr>
              <w:t>T日）</w:t>
            </w:r>
          </w:p>
          <w:p>
            <w:pPr>
              <w:contextualSpacing/>
              <w:jc w:val="center"/>
              <w:rPr>
                <w:rFonts w:hint="eastAsia" w:ascii="楷体_GB2312" w:hAnsi="宋体" w:eastAsia="楷体_GB2312"/>
                <w:b/>
                <w:bCs/>
                <w:szCs w:val="21"/>
                <w:highlight w:val="none"/>
                <w:lang w:eastAsia="zh-CN"/>
              </w:rPr>
            </w:pPr>
            <w:r>
              <w:rPr>
                <w:rFonts w:hint="eastAsia" w:ascii="楷体_GB2312" w:hAnsi="宋体" w:eastAsia="楷体_GB2312"/>
                <w:b/>
                <w:bCs/>
                <w:szCs w:val="21"/>
                <w:highlight w:val="none"/>
                <w:lang w:val="en-US" w:eastAsia="zh-CN"/>
              </w:rPr>
              <w:t>【</w:t>
            </w:r>
            <w:r>
              <w:rPr>
                <w:rFonts w:hint="eastAsia" w:ascii="楷体_GB2312" w:hAnsi="宋体" w:eastAsia="楷体_GB2312"/>
                <w:b/>
                <w:bCs/>
                <w:color w:val="C00000"/>
                <w:szCs w:val="21"/>
                <w:highlight w:val="none"/>
                <w:lang w:val="en-US" w:eastAsia="zh-CN"/>
              </w:rPr>
              <w:t>16:00</w:t>
            </w:r>
            <w:r>
              <w:rPr>
                <w:rFonts w:hint="eastAsia" w:ascii="楷体_GB2312" w:hAnsi="宋体" w:eastAsia="楷体_GB2312"/>
                <w:b/>
                <w:bCs/>
                <w:szCs w:val="21"/>
                <w:highlight w:val="none"/>
                <w:lang w:val="en-US" w:eastAsia="zh-CN"/>
              </w:rPr>
              <w:t>】</w:t>
            </w:r>
            <w:r>
              <w:rPr>
                <w:rFonts w:ascii="楷体_GB2312" w:hAnsi="宋体" w:eastAsia="楷体_GB2312"/>
                <w:b/>
                <w:bCs/>
                <w:szCs w:val="21"/>
                <w:highlight w:val="none"/>
              </w:rPr>
              <w:t>-</w:t>
            </w:r>
            <w:r>
              <w:rPr>
                <w:rFonts w:hint="eastAsia" w:ascii="楷体_GB2312" w:hAnsi="宋体" w:eastAsia="楷体_GB2312"/>
                <w:b/>
                <w:bCs/>
                <w:szCs w:val="21"/>
                <w:highlight w:val="none"/>
                <w:lang w:eastAsia="zh-CN"/>
              </w:rPr>
              <w:t>【</w:t>
            </w:r>
            <w:r>
              <w:rPr>
                <w:rFonts w:ascii="楷体_GB2312" w:hAnsi="宋体" w:eastAsia="楷体_GB2312"/>
                <w:b/>
                <w:bCs/>
                <w:color w:val="C00000"/>
                <w:szCs w:val="21"/>
                <w:highlight w:val="none"/>
              </w:rPr>
              <w:t>24</w:t>
            </w:r>
            <w:r>
              <w:rPr>
                <w:rFonts w:hint="eastAsia" w:ascii="楷体_GB2312" w:hAnsi="宋体" w:eastAsia="楷体_GB2312"/>
                <w:b/>
                <w:bCs/>
                <w:color w:val="C00000"/>
                <w:szCs w:val="21"/>
                <w:highlight w:val="none"/>
              </w:rPr>
              <w:t>:00</w:t>
            </w:r>
            <w:r>
              <w:rPr>
                <w:rFonts w:hint="eastAsia" w:ascii="楷体_GB2312" w:hAnsi="宋体" w:eastAsia="楷体_GB2312"/>
                <w:b/>
                <w:bCs/>
                <w:szCs w:val="21"/>
                <w:highlight w:val="none"/>
                <w:lang w:eastAsia="zh-CN"/>
              </w:rPr>
              <w:t>】</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_GB2312" w:hAnsi="宋体" w:eastAsia="楷体_GB2312"/>
                <w:b/>
                <w:bCs/>
                <w:szCs w:val="21"/>
                <w:lang w:eastAsia="zh-CN"/>
              </w:rPr>
            </w:pPr>
            <w:r>
              <w:rPr>
                <w:rFonts w:hint="eastAsia" w:ascii="楷体_GB2312" w:hAnsi="宋体" w:eastAsia="楷体_GB2312"/>
                <w:b/>
                <w:bCs/>
                <w:szCs w:val="21"/>
              </w:rPr>
              <w:t>T+2</w:t>
            </w:r>
            <w:r>
              <w:rPr>
                <w:rFonts w:hint="eastAsia" w:ascii="楷体_GB2312" w:hAnsi="宋体" w:eastAsia="楷体_GB2312"/>
                <w:b/>
                <w:bCs/>
                <w:szCs w:val="21"/>
                <w:lang w:eastAsia="zh-CN"/>
              </w:rPr>
              <w:t>【</w:t>
            </w:r>
            <w:r>
              <w:rPr>
                <w:rFonts w:hint="eastAsia" w:ascii="楷体_GB2312" w:hAnsi="宋体" w:eastAsia="楷体_GB2312"/>
                <w:b/>
                <w:bCs/>
                <w:color w:val="C00000"/>
                <w:szCs w:val="21"/>
                <w:lang w:val="en-US" w:eastAsia="zh-CN"/>
              </w:rPr>
              <w:t>交易</w:t>
            </w:r>
            <w:r>
              <w:rPr>
                <w:rFonts w:hint="eastAsia" w:ascii="楷体_GB2312" w:hAnsi="宋体" w:eastAsia="楷体_GB2312"/>
                <w:b/>
                <w:bCs/>
                <w:color w:val="C00000"/>
                <w:szCs w:val="21"/>
              </w:rPr>
              <w:t>日</w:t>
            </w:r>
            <w:r>
              <w:rPr>
                <w:rFonts w:hint="eastAsia" w:ascii="楷体_GB2312" w:hAnsi="宋体" w:eastAsia="楷体_GB2312"/>
                <w:b/>
                <w:bCs/>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contextualSpacing w:val="0"/>
              <w:jc w:val="center"/>
              <w:rPr>
                <w:rFonts w:ascii="楷体_GB2312" w:hAnsi="宋体" w:eastAsia="楷体_GB2312"/>
                <w:b/>
                <w:bCs/>
                <w:szCs w:val="21"/>
              </w:rPr>
            </w:pPr>
            <w:r>
              <w:rPr>
                <w:rFonts w:hint="eastAsia" w:ascii="楷体_GB2312" w:hAnsi="宋体" w:eastAsia="楷体_GB2312"/>
                <w:b/>
                <w:bCs/>
                <w:szCs w:val="21"/>
              </w:rPr>
              <w:t>非</w:t>
            </w:r>
            <w:r>
              <w:rPr>
                <w:rFonts w:hint="eastAsia" w:ascii="楷体_GB2312" w:hAnsi="宋体" w:eastAsia="楷体_GB2312"/>
                <w:b/>
                <w:bCs/>
                <w:szCs w:val="21"/>
                <w:lang w:eastAsia="zh-CN"/>
              </w:rPr>
              <w:t>【</w:t>
            </w:r>
            <w:r>
              <w:rPr>
                <w:rFonts w:hint="eastAsia" w:ascii="楷体_GB2312" w:hAnsi="宋体" w:eastAsia="楷体_GB2312"/>
                <w:b/>
                <w:bCs/>
                <w:color w:val="C00000"/>
                <w:szCs w:val="21"/>
                <w:lang w:val="en-US" w:eastAsia="zh-CN"/>
              </w:rPr>
              <w:t>交易日</w:t>
            </w:r>
            <w:r>
              <w:rPr>
                <w:rFonts w:hint="eastAsia" w:ascii="楷体_GB2312" w:hAnsi="宋体" w:eastAsia="楷体_GB2312"/>
                <w:b/>
                <w:bCs/>
                <w:szCs w:val="21"/>
                <w:lang w:eastAsia="zh-CN"/>
              </w:rPr>
              <w:t>】</w:t>
            </w:r>
            <w:r>
              <w:rPr>
                <w:rFonts w:hint="eastAsia" w:ascii="楷体_GB2312" w:hAnsi="宋体" w:eastAsia="楷体_GB2312"/>
                <w:b/>
                <w:bCs/>
                <w:szCs w:val="21"/>
              </w:rPr>
              <w:t>（</w:t>
            </w:r>
            <w:r>
              <w:rPr>
                <w:rFonts w:ascii="楷体_GB2312" w:hAnsi="宋体" w:eastAsia="楷体_GB2312"/>
                <w:b/>
                <w:bCs/>
                <w:szCs w:val="21"/>
              </w:rPr>
              <w:t>T日）</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_GB2312" w:hAnsi="宋体" w:eastAsia="楷体_GB2312"/>
                <w:b/>
                <w:bCs/>
                <w:szCs w:val="21"/>
                <w:lang w:eastAsia="zh-CN"/>
              </w:rPr>
            </w:pPr>
            <w:r>
              <w:rPr>
                <w:rFonts w:hint="eastAsia" w:ascii="楷体_GB2312" w:hAnsi="宋体" w:eastAsia="楷体_GB2312"/>
                <w:b/>
                <w:bCs/>
                <w:szCs w:val="21"/>
              </w:rPr>
              <w:t>T+</w:t>
            </w:r>
            <w:r>
              <w:rPr>
                <w:rFonts w:ascii="楷体_GB2312" w:hAnsi="宋体" w:eastAsia="楷体_GB2312"/>
                <w:b/>
                <w:bCs/>
                <w:szCs w:val="21"/>
              </w:rPr>
              <w:t>2</w:t>
            </w:r>
            <w:r>
              <w:rPr>
                <w:rFonts w:hint="eastAsia" w:ascii="楷体_GB2312" w:hAnsi="宋体" w:eastAsia="楷体_GB2312"/>
                <w:b/>
                <w:bCs/>
                <w:szCs w:val="21"/>
                <w:lang w:eastAsia="zh-CN"/>
              </w:rPr>
              <w:t>【</w:t>
            </w:r>
            <w:r>
              <w:rPr>
                <w:rFonts w:hint="eastAsia" w:ascii="楷体_GB2312" w:hAnsi="宋体" w:eastAsia="楷体_GB2312"/>
                <w:b/>
                <w:bCs/>
                <w:color w:val="C00000"/>
                <w:szCs w:val="21"/>
                <w:lang w:val="en-US" w:eastAsia="zh-CN"/>
              </w:rPr>
              <w:t>交易</w:t>
            </w:r>
            <w:r>
              <w:rPr>
                <w:rFonts w:hint="eastAsia" w:ascii="楷体_GB2312" w:hAnsi="宋体" w:eastAsia="楷体_GB2312"/>
                <w:b/>
                <w:bCs/>
                <w:color w:val="C00000"/>
                <w:szCs w:val="21"/>
              </w:rPr>
              <w:t>日</w:t>
            </w:r>
            <w:r>
              <w:rPr>
                <w:rFonts w:hint="eastAsia" w:ascii="楷体_GB2312" w:hAnsi="宋体" w:eastAsia="楷体_GB2312"/>
                <w:b/>
                <w:bCs/>
                <w:szCs w:val="21"/>
                <w:lang w:eastAsia="zh-CN"/>
              </w:rPr>
              <w:t>】</w:t>
            </w:r>
          </w:p>
        </w:tc>
      </w:tr>
    </w:tbl>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3</w:t>
      </w:r>
      <w:r>
        <w:rPr>
          <w:rFonts w:hint="eastAsia" w:ascii="楷体_GB2312" w:hAnsi="宋体" w:eastAsia="楷体_GB2312"/>
          <w:b/>
          <w:bCs/>
          <w:szCs w:val="21"/>
          <w:lang w:eastAsia="zh-CN"/>
        </w:rPr>
        <w:t>）</w:t>
      </w:r>
      <w:r>
        <w:rPr>
          <w:rFonts w:ascii="楷体_GB2312" w:hAnsi="宋体" w:eastAsia="楷体_GB2312"/>
          <w:b/>
          <w:bCs/>
          <w:szCs w:val="21"/>
        </w:rPr>
        <w:t>申购和赎回的支付</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管理人在申购</w:t>
      </w:r>
      <w:r>
        <w:rPr>
          <w:rFonts w:hint="eastAsia" w:ascii="楷体_GB2312" w:hAnsi="宋体" w:eastAsia="楷体_GB2312"/>
          <w:b/>
          <w:bCs/>
          <w:szCs w:val="21"/>
        </w:rPr>
        <w:t>交易确认</w:t>
      </w:r>
      <w:r>
        <w:rPr>
          <w:rFonts w:ascii="楷体_GB2312" w:hAnsi="宋体" w:eastAsia="楷体_GB2312"/>
          <w:b/>
          <w:bCs/>
          <w:szCs w:val="21"/>
        </w:rPr>
        <w:t>日</w:t>
      </w:r>
      <w:r>
        <w:rPr>
          <w:rFonts w:hint="eastAsia" w:ascii="楷体_GB2312" w:hAnsi="宋体" w:eastAsia="楷体_GB2312"/>
          <w:b/>
          <w:bCs/>
          <w:szCs w:val="21"/>
        </w:rPr>
        <w:t>（见受理、交易确认与估值对应时间部分的内容）</w:t>
      </w:r>
      <w:r>
        <w:rPr>
          <w:rFonts w:ascii="楷体_GB2312" w:hAnsi="宋体" w:eastAsia="楷体_GB2312"/>
          <w:b/>
          <w:bCs/>
          <w:szCs w:val="21"/>
        </w:rPr>
        <w:t>进行投资者份额确认并由销售机构扣减投资者账户资金，扣划款项成功后投资者申购成功。投资者申购成功后，可在此后该理财份额对应的任意</w:t>
      </w:r>
      <w:r>
        <w:rPr>
          <w:rFonts w:hint="eastAsia" w:ascii="楷体_GB2312" w:hAnsi="宋体" w:eastAsia="楷体_GB2312"/>
          <w:b/>
          <w:bCs/>
          <w:szCs w:val="21"/>
        </w:rPr>
        <w:t>可</w:t>
      </w:r>
      <w:r>
        <w:rPr>
          <w:rFonts w:ascii="楷体_GB2312" w:hAnsi="宋体" w:eastAsia="楷体_GB2312"/>
          <w:b/>
          <w:bCs/>
          <w:szCs w:val="21"/>
        </w:rPr>
        <w:t>赎回开放日赎回部分或全部申购份额。</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确认投资者赎回成功后，管理人将为投资者扣减份额，并将投资者应得的赎回资金于赎回</w:t>
      </w:r>
      <w:r>
        <w:rPr>
          <w:rFonts w:hint="eastAsia" w:ascii="楷体_GB2312" w:hAnsi="宋体" w:eastAsia="楷体_GB2312"/>
          <w:b/>
          <w:bCs/>
          <w:szCs w:val="21"/>
        </w:rPr>
        <w:t>确认</w:t>
      </w:r>
      <w:r>
        <w:rPr>
          <w:rFonts w:ascii="楷体_GB2312" w:hAnsi="宋体" w:eastAsia="楷体_GB2312"/>
          <w:b/>
          <w:bCs/>
          <w:szCs w:val="21"/>
        </w:rPr>
        <w:t>日后3个</w:t>
      </w:r>
      <w:r>
        <w:rPr>
          <w:rFonts w:hint="eastAsia" w:ascii="楷体_GB2312" w:hAnsi="宋体" w:eastAsia="楷体_GB2312"/>
          <w:b/>
          <w:bCs/>
          <w:szCs w:val="21"/>
          <w:lang w:val="en-US" w:eastAsia="zh-CN"/>
        </w:rPr>
        <w:t>交易日</w:t>
      </w:r>
      <w:r>
        <w:rPr>
          <w:rFonts w:ascii="楷体_GB2312" w:hAnsi="宋体" w:eastAsia="楷体_GB2312"/>
          <w:b/>
          <w:bCs/>
          <w:szCs w:val="21"/>
        </w:rPr>
        <w:t>内通过销售机构划转至投资者账户。</w:t>
      </w:r>
    </w:p>
    <w:p>
      <w:pPr>
        <w:spacing w:line="360" w:lineRule="auto"/>
        <w:ind w:firstLine="422" w:firstLineChars="200"/>
        <w:contextualSpacing/>
        <w:outlineLvl w:val="2"/>
        <w:rPr>
          <w:rFonts w:ascii="楷体_GB2312" w:hAnsi="宋体" w:eastAsia="楷体_GB2312"/>
          <w:b/>
          <w:bCs/>
          <w:szCs w:val="21"/>
        </w:rPr>
      </w:pPr>
      <w:r>
        <w:rPr>
          <w:rFonts w:hint="eastAsia" w:ascii="楷体_GB2312" w:hAnsi="宋体" w:eastAsia="楷体_GB2312"/>
          <w:b/>
          <w:bCs/>
          <w:szCs w:val="21"/>
          <w:lang w:val="en-US" w:eastAsia="zh-CN"/>
        </w:rPr>
        <w:t>7</w:t>
      </w:r>
      <w:r>
        <w:rPr>
          <w:rFonts w:hint="eastAsia" w:ascii="楷体_GB2312" w:hAnsi="宋体" w:eastAsia="楷体_GB2312"/>
          <w:b/>
          <w:bCs/>
          <w:szCs w:val="21"/>
        </w:rPr>
        <w:t>.</w:t>
      </w:r>
      <w:r>
        <w:rPr>
          <w:rFonts w:ascii="楷体_GB2312" w:hAnsi="宋体" w:eastAsia="楷体_GB2312"/>
          <w:b/>
          <w:bCs/>
          <w:szCs w:val="21"/>
        </w:rPr>
        <w:t>申购份额和赎回金额的计算</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申购份额的计算</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本理财产品申购份额的具体计算方法如下：</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申购份额＝申购金额÷</w:t>
      </w:r>
      <w:r>
        <w:rPr>
          <w:rFonts w:hint="eastAsia" w:ascii="楷体_GB2312" w:hAnsi="宋体" w:eastAsia="楷体_GB2312"/>
          <w:b/>
          <w:bCs/>
          <w:szCs w:val="21"/>
        </w:rPr>
        <w:t>（1</w:t>
      </w:r>
      <w:r>
        <w:rPr>
          <w:rFonts w:ascii="楷体_GB2312" w:hAnsi="宋体" w:eastAsia="楷体_GB2312"/>
          <w:b/>
          <w:bCs/>
          <w:szCs w:val="21"/>
        </w:rPr>
        <w:t>+申购费率</w:t>
      </w:r>
      <w:r>
        <w:rPr>
          <w:rFonts w:hint="eastAsia" w:ascii="楷体_GB2312" w:hAnsi="宋体" w:eastAsia="楷体_GB2312"/>
          <w:b/>
          <w:bCs/>
          <w:szCs w:val="21"/>
        </w:rPr>
        <w:t>）÷确认日</w:t>
      </w:r>
      <w:r>
        <w:rPr>
          <w:rFonts w:hint="eastAsia" w:ascii="楷体_GB2312" w:hAnsi="宋体" w:eastAsia="楷体_GB2312"/>
          <w:b/>
          <w:bCs/>
          <w:szCs w:val="21"/>
          <w:lang w:val="en-US" w:eastAsia="zh-CN"/>
        </w:rPr>
        <w:t>前一交易日</w:t>
      </w:r>
      <w:r>
        <w:rPr>
          <w:rFonts w:ascii="楷体_GB2312" w:hAnsi="宋体" w:eastAsia="楷体_GB2312"/>
          <w:b/>
          <w:bCs/>
          <w:szCs w:val="21"/>
        </w:rPr>
        <w:t>的理财产品</w:t>
      </w:r>
      <w:r>
        <w:rPr>
          <w:rFonts w:hint="eastAsia" w:ascii="楷体_GB2312" w:hAnsi="宋体" w:eastAsia="楷体_GB2312"/>
          <w:b/>
          <w:bCs/>
          <w:szCs w:val="21"/>
          <w:lang w:val="en-US" w:eastAsia="zh-CN"/>
        </w:rPr>
        <w:t>份额</w:t>
      </w:r>
      <w:r>
        <w:rPr>
          <w:rFonts w:ascii="楷体_GB2312" w:hAnsi="宋体" w:eastAsia="楷体_GB2312"/>
          <w:b/>
          <w:bCs/>
          <w:szCs w:val="21"/>
        </w:rPr>
        <w:t>净</w:t>
      </w:r>
      <w:r>
        <w:rPr>
          <w:rFonts w:hint="eastAsia" w:ascii="楷体_GB2312" w:hAnsi="宋体" w:eastAsia="楷体_GB2312"/>
          <w:b/>
          <w:bCs/>
          <w:szCs w:val="21"/>
          <w:lang w:val="en-US" w:eastAsia="zh-CN"/>
        </w:rPr>
        <w:t>值</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申购份额保留至小数点后2位（保留2位小数，四舍五入）。</w:t>
      </w:r>
    </w:p>
    <w:p>
      <w:pPr>
        <w:spacing w:line="360" w:lineRule="auto"/>
        <w:ind w:firstLine="422" w:firstLineChars="200"/>
        <w:contextualSpacing/>
        <w:rPr>
          <w:rFonts w:hint="eastAsia" w:ascii="楷体_GB2312" w:eastAsia="楷体_GB2312"/>
          <w:b/>
          <w:bCs/>
          <w:szCs w:val="21"/>
          <w:highlight w:val="none"/>
          <w:lang w:val="en-US" w:eastAsia="zh-CN"/>
        </w:rPr>
      </w:pPr>
      <w:r>
        <w:rPr>
          <w:rFonts w:hint="eastAsia" w:ascii="楷体_GB2312" w:hAnsi="宋体" w:eastAsia="楷体_GB2312"/>
          <w:b/>
          <w:bCs/>
          <w:szCs w:val="21"/>
          <w:lang w:val="en-US" w:eastAsia="zh-CN"/>
        </w:rPr>
        <w:t>本理财产品</w:t>
      </w:r>
      <w:r>
        <w:rPr>
          <w:rFonts w:ascii="楷体_GB2312" w:hAnsi="宋体" w:eastAsia="楷体_GB2312"/>
          <w:b/>
          <w:bCs/>
          <w:szCs w:val="21"/>
        </w:rPr>
        <w:t>申购费</w:t>
      </w:r>
      <w:r>
        <w:rPr>
          <w:rFonts w:hint="eastAsia" w:ascii="楷体_GB2312" w:hAnsi="宋体" w:eastAsia="楷体_GB2312"/>
          <w:b/>
          <w:bCs/>
          <w:szCs w:val="21"/>
          <w:lang w:val="en-US" w:eastAsia="zh-CN"/>
        </w:rPr>
        <w:t>率</w:t>
      </w:r>
      <w:r>
        <w:rPr>
          <w:rFonts w:hint="eastAsia" w:ascii="楷体_GB2312" w:eastAsia="楷体_GB2312"/>
          <w:b/>
          <w:bCs/>
          <w:szCs w:val="21"/>
          <w:highlight w:val="none"/>
          <w:lang w:val="en-US" w:eastAsia="zh-CN"/>
        </w:rPr>
        <w:t>：【</w:t>
      </w:r>
      <w:r>
        <w:rPr>
          <w:rFonts w:hint="eastAsia" w:ascii="楷体_GB2312" w:eastAsia="楷体_GB2312"/>
          <w:b/>
          <w:bCs/>
          <w:color w:val="C00000"/>
          <w:szCs w:val="21"/>
          <w:highlight w:val="none"/>
          <w:lang w:val="en-US" w:eastAsia="zh-CN"/>
        </w:rPr>
        <w:t>/</w:t>
      </w:r>
      <w:r>
        <w:rPr>
          <w:rFonts w:hint="eastAsia" w:ascii="楷体_GB2312" w:eastAsia="楷体_GB2312"/>
          <w:b/>
          <w:bCs/>
          <w:szCs w:val="21"/>
          <w:highlight w:val="none"/>
          <w:lang w:val="en-US" w:eastAsia="zh-CN"/>
        </w:rPr>
        <w:t>】。</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cs="楷体_GB2312"/>
          <w:b/>
          <w:bCs/>
          <w:szCs w:val="22"/>
          <w:lang w:val="en-US" w:eastAsia="zh-CN"/>
        </w:rPr>
        <w:t>该费用</w:t>
      </w:r>
      <w:r>
        <w:rPr>
          <w:rFonts w:hint="eastAsia" w:ascii="楷体_GB2312" w:hAnsi="宋体" w:eastAsia="楷体_GB2312"/>
          <w:b/>
          <w:bCs/>
          <w:szCs w:val="21"/>
          <w:lang w:val="en-US" w:eastAsia="zh-CN"/>
        </w:rPr>
        <w:t>由投资者承担并于申购份额时一次性支付。</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示例：假定某投资者投资500元人民币申购本理财产品，</w:t>
      </w:r>
      <w:r>
        <w:rPr>
          <w:rFonts w:hint="eastAsia" w:ascii="楷体_GB2312" w:hAnsi="宋体" w:eastAsia="楷体_GB2312"/>
          <w:b/>
          <w:bCs/>
          <w:szCs w:val="21"/>
        </w:rPr>
        <w:t>申购费率为0</w:t>
      </w:r>
      <w:r>
        <w:rPr>
          <w:rFonts w:ascii="楷体_GB2312" w:hAnsi="宋体" w:eastAsia="楷体_GB2312"/>
          <w:b/>
          <w:bCs/>
          <w:szCs w:val="21"/>
        </w:rPr>
        <w:t>.00</w:t>
      </w:r>
      <w:r>
        <w:rPr>
          <w:rFonts w:hint="eastAsia" w:ascii="楷体_GB2312" w:hAnsi="宋体" w:eastAsia="楷体_GB2312"/>
          <w:b/>
          <w:bCs/>
          <w:szCs w:val="21"/>
        </w:rPr>
        <w:t>%，</w:t>
      </w:r>
      <w:r>
        <w:rPr>
          <w:rFonts w:ascii="楷体_GB2312" w:hAnsi="宋体" w:eastAsia="楷体_GB2312"/>
          <w:b/>
          <w:bCs/>
          <w:szCs w:val="21"/>
        </w:rPr>
        <w:t>理财产品</w:t>
      </w:r>
      <w:r>
        <w:rPr>
          <w:rFonts w:hint="eastAsia" w:ascii="楷体_GB2312" w:hAnsi="宋体" w:eastAsia="楷体_GB2312"/>
          <w:b/>
          <w:bCs/>
          <w:szCs w:val="21"/>
          <w:lang w:val="en-US" w:eastAsia="zh-CN"/>
        </w:rPr>
        <w:t>份额</w:t>
      </w:r>
      <w:r>
        <w:rPr>
          <w:rFonts w:hint="eastAsia" w:ascii="楷体_GB2312" w:hAnsi="宋体" w:eastAsia="楷体_GB2312"/>
          <w:b/>
          <w:bCs/>
          <w:szCs w:val="21"/>
        </w:rPr>
        <w:t>净值</w:t>
      </w:r>
      <w:r>
        <w:rPr>
          <w:rFonts w:ascii="楷体_GB2312" w:hAnsi="宋体" w:eastAsia="楷体_GB2312"/>
          <w:b/>
          <w:bCs/>
          <w:szCs w:val="21"/>
        </w:rPr>
        <w:t>为1.0250</w:t>
      </w:r>
      <w:r>
        <w:rPr>
          <w:rFonts w:hint="eastAsia" w:ascii="楷体_GB2312" w:hAnsi="宋体" w:eastAsia="楷体_GB2312"/>
          <w:b/>
          <w:bCs/>
          <w:szCs w:val="21"/>
        </w:rPr>
        <w:t>0</w:t>
      </w:r>
      <w:r>
        <w:rPr>
          <w:rFonts w:ascii="楷体_GB2312" w:hAnsi="宋体" w:eastAsia="楷体_GB2312"/>
          <w:b/>
          <w:bCs/>
          <w:szCs w:val="21"/>
        </w:rPr>
        <w:t>元人民币，则其可得到的申购份额计算如下：</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申购份数＝500÷(1</w:t>
      </w:r>
      <w:r>
        <w:rPr>
          <w:rFonts w:hint="eastAsia" w:ascii="楷体_GB2312" w:hAnsi="宋体" w:eastAsia="楷体_GB2312"/>
          <w:b/>
          <w:bCs/>
          <w:szCs w:val="21"/>
        </w:rPr>
        <w:t>+</w:t>
      </w:r>
      <w:r>
        <w:rPr>
          <w:rFonts w:ascii="楷体_GB2312" w:hAnsi="宋体" w:eastAsia="楷体_GB2312"/>
          <w:b/>
          <w:bCs/>
          <w:szCs w:val="21"/>
        </w:rPr>
        <w:t>0</w:t>
      </w:r>
      <w:r>
        <w:rPr>
          <w:rFonts w:hint="eastAsia" w:ascii="楷体_GB2312" w:hAnsi="宋体" w:eastAsia="楷体_GB2312"/>
          <w:b/>
          <w:bCs/>
          <w:szCs w:val="21"/>
        </w:rPr>
        <w:t>.0</w:t>
      </w:r>
      <w:r>
        <w:rPr>
          <w:rFonts w:ascii="楷体_GB2312" w:hAnsi="宋体" w:eastAsia="楷体_GB2312"/>
          <w:b/>
          <w:bCs/>
          <w:szCs w:val="21"/>
        </w:rPr>
        <w:t>0%)÷1.02500＝487.80份</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（2）</w:t>
      </w:r>
      <w:r>
        <w:rPr>
          <w:rFonts w:ascii="楷体_GB2312" w:hAnsi="宋体" w:eastAsia="楷体_GB2312"/>
          <w:b/>
          <w:bCs/>
          <w:szCs w:val="21"/>
        </w:rPr>
        <w:t>理财产品赎回金额的计算</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理财产品采用“份额赎回”方式，赎回价格以赎回</w:t>
      </w:r>
      <w:r>
        <w:rPr>
          <w:rFonts w:hint="eastAsia" w:ascii="楷体_GB2312" w:hAnsi="宋体" w:eastAsia="楷体_GB2312"/>
          <w:b/>
          <w:bCs/>
          <w:szCs w:val="21"/>
          <w:lang w:val="en-US" w:eastAsia="zh-CN"/>
        </w:rPr>
        <w:t>确认日前一交易日</w:t>
      </w:r>
      <w:r>
        <w:rPr>
          <w:rFonts w:ascii="楷体_GB2312" w:hAnsi="宋体" w:eastAsia="楷体_GB2312"/>
          <w:b/>
          <w:bCs/>
          <w:szCs w:val="21"/>
        </w:rPr>
        <w:t>的理财产品</w:t>
      </w:r>
      <w:r>
        <w:rPr>
          <w:rFonts w:hint="eastAsia" w:ascii="楷体_GB2312" w:hAnsi="宋体" w:eastAsia="楷体_GB2312"/>
          <w:b/>
          <w:bCs/>
          <w:szCs w:val="21"/>
          <w:lang w:val="en-US" w:eastAsia="zh-CN"/>
        </w:rPr>
        <w:t>份额</w:t>
      </w:r>
      <w:r>
        <w:rPr>
          <w:rFonts w:hint="eastAsia" w:ascii="楷体_GB2312" w:hAnsi="宋体" w:eastAsia="楷体_GB2312"/>
          <w:b/>
          <w:bCs/>
          <w:szCs w:val="21"/>
        </w:rPr>
        <w:t>净值</w:t>
      </w:r>
      <w:r>
        <w:rPr>
          <w:rFonts w:ascii="楷体_GB2312" w:hAnsi="宋体" w:eastAsia="楷体_GB2312"/>
          <w:b/>
          <w:bCs/>
          <w:szCs w:val="21"/>
        </w:rPr>
        <w:t>为基准进行计算,计算公式如下：</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赎回资金＝总赎回份额×</w:t>
      </w:r>
      <w:r>
        <w:rPr>
          <w:rFonts w:hint="eastAsia" w:ascii="楷体_GB2312" w:hAnsi="宋体" w:eastAsia="楷体_GB2312"/>
          <w:b/>
          <w:bCs/>
          <w:szCs w:val="21"/>
        </w:rPr>
        <w:t>（1</w:t>
      </w:r>
      <w:r>
        <w:rPr>
          <w:rFonts w:ascii="楷体_GB2312" w:hAnsi="宋体" w:eastAsia="楷体_GB2312"/>
          <w:b/>
          <w:bCs/>
          <w:szCs w:val="21"/>
        </w:rPr>
        <w:t>-赎回费率</w:t>
      </w:r>
      <w:r>
        <w:rPr>
          <w:rFonts w:hint="eastAsia" w:ascii="楷体_GB2312" w:hAnsi="宋体" w:eastAsia="楷体_GB2312"/>
          <w:b/>
          <w:bCs/>
          <w:szCs w:val="21"/>
        </w:rPr>
        <w:t>）×确认日</w:t>
      </w:r>
      <w:r>
        <w:rPr>
          <w:rFonts w:hint="eastAsia" w:ascii="楷体_GB2312" w:hAnsi="宋体" w:eastAsia="楷体_GB2312"/>
          <w:b/>
          <w:bCs/>
          <w:szCs w:val="21"/>
          <w:lang w:val="en-US" w:eastAsia="zh-CN"/>
        </w:rPr>
        <w:t>前一交易日</w:t>
      </w:r>
      <w:r>
        <w:rPr>
          <w:rFonts w:ascii="楷体_GB2312" w:hAnsi="宋体" w:eastAsia="楷体_GB2312"/>
          <w:b/>
          <w:bCs/>
          <w:szCs w:val="21"/>
        </w:rPr>
        <w:t>的理财产品</w:t>
      </w:r>
      <w:r>
        <w:rPr>
          <w:rFonts w:hint="eastAsia" w:ascii="楷体_GB2312" w:hAnsi="宋体" w:eastAsia="楷体_GB2312"/>
          <w:b/>
          <w:bCs/>
          <w:szCs w:val="21"/>
          <w:lang w:val="en-US" w:eastAsia="zh-CN"/>
        </w:rPr>
        <w:t>份额</w:t>
      </w:r>
      <w:r>
        <w:rPr>
          <w:rFonts w:ascii="楷体_GB2312" w:hAnsi="宋体" w:eastAsia="楷体_GB2312"/>
          <w:b/>
          <w:bCs/>
          <w:szCs w:val="21"/>
        </w:rPr>
        <w:t>净</w:t>
      </w:r>
      <w:r>
        <w:rPr>
          <w:rFonts w:hint="eastAsia" w:ascii="楷体_GB2312" w:hAnsi="宋体" w:eastAsia="楷体_GB2312"/>
          <w:b/>
          <w:bCs/>
          <w:szCs w:val="21"/>
          <w:lang w:val="en-US" w:eastAsia="zh-CN"/>
        </w:rPr>
        <w:t>值</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赎回</w:t>
      </w:r>
      <w:r>
        <w:rPr>
          <w:rFonts w:ascii="楷体_GB2312" w:hAnsi="宋体" w:eastAsia="楷体_GB2312"/>
          <w:b/>
          <w:bCs/>
          <w:szCs w:val="21"/>
        </w:rPr>
        <w:t>份额保留至小数点后2位（保留2位小数，四舍五入）。</w:t>
      </w:r>
    </w:p>
    <w:p>
      <w:pPr>
        <w:spacing w:line="360" w:lineRule="auto"/>
        <w:ind w:firstLine="422" w:firstLineChars="200"/>
        <w:contextualSpacing/>
        <w:rPr>
          <w:rFonts w:hint="eastAsia" w:ascii="楷体_GB2312" w:eastAsia="楷体_GB2312"/>
          <w:b/>
          <w:bCs/>
          <w:szCs w:val="21"/>
          <w:highlight w:val="none"/>
          <w:lang w:val="en-US" w:eastAsia="zh-CN"/>
        </w:rPr>
      </w:pPr>
      <w:r>
        <w:rPr>
          <w:rFonts w:hint="eastAsia" w:ascii="楷体_GB2312" w:hAnsi="宋体" w:eastAsia="楷体_GB2312"/>
          <w:b/>
          <w:bCs/>
          <w:szCs w:val="21"/>
          <w:lang w:val="en-US" w:eastAsia="zh-CN"/>
        </w:rPr>
        <w:t>本理财产品赎回</w:t>
      </w:r>
      <w:r>
        <w:rPr>
          <w:rFonts w:ascii="楷体_GB2312" w:hAnsi="宋体" w:eastAsia="楷体_GB2312"/>
          <w:b/>
          <w:bCs/>
          <w:szCs w:val="21"/>
        </w:rPr>
        <w:t>费</w:t>
      </w:r>
      <w:r>
        <w:rPr>
          <w:rFonts w:hint="eastAsia" w:ascii="楷体_GB2312" w:hAnsi="宋体" w:eastAsia="楷体_GB2312"/>
          <w:b/>
          <w:bCs/>
          <w:szCs w:val="21"/>
          <w:lang w:val="en-US" w:eastAsia="zh-CN"/>
        </w:rPr>
        <w:t>率</w:t>
      </w:r>
      <w:r>
        <w:rPr>
          <w:rFonts w:hint="eastAsia" w:ascii="楷体_GB2312" w:eastAsia="楷体_GB2312"/>
          <w:b/>
          <w:bCs/>
          <w:szCs w:val="21"/>
          <w:highlight w:val="none"/>
          <w:lang w:val="en-US" w:eastAsia="zh-CN"/>
        </w:rPr>
        <w:t>：【</w:t>
      </w:r>
      <w:r>
        <w:rPr>
          <w:rFonts w:hint="eastAsia" w:ascii="楷体_GB2312" w:eastAsia="楷体_GB2312"/>
          <w:b/>
          <w:bCs/>
          <w:color w:val="C00000"/>
          <w:szCs w:val="21"/>
          <w:highlight w:val="none"/>
          <w:lang w:val="en-US" w:eastAsia="zh-CN"/>
        </w:rPr>
        <w:t>/</w:t>
      </w:r>
      <w:r>
        <w:rPr>
          <w:rFonts w:hint="eastAsia" w:ascii="楷体_GB2312" w:eastAsia="楷体_GB2312"/>
          <w:b/>
          <w:bCs/>
          <w:szCs w:val="21"/>
          <w:highlight w:val="none"/>
          <w:lang w:val="en-US" w:eastAsia="zh-CN"/>
        </w:rPr>
        <w:t>】。</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cs="楷体_GB2312"/>
          <w:b/>
          <w:bCs/>
          <w:szCs w:val="22"/>
          <w:lang w:val="en-US" w:eastAsia="zh-CN"/>
        </w:rPr>
        <w:t>该费用</w:t>
      </w:r>
      <w:r>
        <w:rPr>
          <w:rFonts w:hint="eastAsia" w:ascii="楷体_GB2312" w:hAnsi="宋体" w:eastAsia="楷体_GB2312"/>
          <w:b/>
          <w:bCs/>
          <w:szCs w:val="21"/>
          <w:lang w:val="en-US" w:eastAsia="zh-CN"/>
        </w:rPr>
        <w:t>由投资者承担并于赎回份额时一次性支付。</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示例：假定某投资者在赎回开放日赎回100份理财产品份额，</w:t>
      </w:r>
      <w:r>
        <w:rPr>
          <w:rFonts w:hint="eastAsia" w:ascii="楷体_GB2312" w:hAnsi="宋体" w:eastAsia="楷体_GB2312"/>
          <w:b/>
          <w:bCs/>
          <w:szCs w:val="21"/>
        </w:rPr>
        <w:t>赎回费率为0</w:t>
      </w:r>
      <w:r>
        <w:rPr>
          <w:rFonts w:ascii="楷体_GB2312" w:hAnsi="宋体" w:eastAsia="楷体_GB2312"/>
          <w:b/>
          <w:bCs/>
          <w:szCs w:val="21"/>
        </w:rPr>
        <w:t>.00%</w:t>
      </w:r>
      <w:r>
        <w:rPr>
          <w:rFonts w:hint="eastAsia" w:ascii="楷体_GB2312" w:hAnsi="宋体" w:eastAsia="楷体_GB2312"/>
          <w:b/>
          <w:bCs/>
          <w:szCs w:val="21"/>
        </w:rPr>
        <w:t>，</w:t>
      </w:r>
      <w:r>
        <w:rPr>
          <w:rFonts w:ascii="楷体_GB2312" w:hAnsi="宋体" w:eastAsia="楷体_GB2312"/>
          <w:b/>
          <w:bCs/>
          <w:szCs w:val="21"/>
        </w:rPr>
        <w:t>理财产品</w:t>
      </w:r>
      <w:r>
        <w:rPr>
          <w:rFonts w:hint="eastAsia" w:ascii="楷体_GB2312" w:hAnsi="宋体" w:eastAsia="楷体_GB2312"/>
          <w:b/>
          <w:bCs/>
          <w:szCs w:val="21"/>
          <w:lang w:val="en-US" w:eastAsia="zh-CN"/>
        </w:rPr>
        <w:t>份额</w:t>
      </w:r>
      <w:r>
        <w:rPr>
          <w:rFonts w:hint="eastAsia" w:ascii="楷体_GB2312" w:hAnsi="宋体" w:eastAsia="楷体_GB2312"/>
          <w:b/>
          <w:bCs/>
          <w:szCs w:val="21"/>
        </w:rPr>
        <w:t>净值</w:t>
      </w:r>
      <w:r>
        <w:rPr>
          <w:rFonts w:ascii="楷体_GB2312" w:hAnsi="宋体" w:eastAsia="楷体_GB2312"/>
          <w:b/>
          <w:bCs/>
          <w:szCs w:val="21"/>
        </w:rPr>
        <w:t>为1.0530</w:t>
      </w:r>
      <w:r>
        <w:rPr>
          <w:rFonts w:hint="eastAsia" w:ascii="楷体_GB2312" w:hAnsi="宋体" w:eastAsia="楷体_GB2312"/>
          <w:b/>
          <w:bCs/>
          <w:szCs w:val="21"/>
        </w:rPr>
        <w:t>0</w:t>
      </w:r>
      <w:r>
        <w:rPr>
          <w:rFonts w:ascii="楷体_GB2312" w:hAnsi="宋体" w:eastAsia="楷体_GB2312"/>
          <w:b/>
          <w:bCs/>
          <w:szCs w:val="21"/>
        </w:rPr>
        <w:t>元人民币时赎回。</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投资者应得赎回资金＝100×</w:t>
      </w:r>
      <w:r>
        <w:rPr>
          <w:rFonts w:hint="eastAsia" w:ascii="楷体_GB2312" w:hAnsi="宋体" w:eastAsia="楷体_GB2312"/>
          <w:b/>
          <w:bCs/>
          <w:szCs w:val="21"/>
        </w:rPr>
        <w:t>（1-</w:t>
      </w:r>
      <w:r>
        <w:rPr>
          <w:rFonts w:ascii="楷体_GB2312" w:hAnsi="宋体" w:eastAsia="楷体_GB2312"/>
          <w:b/>
          <w:bCs/>
          <w:szCs w:val="21"/>
        </w:rPr>
        <w:t>0.00</w:t>
      </w:r>
      <w:r>
        <w:rPr>
          <w:rFonts w:hint="eastAsia" w:ascii="楷体_GB2312" w:hAnsi="宋体" w:eastAsia="楷体_GB2312"/>
          <w:b/>
          <w:bCs/>
          <w:szCs w:val="21"/>
        </w:rPr>
        <w:t>%）</w:t>
      </w:r>
      <w:r>
        <w:rPr>
          <w:rFonts w:ascii="楷体_GB2312" w:hAnsi="宋体" w:eastAsia="楷体_GB2312"/>
          <w:b/>
          <w:bCs/>
          <w:szCs w:val="21"/>
        </w:rPr>
        <w:t>×1.05300＝105.30元人民币</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（三）产品的其他交易规则</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1</w:t>
      </w:r>
      <w:r>
        <w:rPr>
          <w:rFonts w:ascii="楷体_GB2312" w:hAnsi="宋体" w:eastAsia="楷体_GB2312"/>
          <w:b/>
          <w:bCs/>
          <w:szCs w:val="21"/>
        </w:rPr>
        <w:t>.</w:t>
      </w:r>
      <w:r>
        <w:rPr>
          <w:rFonts w:hint="eastAsia" w:ascii="楷体_GB2312" w:hAnsi="宋体" w:eastAsia="楷体_GB2312"/>
          <w:b/>
          <w:bCs/>
          <w:szCs w:val="21"/>
        </w:rPr>
        <w:t>非交易过户：因司法执行、继承和赠予等活动产生的相关理财产品份额的过户为非交易过户，进行非交易过户的转出方和转入方都须在销售机构开设有本理财业务的授权指定账户，并须向管理人出示相关的法律文件正本及相关复印件。</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2</w:t>
      </w:r>
      <w:r>
        <w:rPr>
          <w:rFonts w:ascii="楷体_GB2312" w:hAnsi="宋体" w:eastAsia="楷体_GB2312"/>
          <w:b/>
          <w:bCs/>
          <w:szCs w:val="21"/>
        </w:rPr>
        <w:t>.</w:t>
      </w:r>
      <w:r>
        <w:rPr>
          <w:rFonts w:hint="eastAsia" w:ascii="楷体_GB2312" w:hAnsi="宋体" w:eastAsia="楷体_GB2312"/>
          <w:b/>
          <w:bCs/>
          <w:szCs w:val="21"/>
        </w:rPr>
        <w:t>份额冻结：管理人、销售机构可协助司法机关等因执行公务需要冻结客户的理财份额。</w:t>
      </w:r>
    </w:p>
    <w:p>
      <w:pPr>
        <w:spacing w:before="120" w:after="120" w:line="360" w:lineRule="auto"/>
        <w:ind w:firstLine="422" w:firstLineChars="200"/>
        <w:contextualSpacing/>
      </w:pPr>
      <w:r>
        <w:rPr>
          <w:rFonts w:hint="eastAsia" w:ascii="楷体_GB2312" w:hAnsi="宋体" w:eastAsia="楷体_GB2312"/>
          <w:b/>
          <w:bCs/>
          <w:szCs w:val="21"/>
          <w:lang w:val="en-US" w:eastAsia="zh-CN"/>
        </w:rPr>
        <w:t>3</w:t>
      </w:r>
      <w:r>
        <w:rPr>
          <w:rFonts w:ascii="楷体_GB2312" w:hAnsi="宋体" w:eastAsia="楷体_GB2312"/>
          <w:b/>
          <w:bCs/>
          <w:szCs w:val="21"/>
        </w:rPr>
        <w:t>.</w:t>
      </w:r>
      <w:r>
        <w:rPr>
          <w:rFonts w:hint="eastAsia" w:ascii="楷体_GB2312" w:hAnsi="宋体" w:eastAsia="楷体_GB2312"/>
          <w:b/>
          <w:bCs/>
          <w:szCs w:val="21"/>
        </w:rPr>
        <w:t>强制赎回：管理人、销售机构可协助司法机关等因执行公务需要，凭有关执行文件强制将客户本产品理财份额赎回，赎回的金额将划入该客户原授权指定账户。</w:t>
      </w:r>
    </w:p>
    <w:p>
      <w:pPr>
        <w:pStyle w:val="2"/>
        <w:spacing w:line="240" w:lineRule="auto"/>
        <w:rPr>
          <w:rFonts w:hint="eastAsia" w:ascii="楷体" w:hAnsi="楷体" w:eastAsia="楷体"/>
          <w:sz w:val="28"/>
          <w:szCs w:val="28"/>
        </w:rPr>
      </w:pPr>
      <w:r>
        <w:rPr>
          <w:rFonts w:hint="eastAsia" w:ascii="楷体" w:hAnsi="楷体" w:eastAsia="楷体"/>
          <w:sz w:val="28"/>
          <w:szCs w:val="28"/>
        </w:rPr>
        <w:t>六、理财产品估值</w:t>
      </w:r>
    </w:p>
    <w:p>
      <w:pPr>
        <w:spacing w:line="360" w:lineRule="auto"/>
        <w:ind w:firstLine="422" w:firstLineChars="200"/>
        <w:contextualSpacing/>
        <w:rPr>
          <w:rFonts w:ascii="楷体_GB2312" w:hAnsi="宋体" w:eastAsia="楷体_GB2312"/>
          <w:b/>
          <w:bCs/>
          <w:szCs w:val="21"/>
          <w:highlight w:val="none"/>
        </w:rPr>
      </w:pPr>
      <w:r>
        <w:rPr>
          <w:rFonts w:hint="eastAsia" w:ascii="楷体" w:hAnsi="楷体" w:eastAsia="楷体"/>
          <w:b/>
          <w:bCs/>
        </w:rPr>
        <w:t>本</w:t>
      </w:r>
      <w:r>
        <w:rPr>
          <w:rFonts w:hint="eastAsia" w:ascii="楷体" w:hAnsi="楷体" w:eastAsia="楷体"/>
          <w:b/>
          <w:bCs/>
          <w:color w:val="auto"/>
        </w:rPr>
        <w:t>理财产品存续期间，每个交易日、理财产品收益分配基准日以及理财产品终止日为估值日</w:t>
      </w:r>
      <w:r>
        <w:rPr>
          <w:rFonts w:hint="eastAsia" w:ascii="楷体_GB2312" w:hAnsi="宋体" w:eastAsia="楷体_GB2312"/>
          <w:b/>
          <w:bCs/>
          <w:szCs w:val="21"/>
          <w:highlight w:val="none"/>
        </w:rPr>
        <w:t>。</w:t>
      </w:r>
      <w:r>
        <w:rPr>
          <w:rFonts w:hint="eastAsia" w:ascii="楷体" w:hAnsi="楷体" w:eastAsia="楷体"/>
          <w:b/>
          <w:bCs/>
          <w:color w:val="auto"/>
        </w:rPr>
        <w:t>管理人在估值日扣除理财产品承担的各项费用、税费（如有）后，计算理财产品</w:t>
      </w:r>
      <w:r>
        <w:rPr>
          <w:rFonts w:hint="eastAsia" w:ascii="楷体" w:hAnsi="楷体" w:eastAsia="楷体"/>
          <w:b/>
          <w:bCs/>
          <w:color w:val="auto"/>
          <w:lang w:val="en-US" w:eastAsia="zh-CN"/>
        </w:rPr>
        <w:t>份额</w:t>
      </w:r>
      <w:r>
        <w:rPr>
          <w:rFonts w:hint="eastAsia" w:ascii="楷体" w:hAnsi="楷体" w:eastAsia="楷体"/>
          <w:b/>
          <w:bCs/>
          <w:color w:val="auto"/>
        </w:rPr>
        <w:t>净值</w:t>
      </w:r>
      <w:r>
        <w:rPr>
          <w:rFonts w:hint="eastAsia" w:ascii="楷体" w:hAnsi="楷体" w:eastAsia="楷体"/>
          <w:b/>
          <w:bCs/>
          <w:color w:val="auto"/>
          <w:lang w:val="en-US" w:eastAsia="zh-CN"/>
        </w:rPr>
        <w:t>和</w:t>
      </w:r>
      <w:r>
        <w:rPr>
          <w:rFonts w:hint="eastAsia" w:ascii="楷体_GB2312" w:hAnsi="宋体" w:eastAsia="楷体_GB2312"/>
          <w:b/>
          <w:bCs/>
          <w:color w:val="auto"/>
          <w:szCs w:val="21"/>
          <w:lang w:val="en-US" w:eastAsia="zh-CN"/>
        </w:rPr>
        <w:t>理财产品份额累计净值</w:t>
      </w:r>
      <w:r>
        <w:rPr>
          <w:rFonts w:hint="eastAsia" w:ascii="楷体" w:hAnsi="楷体" w:eastAsia="楷体"/>
          <w:b/>
          <w:bCs/>
          <w:color w:val="auto"/>
        </w:rPr>
        <w:t>，并于估值日后第</w:t>
      </w:r>
      <w:r>
        <w:rPr>
          <w:rFonts w:hint="eastAsia" w:ascii="楷体" w:hAnsi="楷体" w:eastAsia="楷体"/>
          <w:b/>
          <w:bCs/>
          <w:color w:val="auto"/>
          <w:lang w:val="en-US" w:eastAsia="zh-CN"/>
        </w:rPr>
        <w:t>2</w:t>
      </w:r>
      <w:r>
        <w:rPr>
          <w:rFonts w:hint="eastAsia" w:ascii="楷体" w:hAnsi="楷体" w:eastAsia="楷体"/>
          <w:b/>
          <w:bCs/>
          <w:color w:val="auto"/>
        </w:rPr>
        <w:t>个</w:t>
      </w:r>
      <w:r>
        <w:rPr>
          <w:rFonts w:hint="eastAsia" w:ascii="楷体" w:hAnsi="楷体" w:eastAsia="楷体"/>
          <w:b/>
          <w:bCs/>
          <w:color w:val="auto"/>
          <w:lang w:val="en-US" w:eastAsia="zh-CN"/>
        </w:rPr>
        <w:t>工作日</w:t>
      </w:r>
      <w:r>
        <w:rPr>
          <w:rFonts w:hint="eastAsia" w:ascii="楷体" w:hAnsi="楷体" w:eastAsia="楷体"/>
          <w:b/>
          <w:bCs/>
          <w:color w:val="auto"/>
        </w:rPr>
        <w:t>内通过“信息披露”约定的渠道发布。</w:t>
      </w:r>
      <w:r>
        <w:rPr>
          <w:rFonts w:hint="eastAsia" w:ascii="楷体_GB2312" w:hAnsi="Times New Roman" w:eastAsia="楷体_GB2312" w:cs="Times New Roman"/>
          <w:b/>
          <w:bCs/>
          <w:szCs w:val="21"/>
          <w:highlight w:val="none"/>
        </w:rPr>
        <w:t>管理人有权对以上</w:t>
      </w:r>
      <w:r>
        <w:rPr>
          <w:rFonts w:hint="eastAsia" w:ascii="楷体_GB2312" w:hAnsi="Times New Roman" w:eastAsia="楷体_GB2312" w:cs="Times New Roman"/>
          <w:b/>
          <w:bCs/>
          <w:szCs w:val="21"/>
          <w:highlight w:val="none"/>
          <w:lang w:eastAsia="zh-CN"/>
        </w:rPr>
        <w:t>产品估值规则</w:t>
      </w:r>
      <w:r>
        <w:rPr>
          <w:rFonts w:hint="eastAsia" w:ascii="楷体_GB2312" w:hAnsi="Times New Roman" w:eastAsia="楷体_GB2312" w:cs="Times New Roman"/>
          <w:b/>
          <w:bCs/>
          <w:szCs w:val="21"/>
          <w:highlight w:val="none"/>
        </w:rPr>
        <w:t>进行修改</w:t>
      </w:r>
      <w:r>
        <w:rPr>
          <w:rFonts w:hint="eastAsia" w:ascii="楷体_GB2312" w:hAnsi="宋体" w:eastAsia="楷体_GB2312"/>
          <w:b/>
          <w:bCs/>
          <w:szCs w:val="21"/>
          <w:highlight w:val="none"/>
        </w:rPr>
        <w:t>，并通过</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lang w:val="en-US" w:eastAsia="zh-CN"/>
        </w:rPr>
        <w:t>产品说明书</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rPr>
        <w:t>“信息披露”约定的方式进行披露。</w:t>
      </w:r>
    </w:p>
    <w:p>
      <w:pPr>
        <w:spacing w:line="360" w:lineRule="auto"/>
        <w:ind w:firstLine="422" w:firstLineChars="200"/>
        <w:contextualSpacing/>
        <w:rPr>
          <w:rFonts w:ascii="楷体_GB2312" w:hAnsi="宋体" w:eastAsia="楷体_GB2312"/>
          <w:b/>
          <w:bCs/>
          <w:szCs w:val="21"/>
          <w:highlight w:val="none"/>
        </w:rPr>
      </w:pPr>
      <w:r>
        <w:rPr>
          <w:rFonts w:ascii="楷体_GB2312" w:hAnsi="宋体" w:eastAsia="楷体_GB2312"/>
          <w:b/>
          <w:bCs/>
          <w:szCs w:val="21"/>
          <w:highlight w:val="none"/>
        </w:rPr>
        <w:t>理财产品某一类份额的</w:t>
      </w:r>
      <w:r>
        <w:rPr>
          <w:rFonts w:hint="eastAsia" w:ascii="楷体_GB2312" w:hAnsi="宋体" w:eastAsia="楷体_GB2312"/>
          <w:b/>
          <w:bCs/>
          <w:szCs w:val="21"/>
          <w:highlight w:val="none"/>
          <w:lang w:val="en-US" w:eastAsia="zh-CN"/>
        </w:rPr>
        <w:t>份额</w:t>
      </w:r>
      <w:r>
        <w:rPr>
          <w:rFonts w:ascii="楷体_GB2312" w:hAnsi="宋体" w:eastAsia="楷体_GB2312"/>
          <w:b/>
          <w:bCs/>
          <w:szCs w:val="21"/>
          <w:highlight w:val="none"/>
        </w:rPr>
        <w:t>净值指1份理财产品份额以人民币计价的价格。</w:t>
      </w:r>
    </w:p>
    <w:p>
      <w:pPr>
        <w:spacing w:line="360" w:lineRule="auto"/>
        <w:ind w:firstLine="422" w:firstLineChars="200"/>
        <w:contextualSpacing/>
        <w:rPr>
          <w:rFonts w:ascii="楷体_GB2312" w:hAnsi="宋体" w:eastAsia="楷体_GB2312"/>
          <w:b/>
          <w:bCs/>
          <w:szCs w:val="21"/>
          <w:highlight w:val="none"/>
        </w:rPr>
      </w:pPr>
      <w:r>
        <w:rPr>
          <w:rFonts w:ascii="楷体_GB2312" w:hAnsi="宋体" w:eastAsia="楷体_GB2312"/>
          <w:b/>
          <w:bCs/>
          <w:szCs w:val="21"/>
          <w:highlight w:val="none"/>
        </w:rPr>
        <w:t>理财产品某一类份额的</w:t>
      </w:r>
      <w:r>
        <w:rPr>
          <w:rFonts w:hint="eastAsia" w:ascii="楷体_GB2312" w:hAnsi="宋体" w:eastAsia="楷体_GB2312"/>
          <w:b/>
          <w:bCs/>
          <w:szCs w:val="21"/>
          <w:highlight w:val="none"/>
          <w:lang w:val="en-US" w:eastAsia="zh-CN"/>
        </w:rPr>
        <w:t>份额</w:t>
      </w:r>
      <w:r>
        <w:rPr>
          <w:rFonts w:ascii="楷体_GB2312" w:hAnsi="宋体" w:eastAsia="楷体_GB2312"/>
          <w:b/>
          <w:bCs/>
          <w:szCs w:val="21"/>
          <w:highlight w:val="none"/>
        </w:rPr>
        <w:t>净值＝理财产品该类份额</w:t>
      </w:r>
      <w:r>
        <w:rPr>
          <w:rFonts w:hint="eastAsia" w:ascii="楷体_GB2312" w:hAnsi="宋体" w:eastAsia="楷体_GB2312"/>
          <w:b/>
          <w:bCs/>
          <w:szCs w:val="21"/>
          <w:highlight w:val="none"/>
          <w:lang w:val="en-US" w:eastAsia="zh-CN"/>
        </w:rPr>
        <w:t>资产净值</w:t>
      </w:r>
      <w:r>
        <w:rPr>
          <w:rFonts w:ascii="楷体_GB2312" w:hAnsi="宋体" w:eastAsia="楷体_GB2312"/>
          <w:b/>
          <w:bCs/>
          <w:szCs w:val="21"/>
          <w:highlight w:val="none"/>
        </w:rPr>
        <w:t>÷理财产品该类份额总份额</w:t>
      </w:r>
    </w:p>
    <w:p>
      <w:pPr>
        <w:spacing w:line="360" w:lineRule="auto"/>
        <w:ind w:firstLine="422" w:firstLineChars="200"/>
        <w:contextualSpacing/>
        <w:outlineLvl w:val="1"/>
        <w:rPr>
          <w:rFonts w:ascii="楷体_GB2312" w:hAnsi="宋体" w:eastAsia="楷体_GB2312"/>
          <w:b/>
          <w:bCs/>
          <w:szCs w:val="21"/>
        </w:rPr>
      </w:pPr>
      <w:r>
        <w:rPr>
          <w:rFonts w:ascii="楷体_GB2312" w:hAnsi="宋体" w:eastAsia="楷体_GB2312"/>
          <w:b/>
          <w:bCs/>
          <w:szCs w:val="21"/>
          <w:lang w:val="en-US" w:eastAsia="zh-CN"/>
        </w:rPr>
        <w:t xml:space="preserve">（一）估值原则 </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lang w:val="en-US" w:eastAsia="zh-CN"/>
        </w:rPr>
        <w:t xml:space="preserve">1.适配性原则：金融资产的估值方法与理财产品的类型相匹配。 </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lang w:val="en-US" w:eastAsia="zh-CN"/>
        </w:rPr>
        <w:t xml:space="preserve">2.审慎性原则：审慎确认和计量金融资产的公允价值，不高估公允价值收益，不低估公允价值损失。 </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lang w:val="en-US" w:eastAsia="zh-CN"/>
        </w:rPr>
        <w:t xml:space="preserve">3.充分性原则：估值过程中充分考虑金融资产的性质、重要性级及复杂程度等因素。 </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lang w:val="en-US" w:eastAsia="zh-CN"/>
        </w:rPr>
        <w:t>4.清晰性原则：估值方法应清晰明了，便于理解和应用，能清晰反应金融资产的性质。</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w:t>
      </w:r>
      <w:r>
        <w:rPr>
          <w:rFonts w:hint="eastAsia" w:ascii="楷体" w:hAnsi="楷体" w:eastAsia="楷体"/>
          <w:sz w:val="21"/>
          <w:lang w:val="en-US" w:eastAsia="zh-CN"/>
        </w:rPr>
        <w:t>二</w:t>
      </w:r>
      <w:r>
        <w:rPr>
          <w:rFonts w:hint="eastAsia" w:ascii="楷体" w:hAnsi="楷体" w:eastAsia="楷体"/>
          <w:sz w:val="21"/>
        </w:rPr>
        <w:t>）</w:t>
      </w:r>
      <w:r>
        <w:rPr>
          <w:rFonts w:ascii="楷体" w:hAnsi="楷体" w:eastAsia="楷体"/>
          <w:sz w:val="21"/>
        </w:rPr>
        <w:t>估值方法</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1.理财产品直接持有</w:t>
      </w:r>
      <w:r>
        <w:rPr>
          <w:rFonts w:ascii="楷体_GB2312" w:hAnsi="宋体" w:eastAsia="楷体_GB2312"/>
          <w:b w:val="0"/>
          <w:bCs w:val="0"/>
          <w:szCs w:val="21"/>
        </w:rPr>
        <w:t>在证券交易所上市的股票，以其估值日在证券交易所挂牌的市价（收盘价）估值；估值日无交易的，最近</w:t>
      </w:r>
      <w:r>
        <w:rPr>
          <w:rFonts w:hint="eastAsia" w:ascii="楷体_GB2312" w:hAnsi="宋体" w:eastAsia="楷体_GB2312"/>
          <w:b w:val="0"/>
          <w:bCs w:val="0"/>
          <w:szCs w:val="21"/>
        </w:rPr>
        <w:t>交易日</w:t>
      </w:r>
      <w:r>
        <w:rPr>
          <w:rFonts w:ascii="楷体_GB2312" w:hAnsi="宋体" w:eastAsia="楷体_GB2312"/>
          <w:b w:val="0"/>
          <w:bCs w:val="0"/>
          <w:szCs w:val="21"/>
        </w:rPr>
        <w:t>后经济环境未发生重大变化且证券发行机构未发生影响证券价格的重大事件的，以最近</w:t>
      </w:r>
      <w:r>
        <w:rPr>
          <w:rFonts w:hint="eastAsia" w:ascii="楷体_GB2312" w:hAnsi="宋体" w:eastAsia="楷体_GB2312"/>
          <w:b w:val="0"/>
          <w:bCs w:val="0"/>
          <w:szCs w:val="21"/>
        </w:rPr>
        <w:t>交易日</w:t>
      </w:r>
      <w:r>
        <w:rPr>
          <w:rFonts w:ascii="楷体_GB2312" w:hAnsi="宋体" w:eastAsia="楷体_GB2312"/>
          <w:b w:val="0"/>
          <w:bCs w:val="0"/>
          <w:szCs w:val="21"/>
        </w:rPr>
        <w:t>的市价（收盘价）估值；最近</w:t>
      </w:r>
      <w:r>
        <w:rPr>
          <w:rFonts w:hint="eastAsia" w:ascii="楷体_GB2312" w:hAnsi="宋体" w:eastAsia="楷体_GB2312"/>
          <w:b w:val="0"/>
          <w:bCs w:val="0"/>
          <w:szCs w:val="21"/>
        </w:rPr>
        <w:t>交易日</w:t>
      </w:r>
      <w:r>
        <w:rPr>
          <w:rFonts w:ascii="楷体_GB2312" w:hAnsi="宋体" w:eastAsia="楷体_GB2312"/>
          <w:b w:val="0"/>
          <w:bCs w:val="0"/>
          <w:szCs w:val="21"/>
        </w:rPr>
        <w:t>后经济环境发生了重大变化或证券发行机构发生影响证券价格的重大事件的，参考类似投资品种的现行市价及重大变化因素调整最近交易市价；对于长期停牌股票，按行业通行的估值方法处理。</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2.理财产品直接持有的在证券交易所和全国银行间市场交易的债券，按第三方估值机构（中债、中证等）提供的估值数据，对本组合持有的债券进行估值，具体第三方估值机构由管理人和托管行具体协商确定。如监管另有规定的，按照监管的最新规定进行调整。如本组合持有的债券在本产品存续期内，因经济环境发生重大变化或债券发行主体发生重大事件等，导致债券价格发生重大变化的或导致债券发行主体无法履行应尽的偿债义务的，经管理人合理判断后，参考第三方估值机构提供的估值数据、市场价格及债券发行主体实际状况等，对该债券的价值进行重估，并合理确定随后该债券遵循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3.</w:t>
      </w:r>
      <w:r>
        <w:rPr>
          <w:rFonts w:ascii="楷体_GB2312" w:hAnsi="宋体" w:eastAsia="楷体_GB2312"/>
          <w:b w:val="0"/>
          <w:bCs w:val="0"/>
          <w:szCs w:val="21"/>
        </w:rPr>
        <w:t>未上市期间的有价证券（如有）应区分如下情况处理：</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（1）</w:t>
      </w:r>
      <w:r>
        <w:rPr>
          <w:rFonts w:ascii="楷体_GB2312" w:hAnsi="宋体" w:eastAsia="楷体_GB2312"/>
          <w:b w:val="0"/>
          <w:bCs w:val="0"/>
          <w:szCs w:val="21"/>
        </w:rPr>
        <w:t>送股、转增股、配股和公开增发新股，按估值日在证券交易所挂牌的同一股票的市价（收盘价）估值；该日无交易的，以最近</w:t>
      </w:r>
      <w:r>
        <w:rPr>
          <w:rFonts w:hint="eastAsia" w:ascii="楷体_GB2312" w:hAnsi="宋体" w:eastAsia="楷体_GB2312"/>
          <w:b w:val="0"/>
          <w:bCs w:val="0"/>
          <w:szCs w:val="21"/>
        </w:rPr>
        <w:t>交易日</w:t>
      </w:r>
      <w:r>
        <w:rPr>
          <w:rFonts w:ascii="楷体_GB2312" w:hAnsi="宋体" w:eastAsia="楷体_GB2312"/>
          <w:b w:val="0"/>
          <w:bCs w:val="0"/>
          <w:szCs w:val="21"/>
        </w:rPr>
        <w:t>市价（收盘价）估值；</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（2）</w:t>
      </w:r>
      <w:r>
        <w:rPr>
          <w:rFonts w:ascii="楷体_GB2312" w:hAnsi="宋体" w:eastAsia="楷体_GB2312"/>
          <w:b w:val="0"/>
          <w:bCs w:val="0"/>
          <w:szCs w:val="21"/>
        </w:rPr>
        <w:t>首次公开发行未上市或未挂牌转让的股票、债券，采用估值技术确定公允价值，在估值技术难以可靠计量公允价值的情况下，按成本估值；</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（3）</w:t>
      </w:r>
      <w:r>
        <w:rPr>
          <w:rFonts w:ascii="楷体_GB2312" w:hAnsi="宋体" w:eastAsia="楷体_GB2312"/>
          <w:b w:val="0"/>
          <w:bCs w:val="0"/>
          <w:szCs w:val="21"/>
        </w:rPr>
        <w:t>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估值。</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4.</w:t>
      </w:r>
      <w:r>
        <w:rPr>
          <w:rFonts w:ascii="楷体_GB2312" w:hAnsi="宋体" w:eastAsia="楷体_GB2312"/>
          <w:b w:val="0"/>
          <w:bCs w:val="0"/>
          <w:szCs w:val="21"/>
        </w:rPr>
        <w:t>交易所上市未实行净价交易的债券按估值日收盘全价或第三方估值机构提供的相应品种当日的估值全价减去收盘价或估值全价中所含的债券应收利息得到的净价进行估值。</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5.可转换私募债券（如有）和可交换私募债券（如有）未转股前按照公允价值估值。</w:t>
      </w:r>
    </w:p>
    <w:p>
      <w:pPr>
        <w:spacing w:line="360" w:lineRule="auto"/>
        <w:ind w:firstLine="420" w:firstLineChars="200"/>
        <w:contextualSpacing/>
        <w:rPr>
          <w:rFonts w:hint="eastAsia" w:ascii="楷体_GB2312" w:hAnsi="宋体" w:eastAsia="楷体_GB2312"/>
          <w:b w:val="0"/>
          <w:bCs w:val="0"/>
          <w:szCs w:val="21"/>
        </w:rPr>
      </w:pPr>
      <w:r>
        <w:rPr>
          <w:rFonts w:hint="eastAsia" w:ascii="楷体_GB2312" w:hAnsi="宋体" w:eastAsia="楷体_GB2312"/>
          <w:b w:val="0"/>
          <w:bCs w:val="0"/>
          <w:szCs w:val="21"/>
        </w:rPr>
        <w:t>6.投资于信托计划、资产管理计划等的资产：</w:t>
      </w:r>
    </w:p>
    <w:p>
      <w:pPr>
        <w:spacing w:line="360" w:lineRule="auto"/>
        <w:ind w:firstLine="420" w:firstLineChars="200"/>
        <w:contextualSpacing/>
        <w:rPr>
          <w:rFonts w:hint="eastAsia" w:ascii="楷体_GB2312" w:hAnsi="宋体" w:eastAsia="楷体_GB2312"/>
          <w:b w:val="0"/>
          <w:bCs w:val="0"/>
          <w:szCs w:val="21"/>
        </w:rPr>
      </w:pPr>
      <w:r>
        <w:rPr>
          <w:rFonts w:hint="eastAsia" w:ascii="楷体_GB2312" w:hAnsi="宋体" w:eastAsia="楷体_GB2312"/>
          <w:b w:val="0"/>
          <w:bCs w:val="0"/>
          <w:szCs w:val="21"/>
        </w:rPr>
        <w:t>（1）按合同约定的估值方案，以信托计划的受托人、资产管理计划的管理人等和资产托管人共同确认的最新估值数据对本组合持有的资管计划进行估值；</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（2）非标准化债权资产通常不存在活跃报价的交易市场，通过估值技术确定其公允价值。如监管另有规定的，按照监管的最新规定进行调整。</w:t>
      </w:r>
    </w:p>
    <w:p>
      <w:pPr>
        <w:spacing w:line="360" w:lineRule="auto"/>
        <w:ind w:firstLine="420" w:firstLineChars="200"/>
        <w:contextualSpacing/>
        <w:rPr>
          <w:rFonts w:hint="eastAsia" w:ascii="楷体_GB2312" w:hAnsi="宋体" w:eastAsia="楷体_GB2312"/>
          <w:b w:val="0"/>
          <w:bCs w:val="0"/>
          <w:szCs w:val="21"/>
        </w:rPr>
      </w:pPr>
      <w:r>
        <w:rPr>
          <w:rFonts w:hint="eastAsia" w:ascii="楷体_GB2312" w:hAnsi="宋体" w:eastAsia="楷体_GB2312"/>
          <w:b w:val="0"/>
          <w:bCs w:val="0"/>
          <w:szCs w:val="21"/>
        </w:rPr>
        <w:t>7.债券回购和拆借按买入成本列示，按照票面利率或者商定利率每日计提收益。</w:t>
      </w:r>
    </w:p>
    <w:p>
      <w:pPr>
        <w:spacing w:line="360" w:lineRule="auto"/>
        <w:ind w:firstLine="420" w:firstLineChars="200"/>
        <w:contextualSpacing/>
        <w:rPr>
          <w:rFonts w:hint="eastAsia" w:ascii="楷体_GB2312" w:hAnsi="宋体" w:eastAsia="楷体_GB2312"/>
          <w:b w:val="0"/>
          <w:bCs w:val="0"/>
          <w:szCs w:val="21"/>
        </w:rPr>
      </w:pPr>
      <w:r>
        <w:rPr>
          <w:rFonts w:hint="eastAsia" w:ascii="楷体_GB2312" w:hAnsi="宋体" w:eastAsia="楷体_GB2312"/>
          <w:b w:val="0"/>
          <w:bCs w:val="0"/>
          <w:szCs w:val="21"/>
        </w:rPr>
        <w:t>8.投资证券投资基金的估值方法：</w:t>
      </w:r>
    </w:p>
    <w:p>
      <w:pPr>
        <w:spacing w:line="360" w:lineRule="auto"/>
        <w:ind w:firstLine="420" w:firstLineChars="200"/>
        <w:contextualSpacing/>
        <w:rPr>
          <w:rFonts w:hint="eastAsia" w:ascii="楷体_GB2312" w:hAnsi="宋体" w:eastAsia="楷体_GB2312"/>
          <w:b w:val="0"/>
          <w:bCs w:val="0"/>
          <w:szCs w:val="21"/>
        </w:rPr>
      </w:pPr>
      <w:r>
        <w:rPr>
          <w:rFonts w:hint="eastAsia" w:ascii="楷体_GB2312" w:hAnsi="宋体" w:eastAsia="楷体_GB2312"/>
          <w:b w:val="0"/>
          <w:bCs w:val="0"/>
          <w:szCs w:val="21"/>
        </w:rPr>
        <w:t>（1）对于交易所上市的ETF基金、定期开放式基金、封闭式基金，按其所在证券交易所的收盘价估值；</w:t>
      </w:r>
    </w:p>
    <w:p>
      <w:pPr>
        <w:spacing w:line="360" w:lineRule="auto"/>
        <w:ind w:firstLine="420" w:firstLineChars="200"/>
        <w:contextualSpacing/>
        <w:rPr>
          <w:rFonts w:hint="eastAsia" w:ascii="楷体_GB2312" w:hAnsi="宋体" w:eastAsia="楷体_GB2312"/>
          <w:b w:val="0"/>
          <w:bCs w:val="0"/>
          <w:szCs w:val="21"/>
        </w:rPr>
      </w:pPr>
      <w:r>
        <w:rPr>
          <w:rFonts w:hint="eastAsia" w:ascii="楷体_GB2312" w:hAnsi="宋体" w:eastAsia="楷体_GB2312"/>
          <w:b w:val="0"/>
          <w:bCs w:val="0"/>
          <w:szCs w:val="21"/>
        </w:rPr>
        <w:t>（2）对于交易所上市的开放式基金（LOF），按所投资基金的基金管理人披露且可取得的最新净值（如无当日则为上一交易日）进行估值；</w:t>
      </w:r>
    </w:p>
    <w:p>
      <w:pPr>
        <w:spacing w:line="360" w:lineRule="auto"/>
        <w:ind w:firstLine="420" w:firstLineChars="200"/>
        <w:contextualSpacing/>
        <w:rPr>
          <w:rFonts w:hint="eastAsia" w:ascii="楷体_GB2312" w:hAnsi="宋体" w:eastAsia="楷体_GB2312"/>
          <w:b w:val="0"/>
          <w:bCs w:val="0"/>
          <w:szCs w:val="21"/>
        </w:rPr>
      </w:pPr>
      <w:r>
        <w:rPr>
          <w:rFonts w:hint="eastAsia" w:ascii="楷体_GB2312" w:hAnsi="宋体" w:eastAsia="楷体_GB2312"/>
          <w:b w:val="0"/>
          <w:bCs w:val="0"/>
          <w:szCs w:val="21"/>
        </w:rPr>
        <w:t>（3）对于交易所上市交易型货币市场基金，如基金管理人披露单位净值，则按所投资基金的基金管理人披露的估值日单位净值进行估值；如基金管理人披露万份（百份）收益，则按所投资基金前一估值日后至估值日期间（含节假日）的万份（百份）收益计提收益；</w:t>
      </w:r>
    </w:p>
    <w:p>
      <w:pPr>
        <w:spacing w:line="360" w:lineRule="auto"/>
        <w:ind w:firstLine="420" w:firstLineChars="200"/>
        <w:contextualSpacing/>
        <w:rPr>
          <w:rFonts w:hint="eastAsia" w:ascii="楷体_GB2312" w:hAnsi="宋体" w:eastAsia="楷体_GB2312"/>
          <w:b w:val="0"/>
          <w:bCs w:val="0"/>
          <w:szCs w:val="21"/>
        </w:rPr>
      </w:pPr>
      <w:r>
        <w:rPr>
          <w:rFonts w:hint="eastAsia" w:ascii="楷体_GB2312" w:hAnsi="宋体" w:eastAsia="楷体_GB2312"/>
          <w:b w:val="0"/>
          <w:bCs w:val="0"/>
          <w:szCs w:val="21"/>
        </w:rPr>
        <w:t>（4）对于未在交易所上市的场外基金，按可取得的最新净值（如无当日则为上一交易日）的基金单位净值估值；</w:t>
      </w:r>
    </w:p>
    <w:p>
      <w:pPr>
        <w:spacing w:line="360" w:lineRule="auto"/>
        <w:ind w:firstLine="420" w:firstLineChars="200"/>
        <w:contextualSpacing/>
        <w:rPr>
          <w:rFonts w:hint="eastAsia" w:ascii="楷体_GB2312" w:hAnsi="宋体" w:eastAsia="楷体_GB2312"/>
          <w:b w:val="0"/>
          <w:bCs w:val="0"/>
          <w:szCs w:val="21"/>
        </w:rPr>
      </w:pPr>
      <w:r>
        <w:rPr>
          <w:rFonts w:hint="eastAsia" w:ascii="楷体_GB2312" w:hAnsi="宋体" w:eastAsia="楷体_GB2312"/>
          <w:b w:val="0"/>
          <w:bCs w:val="0"/>
          <w:szCs w:val="21"/>
        </w:rPr>
        <w:t>（5）对于未在交易所上市的货币市场基金，按基金管理公司披露的可取得的最新净值（如无当日则为上一交易日）每万份收益计提收益；</w:t>
      </w:r>
    </w:p>
    <w:p>
      <w:pPr>
        <w:spacing w:line="360" w:lineRule="auto"/>
        <w:ind w:firstLine="420" w:firstLineChars="200"/>
        <w:contextualSpacing/>
        <w:rPr>
          <w:rFonts w:hint="eastAsia" w:ascii="楷体_GB2312" w:hAnsi="宋体" w:eastAsia="楷体_GB2312"/>
          <w:b w:val="0"/>
          <w:bCs w:val="0"/>
          <w:szCs w:val="21"/>
        </w:rPr>
      </w:pPr>
      <w:r>
        <w:rPr>
          <w:rFonts w:hint="eastAsia" w:ascii="楷体_GB2312" w:hAnsi="宋体" w:eastAsia="楷体_GB2312"/>
          <w:b w:val="0"/>
          <w:bCs w:val="0"/>
          <w:szCs w:val="21"/>
        </w:rPr>
        <w:t>（6）如遇所投资基金不公布基金单位净值、进行折算或拆分、估值日无交易等特殊情况，应根据以下原则进行估值：以所投资基金的基金单位净值估值的，若所投资基金与理财产品估值频率一致但未公布估值日基金单位净值，以其最近公布的基金单位净值为基础估值。以所投资基金的收盘价估值的，若估值日无交易，且最近交易日后市场环境未发生重大变化，以最近交易日的收盘价估值；如最近交易日后市场环境发生了重大变化的，可使用最新的基金单位净值为基础或参考类似投资品种的现行市价及重大变化因素调整最近交易市价，确定公允价值。如果所投资基金前一估值日至估值日期间发生分红除权、折算或拆分，应根据基金单位净值或收盘价、单位基金份额分红金额、折算拆分比例、持仓份额等因素合理确定公允价值。</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9</w:t>
      </w:r>
      <w:r>
        <w:rPr>
          <w:rFonts w:hint="eastAsia" w:ascii="楷体_GB2312" w:hAnsi="宋体" w:eastAsia="楷体_GB2312"/>
          <w:b w:val="0"/>
          <w:bCs w:val="0"/>
          <w:szCs w:val="21"/>
        </w:rPr>
        <w:t>.</w:t>
      </w:r>
      <w:r>
        <w:rPr>
          <w:rFonts w:ascii="楷体_GB2312" w:hAnsi="宋体" w:eastAsia="楷体_GB2312"/>
          <w:b w:val="0"/>
          <w:bCs w:val="0"/>
          <w:szCs w:val="21"/>
        </w:rPr>
        <w:t>在证券交易所及全国中小企业股份转让系统等市场交易的优先股，其交易量及交易频率足以持续提供价格的，估值日有交易，可按估值日收盘价估值；估值日无交易，且最近</w:t>
      </w:r>
      <w:r>
        <w:rPr>
          <w:rFonts w:hint="eastAsia" w:ascii="楷体_GB2312" w:hAnsi="宋体" w:eastAsia="楷体_GB2312"/>
          <w:b w:val="0"/>
          <w:bCs w:val="0"/>
          <w:szCs w:val="21"/>
        </w:rPr>
        <w:t>交易日</w:t>
      </w:r>
      <w:r>
        <w:rPr>
          <w:rFonts w:ascii="楷体_GB2312" w:hAnsi="宋体" w:eastAsia="楷体_GB2312"/>
          <w:b w:val="0"/>
          <w:bCs w:val="0"/>
          <w:szCs w:val="21"/>
        </w:rPr>
        <w:t>后市场环境未发生重大变化，可参考类似投资品种的现行市价及重大变化因素调整最近交易市价，确定公允价值。</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不满足上述条件的，可根据优先股的股息支付条款，采用现金流折现模型等估值模型，或第三方估值机构提供的价格数据估值,当上述价格难以获取且认为成本能够近似体现公允价值，可采用成本法估值。</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10.若理财产品存续期间持有其他投资品种，以理财产品管理人和理财产品托管人共同认可的方法估值。</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11.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12.对于以上估值方法，相关法律法规以及监管部门有另行规定的，按照监管最新规定执行。如监管并无明确规定和要求的，由产品管理人与托管人协商确定计算方法。</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1</w:t>
      </w:r>
      <w:r>
        <w:rPr>
          <w:rFonts w:ascii="楷体_GB2312" w:hAnsi="宋体" w:eastAsia="楷体_GB2312"/>
          <w:b w:val="0"/>
          <w:bCs w:val="0"/>
          <w:szCs w:val="21"/>
        </w:rPr>
        <w:t>3</w:t>
      </w:r>
      <w:r>
        <w:rPr>
          <w:rFonts w:hint="eastAsia" w:ascii="楷体_GB2312" w:hAnsi="宋体" w:eastAsia="楷体_GB2312"/>
          <w:b w:val="0"/>
          <w:bCs w:val="0"/>
          <w:szCs w:val="21"/>
        </w:rPr>
        <w:t>.</w:t>
      </w:r>
      <w:r>
        <w:rPr>
          <w:rFonts w:ascii="楷体_GB2312" w:hAnsi="宋体" w:eastAsia="楷体_GB2312"/>
          <w:b w:val="0"/>
          <w:bCs w:val="0"/>
          <w:szCs w:val="21"/>
        </w:rPr>
        <w:t>按以上估值方法进行估值时，所造成的误差不作为理财产品单位资产净值错误处理。</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1</w:t>
      </w:r>
      <w:r>
        <w:rPr>
          <w:rFonts w:ascii="楷体_GB2312" w:hAnsi="宋体" w:eastAsia="楷体_GB2312"/>
          <w:b w:val="0"/>
          <w:bCs w:val="0"/>
          <w:szCs w:val="21"/>
        </w:rPr>
        <w:t>4</w:t>
      </w:r>
      <w:r>
        <w:rPr>
          <w:rFonts w:hint="eastAsia" w:ascii="楷体_GB2312" w:hAnsi="宋体" w:eastAsia="楷体_GB2312"/>
          <w:b w:val="0"/>
          <w:bCs w:val="0"/>
          <w:szCs w:val="21"/>
        </w:rPr>
        <w:t>.</w:t>
      </w:r>
      <w:r>
        <w:rPr>
          <w:rFonts w:ascii="楷体_GB2312" w:hAnsi="宋体" w:eastAsia="楷体_GB2312"/>
          <w:b w:val="0"/>
          <w:bCs w:val="0"/>
          <w:szCs w:val="21"/>
        </w:rPr>
        <w:t>扣除项：应由理财产品承担的固定投资管理费用、托管费、销售管理费和税款（如有）。</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w:t>
      </w:r>
      <w:r>
        <w:rPr>
          <w:rFonts w:hint="eastAsia" w:ascii="楷体" w:hAnsi="楷体" w:eastAsia="楷体"/>
          <w:sz w:val="21"/>
          <w:lang w:val="en-US" w:eastAsia="zh-CN"/>
        </w:rPr>
        <w:t>三</w:t>
      </w:r>
      <w:r>
        <w:rPr>
          <w:rFonts w:hint="eastAsia" w:ascii="楷体" w:hAnsi="楷体" w:eastAsia="楷体"/>
          <w:sz w:val="21"/>
        </w:rPr>
        <w:t>）</w:t>
      </w:r>
      <w:r>
        <w:rPr>
          <w:rFonts w:ascii="楷体" w:hAnsi="楷体" w:eastAsia="楷体"/>
          <w:sz w:val="21"/>
        </w:rPr>
        <w:t>暂停估值的情形</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1.因不可抗力或其他情形致使理财产品管理人、理财产品托管人无法准确评估资产价值时；</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2.理财产品投资的信托计划/资管计划合同约定暂停估值或无法估值的情形发生，导致理财产品无法估值的；其中，</w:t>
      </w:r>
      <w:r>
        <w:rPr>
          <w:rFonts w:hint="eastAsia" w:ascii="楷体_GB2312" w:hAnsi="宋体" w:eastAsia="楷体_GB2312"/>
          <w:b w:val="0"/>
          <w:bCs w:val="0"/>
          <w:szCs w:val="21"/>
        </w:rPr>
        <w:t>产品资产净值50%以上的资产不具备活跃交易市场或者在活跃市场中无报价，且不能采用估值技术可靠计量公允价值的，管理人应当</w:t>
      </w:r>
      <w:r>
        <w:rPr>
          <w:rFonts w:ascii="楷体_GB2312" w:hAnsi="宋体" w:eastAsia="楷体_GB2312"/>
          <w:b w:val="0"/>
          <w:bCs w:val="0"/>
          <w:szCs w:val="21"/>
        </w:rPr>
        <w:t>暂停产品估值。</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3.占理财产品相当比例的投资品种的估值出现重大转变，而管理人为保障投资者的利益，已决定延迟估值；</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4.投资管理人、理财产品托管人有合理理由认为将影响本理财产品估值的其他情形发生。</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w:t>
      </w:r>
      <w:r>
        <w:rPr>
          <w:rFonts w:hint="eastAsia" w:ascii="楷体" w:hAnsi="楷体" w:eastAsia="楷体"/>
          <w:sz w:val="21"/>
          <w:lang w:val="en-US" w:eastAsia="zh-CN"/>
        </w:rPr>
        <w:t>四</w:t>
      </w:r>
      <w:r>
        <w:rPr>
          <w:rFonts w:hint="eastAsia" w:ascii="楷体" w:hAnsi="楷体" w:eastAsia="楷体"/>
          <w:sz w:val="21"/>
        </w:rPr>
        <w:t>）</w:t>
      </w:r>
      <w:r>
        <w:rPr>
          <w:rFonts w:ascii="楷体" w:hAnsi="楷体" w:eastAsia="楷体"/>
          <w:sz w:val="21"/>
        </w:rPr>
        <w:t>估值错误的处理</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理财产品管理人和理财产品托管人将采取必要、适当、合理的措施确保理财产品估值的准确性、及时性。</w:t>
      </w:r>
    </w:p>
    <w:p>
      <w:pPr>
        <w:spacing w:line="360" w:lineRule="auto"/>
        <w:ind w:firstLine="420" w:firstLineChars="200"/>
        <w:contextualSpacing/>
        <w:outlineLvl w:val="2"/>
        <w:rPr>
          <w:rFonts w:ascii="楷体_GB2312" w:hAnsi="宋体" w:eastAsia="楷体_GB2312"/>
          <w:b w:val="0"/>
          <w:bCs w:val="0"/>
          <w:szCs w:val="21"/>
        </w:rPr>
      </w:pPr>
      <w:r>
        <w:rPr>
          <w:rFonts w:hint="eastAsia" w:ascii="楷体_GB2312" w:hAnsi="宋体" w:eastAsia="楷体_GB2312"/>
          <w:b w:val="0"/>
          <w:bCs w:val="0"/>
          <w:szCs w:val="21"/>
        </w:rPr>
        <w:t>1.</w:t>
      </w:r>
      <w:r>
        <w:rPr>
          <w:rFonts w:ascii="楷体_GB2312" w:hAnsi="宋体" w:eastAsia="楷体_GB2312"/>
          <w:b w:val="0"/>
          <w:bCs w:val="0"/>
          <w:szCs w:val="21"/>
        </w:rPr>
        <w:t>估值错误处理原则</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（1）</w:t>
      </w:r>
      <w:r>
        <w:rPr>
          <w:rFonts w:ascii="楷体_GB2312" w:hAnsi="宋体" w:eastAsia="楷体_GB2312"/>
          <w:b w:val="0"/>
          <w:bCs w:val="0"/>
          <w:szCs w:val="21"/>
        </w:rPr>
        <w:t>由于理财产品管理人或理财产品托管人自身的过错造成估值错误，导致投资者遭受损失的，由估值错误责任方按照各自过错程度对该估值错误导致投资者遭受的直接损失给予赔偿，承担赔偿责任。</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（2）</w:t>
      </w:r>
      <w:r>
        <w:rPr>
          <w:rFonts w:ascii="楷体_GB2312" w:hAnsi="宋体" w:eastAsia="楷体_GB2312"/>
          <w:b w:val="0"/>
          <w:bCs w:val="0"/>
          <w:szCs w:val="21"/>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（3）</w:t>
      </w:r>
      <w:r>
        <w:rPr>
          <w:rFonts w:ascii="楷体_GB2312" w:hAnsi="宋体" w:eastAsia="楷体_GB2312"/>
          <w:b w:val="0"/>
          <w:bCs w:val="0"/>
          <w:szCs w:val="21"/>
        </w:rPr>
        <w:t>因理财产品托管人估值错误造成财产损失时，理财产品管理人应向托管人追偿。若理财产品管理人和理财产品托管人之外的第三方估值差错造成财产的损失，并拒绝进行赔偿时，理财产品由理财产品管理人负责向差错方追偿；追偿过程中产生的有关费用，应列入理财产品费用，由理财产品承担。</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（4）</w:t>
      </w:r>
      <w:r>
        <w:rPr>
          <w:rFonts w:ascii="楷体_GB2312" w:hAnsi="宋体" w:eastAsia="楷体_GB2312"/>
          <w:b w:val="0"/>
          <w:bCs w:val="0"/>
          <w:szCs w:val="21"/>
        </w:rPr>
        <w:t>当估值出现错误时，因估值错误而获得不当得利的投资者负有及时返还不当得利的义务。</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（5）</w:t>
      </w:r>
      <w:r>
        <w:rPr>
          <w:rFonts w:ascii="楷体_GB2312" w:hAnsi="宋体" w:eastAsia="楷体_GB2312"/>
          <w:b w:val="0"/>
          <w:bCs w:val="0"/>
          <w:szCs w:val="21"/>
        </w:rPr>
        <w:t>按法律法规规定的其他原则处理估值错误。</w:t>
      </w:r>
    </w:p>
    <w:p>
      <w:pPr>
        <w:spacing w:line="360" w:lineRule="auto"/>
        <w:ind w:firstLine="420" w:firstLineChars="200"/>
        <w:contextualSpacing/>
        <w:outlineLvl w:val="2"/>
        <w:rPr>
          <w:rFonts w:ascii="楷体_GB2312" w:hAnsi="宋体" w:eastAsia="楷体_GB2312"/>
          <w:b w:val="0"/>
          <w:bCs w:val="0"/>
          <w:szCs w:val="21"/>
        </w:rPr>
      </w:pPr>
      <w:r>
        <w:rPr>
          <w:rFonts w:ascii="楷体_GB2312" w:hAnsi="宋体" w:eastAsia="楷体_GB2312"/>
          <w:b w:val="0"/>
          <w:bCs w:val="0"/>
          <w:szCs w:val="21"/>
        </w:rPr>
        <w:t>2.估值错误处理程序</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估值错误被发现后，理财产品管理人和理财产品托管人应当及时进行处理，处理的程序如下：</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（1）</w:t>
      </w:r>
      <w:r>
        <w:rPr>
          <w:rFonts w:ascii="楷体_GB2312" w:hAnsi="宋体" w:eastAsia="楷体_GB2312"/>
          <w:b w:val="0"/>
          <w:bCs w:val="0"/>
          <w:szCs w:val="21"/>
        </w:rPr>
        <w:t>查明估值错误发生的原因，列明所有的管理人和托管人并根据估值错误发生的原因确定估值错误的责任方；</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（2）</w:t>
      </w:r>
      <w:r>
        <w:rPr>
          <w:rFonts w:ascii="楷体_GB2312" w:hAnsi="宋体" w:eastAsia="楷体_GB2312"/>
          <w:b w:val="0"/>
          <w:bCs w:val="0"/>
          <w:szCs w:val="21"/>
        </w:rPr>
        <w:t>根据估值错误处理原则对因估值错误造成的损失进行评估；</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（3）</w:t>
      </w:r>
      <w:r>
        <w:rPr>
          <w:rFonts w:ascii="楷体_GB2312" w:hAnsi="宋体" w:eastAsia="楷体_GB2312"/>
          <w:b w:val="0"/>
          <w:bCs w:val="0"/>
          <w:szCs w:val="21"/>
        </w:rPr>
        <w:t>根据理财产品管理人和理财产品托管人协商的方法，由理财产品管理人和理财产品托管人共同进行更正，由估值错误的责任方进行赔偿损失</w:t>
      </w:r>
      <w:r>
        <w:rPr>
          <w:rFonts w:hint="eastAsia" w:ascii="楷体_GB2312" w:hAnsi="宋体" w:eastAsia="楷体_GB2312"/>
          <w:b w:val="0"/>
          <w:bCs w:val="0"/>
          <w:szCs w:val="21"/>
        </w:rPr>
        <w:t>。</w:t>
      </w: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w:t>
      </w:r>
      <w:r>
        <w:rPr>
          <w:rFonts w:hint="eastAsia" w:ascii="楷体" w:hAnsi="楷体" w:eastAsia="楷体"/>
          <w:sz w:val="21"/>
          <w:lang w:val="en-US" w:eastAsia="zh-CN"/>
        </w:rPr>
        <w:t>五</w:t>
      </w:r>
      <w:r>
        <w:rPr>
          <w:rFonts w:hint="eastAsia" w:ascii="楷体" w:hAnsi="楷体" w:eastAsia="楷体"/>
          <w:sz w:val="21"/>
        </w:rPr>
        <w:t>）</w:t>
      </w:r>
      <w:r>
        <w:rPr>
          <w:rFonts w:ascii="楷体" w:hAnsi="楷体" w:eastAsia="楷体"/>
          <w:sz w:val="21"/>
        </w:rPr>
        <w:t>特殊情况的处理</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1.</w:t>
      </w:r>
      <w:r>
        <w:rPr>
          <w:rFonts w:ascii="楷体_GB2312" w:hAnsi="宋体" w:eastAsia="楷体_GB2312"/>
          <w:b w:val="0"/>
          <w:bCs w:val="0"/>
          <w:szCs w:val="21"/>
        </w:rPr>
        <w:t>理财产品投资管理人、理财产品托管人按本说明书估值方法进行估值时，所造成的误差不作为估值错误处理。</w:t>
      </w:r>
    </w:p>
    <w:p>
      <w:pPr>
        <w:spacing w:line="360" w:lineRule="auto"/>
        <w:ind w:firstLine="420" w:firstLineChars="200"/>
        <w:contextualSpacing/>
        <w:rPr>
          <w:rFonts w:ascii="楷体_GB2312" w:hAnsi="宋体" w:eastAsia="楷体_GB2312"/>
          <w:b w:val="0"/>
          <w:bCs w:val="0"/>
          <w:szCs w:val="21"/>
        </w:rPr>
      </w:pPr>
      <w:r>
        <w:rPr>
          <w:rFonts w:ascii="楷体_GB2312" w:hAnsi="宋体" w:eastAsia="楷体_GB2312"/>
          <w:b w:val="0"/>
          <w:bCs w:val="0"/>
          <w:szCs w:val="21"/>
        </w:rPr>
        <w:t>2.由于不可抗力原因，或由于证券交易所、期货交易所、第三方估值机构、信托公司、基金公司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spacing w:line="360" w:lineRule="auto"/>
        <w:ind w:firstLine="420" w:firstLineChars="200"/>
        <w:contextualSpacing/>
        <w:rPr>
          <w:rFonts w:ascii="楷体_GB2312" w:hAnsi="宋体" w:eastAsia="楷体_GB2312"/>
          <w:b w:val="0"/>
          <w:bCs w:val="0"/>
          <w:szCs w:val="21"/>
        </w:rPr>
      </w:pPr>
      <w:r>
        <w:rPr>
          <w:rFonts w:hint="eastAsia" w:ascii="楷体_GB2312" w:hAnsi="宋体" w:eastAsia="楷体_GB2312"/>
          <w:b w:val="0"/>
          <w:bCs w:val="0"/>
          <w:szCs w:val="21"/>
        </w:rPr>
        <w:t>3.</w:t>
      </w:r>
      <w:r>
        <w:rPr>
          <w:rFonts w:ascii="楷体_GB2312" w:hAnsi="宋体" w:eastAsia="楷体_GB2312"/>
          <w:b w:val="0"/>
          <w:bCs w:val="0"/>
          <w:szCs w:val="21"/>
        </w:rPr>
        <w:t>前述内容如法律法规、监管机关另有规定的，或有关会计准则发生变化等，按照国家最新规定或理财产品管理人最新约定估值。如果行业另有通行做法，理财产品管理人和理财产品托管人本着平等和保护份额持有人利益的原则进行协商。</w:t>
      </w:r>
    </w:p>
    <w:p>
      <w:pPr>
        <w:pStyle w:val="2"/>
        <w:spacing w:before="120" w:after="120" w:line="240" w:lineRule="auto"/>
        <w:rPr>
          <w:rFonts w:ascii="楷体" w:hAnsi="楷体" w:eastAsia="楷体"/>
          <w:sz w:val="28"/>
          <w:szCs w:val="28"/>
        </w:rPr>
      </w:pPr>
      <w:bookmarkStart w:id="5" w:name="_Toc98680963"/>
      <w:r>
        <w:rPr>
          <w:rFonts w:hint="eastAsia" w:ascii="楷体" w:hAnsi="楷体" w:eastAsia="楷体"/>
          <w:sz w:val="28"/>
          <w:szCs w:val="28"/>
        </w:rPr>
        <w:t>七</w:t>
      </w:r>
      <w:r>
        <w:rPr>
          <w:rFonts w:ascii="楷体" w:hAnsi="楷体" w:eastAsia="楷体"/>
          <w:sz w:val="28"/>
          <w:szCs w:val="28"/>
        </w:rPr>
        <w:t>、</w:t>
      </w:r>
      <w:r>
        <w:rPr>
          <w:rFonts w:hint="eastAsia" w:ascii="楷体" w:hAnsi="楷体" w:eastAsia="楷体"/>
          <w:sz w:val="28"/>
          <w:szCs w:val="28"/>
        </w:rPr>
        <w:t>产品管理人、托管人</w:t>
      </w:r>
      <w:r>
        <w:rPr>
          <w:rFonts w:hint="eastAsia" w:ascii="楷体" w:hAnsi="楷体" w:eastAsia="楷体"/>
          <w:sz w:val="28"/>
          <w:szCs w:val="28"/>
          <w:lang w:eastAsia="zh-CN"/>
        </w:rPr>
        <w:t>、</w:t>
      </w:r>
      <w:r>
        <w:rPr>
          <w:rFonts w:ascii="楷体" w:hAnsi="楷体" w:eastAsia="楷体"/>
          <w:sz w:val="28"/>
          <w:szCs w:val="28"/>
        </w:rPr>
        <w:t>销售</w:t>
      </w:r>
      <w:r>
        <w:rPr>
          <w:rFonts w:hint="eastAsia" w:ascii="楷体" w:hAnsi="楷体" w:eastAsia="楷体"/>
          <w:sz w:val="28"/>
          <w:szCs w:val="28"/>
        </w:rPr>
        <w:t>机构</w:t>
      </w:r>
      <w:bookmarkEnd w:id="5"/>
      <w:r>
        <w:rPr>
          <w:rFonts w:hint="eastAsia" w:ascii="楷体" w:hAnsi="楷体" w:eastAsia="楷体" w:cs="楷体"/>
          <w:sz w:val="28"/>
          <w:szCs w:val="28"/>
          <w:lang w:val="en-US" w:eastAsia="zh-CN"/>
        </w:rPr>
        <w:t>和投资合作机构</w:t>
      </w:r>
    </w:p>
    <w:p>
      <w:pPr>
        <w:pStyle w:val="3"/>
        <w:spacing w:before="0" w:after="0" w:line="360" w:lineRule="auto"/>
        <w:ind w:firstLine="422" w:firstLineChars="200"/>
      </w:pPr>
      <w:bookmarkStart w:id="6" w:name="_Toc98680964"/>
      <w:r>
        <w:rPr>
          <w:rFonts w:hint="eastAsia" w:ascii="楷体" w:hAnsi="楷体" w:eastAsia="楷体"/>
          <w:sz w:val="21"/>
        </w:rPr>
        <w:t>（一）产品管理人</w:t>
      </w:r>
      <w:bookmarkEnd w:id="6"/>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本理财产品的产品管理人为上银理财有限责任公司。</w:t>
      </w:r>
    </w:p>
    <w:p>
      <w:pPr>
        <w:snapToGrid w:val="0"/>
        <w:spacing w:line="360" w:lineRule="auto"/>
        <w:ind w:firstLine="422" w:firstLineChars="200"/>
        <w:rPr>
          <w:rFonts w:ascii="楷体_GB2312" w:hAnsi="宋体" w:eastAsia="楷体_GB2312"/>
          <w:b/>
          <w:bCs/>
          <w:szCs w:val="21"/>
        </w:rPr>
      </w:pPr>
      <w:r>
        <w:rPr>
          <w:rFonts w:hint="eastAsia" w:ascii="楷体_GB2312" w:hAnsi="宋体" w:eastAsia="楷体_GB2312"/>
          <w:b/>
          <w:bCs/>
          <w:szCs w:val="21"/>
        </w:rPr>
        <w:t>基本信息如下：</w:t>
      </w:r>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9"/>
        <w:gridCol w:w="5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ascii="楷体_GB2312" w:hAnsi="宋体" w:eastAsia="楷体_GB2312"/>
                <w:b/>
                <w:bCs/>
                <w:szCs w:val="21"/>
              </w:rPr>
            </w:pPr>
            <w:r>
              <w:rPr>
                <w:rFonts w:hint="eastAsia" w:ascii="楷体_GB2312" w:hAnsi="宋体" w:eastAsia="楷体_GB2312"/>
                <w:b/>
                <w:bCs/>
                <w:szCs w:val="21"/>
              </w:rPr>
              <w:t>机构名称</w:t>
            </w:r>
          </w:p>
        </w:tc>
        <w:tc>
          <w:tcPr>
            <w:tcW w:w="5382" w:type="dxa"/>
            <w:vAlign w:val="center"/>
          </w:tcPr>
          <w:p>
            <w:pPr>
              <w:contextualSpacing/>
              <w:rPr>
                <w:rFonts w:ascii="楷体_GB2312" w:hAnsi="宋体" w:eastAsia="楷体_GB2312"/>
                <w:b/>
                <w:bCs/>
                <w:szCs w:val="21"/>
              </w:rPr>
            </w:pPr>
            <w:r>
              <w:rPr>
                <w:rFonts w:hint="eastAsia" w:ascii="楷体_GB2312" w:hAnsi="宋体" w:eastAsia="楷体_GB2312"/>
                <w:b/>
                <w:bCs/>
                <w:szCs w:val="21"/>
              </w:rPr>
              <w:t>上银理财有限责任公司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ascii="楷体_GB2312" w:hAnsi="宋体" w:eastAsia="楷体_GB2312"/>
                <w:b/>
                <w:bCs/>
                <w:szCs w:val="21"/>
              </w:rPr>
            </w:pPr>
            <w:r>
              <w:rPr>
                <w:rFonts w:hint="eastAsia" w:ascii="楷体_GB2312" w:hAnsi="宋体" w:eastAsia="楷体_GB2312"/>
                <w:b/>
                <w:bCs/>
                <w:szCs w:val="21"/>
              </w:rPr>
              <w:t>地址</w:t>
            </w:r>
          </w:p>
        </w:tc>
        <w:tc>
          <w:tcPr>
            <w:tcW w:w="5382" w:type="dxa"/>
            <w:vAlign w:val="center"/>
          </w:tcPr>
          <w:p>
            <w:pPr>
              <w:contextualSpacing/>
              <w:rPr>
                <w:rFonts w:ascii="楷体_GB2312" w:hAnsi="宋体" w:eastAsia="楷体_GB2312"/>
                <w:b/>
                <w:bCs/>
                <w:szCs w:val="21"/>
              </w:rPr>
            </w:pPr>
            <w:r>
              <w:rPr>
                <w:rFonts w:hint="eastAsia" w:ascii="楷体_GB2312" w:hAnsi="宋体" w:eastAsia="楷体_GB2312"/>
                <w:b/>
                <w:bCs/>
                <w:szCs w:val="21"/>
              </w:rPr>
              <w:t>上海市黄浦区中山南路666弄2幢2号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ascii="楷体_GB2312" w:hAnsi="宋体" w:eastAsia="楷体_GB2312"/>
                <w:b/>
                <w:bCs/>
                <w:szCs w:val="21"/>
              </w:rPr>
            </w:pPr>
            <w:r>
              <w:rPr>
                <w:rFonts w:hint="eastAsia" w:ascii="楷体_GB2312" w:hAnsi="宋体" w:eastAsia="楷体_GB2312"/>
                <w:b/>
                <w:bCs/>
                <w:szCs w:val="21"/>
              </w:rPr>
              <w:t>主要职责</w:t>
            </w:r>
          </w:p>
        </w:tc>
        <w:tc>
          <w:tcPr>
            <w:tcW w:w="5382" w:type="dxa"/>
            <w:vAlign w:val="center"/>
          </w:tcPr>
          <w:p>
            <w:pPr>
              <w:contextualSpacing/>
              <w:rPr>
                <w:rFonts w:ascii="楷体_GB2312" w:hAnsi="宋体" w:eastAsia="楷体_GB2312"/>
                <w:b/>
                <w:bCs/>
                <w:szCs w:val="21"/>
              </w:rPr>
            </w:pPr>
            <w:r>
              <w:rPr>
                <w:rFonts w:hint="eastAsia" w:ascii="楷体_GB2312" w:hAnsi="宋体" w:eastAsia="楷体_GB2312"/>
                <w:b/>
                <w:bCs/>
                <w:szCs w:val="21"/>
              </w:rPr>
              <w:t>上银理财有限责任公司负责本理财产品的投资运作和产品管理。</w:t>
            </w:r>
          </w:p>
        </w:tc>
      </w:tr>
    </w:tbl>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投资者在此授权并同意上银理财享有以下权利：</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按照本理财</w:t>
      </w:r>
      <w:r>
        <w:rPr>
          <w:rFonts w:hint="eastAsia" w:ascii="楷体_GB2312" w:hAnsi="宋体" w:eastAsia="楷体_GB2312"/>
          <w:b/>
          <w:bCs/>
          <w:szCs w:val="21"/>
          <w:lang w:eastAsia="zh-CN"/>
        </w:rPr>
        <w:t>产品销售文件</w:t>
      </w:r>
      <w:r>
        <w:rPr>
          <w:rFonts w:ascii="楷体_GB2312" w:hAnsi="宋体" w:eastAsia="楷体_GB2312"/>
          <w:b/>
          <w:bCs/>
          <w:szCs w:val="21"/>
        </w:rPr>
        <w:t>的约定，管理、运用和处分理财产品资金；</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2.按照本理财</w:t>
      </w:r>
      <w:r>
        <w:rPr>
          <w:rFonts w:hint="eastAsia" w:ascii="楷体_GB2312" w:hAnsi="宋体" w:eastAsia="楷体_GB2312"/>
          <w:b/>
          <w:bCs/>
          <w:szCs w:val="21"/>
          <w:lang w:eastAsia="zh-CN"/>
        </w:rPr>
        <w:t>产品销售文件</w:t>
      </w:r>
      <w:r>
        <w:rPr>
          <w:rFonts w:ascii="楷体_GB2312" w:hAnsi="宋体" w:eastAsia="楷体_GB2312"/>
          <w:b/>
          <w:bCs/>
          <w:szCs w:val="21"/>
        </w:rPr>
        <w:t>的约定，及时、足额获得固定投资管理费和本《产品说明书》约定的其他费用（如有）；</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3.管理人以其固有财产先行垫付因处理本理财产品相关事务所支出的理财产品费用及税费的，对理财产品资金享有优先受偿的权利；</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4.管理人有权根据本理财</w:t>
      </w:r>
      <w:r>
        <w:rPr>
          <w:rFonts w:hint="eastAsia" w:ascii="楷体_GB2312" w:hAnsi="宋体" w:eastAsia="楷体_GB2312"/>
          <w:b/>
          <w:bCs/>
          <w:szCs w:val="21"/>
          <w:lang w:eastAsia="zh-CN"/>
        </w:rPr>
        <w:t>产品销售文件</w:t>
      </w:r>
      <w:r>
        <w:rPr>
          <w:rFonts w:ascii="楷体_GB2312" w:hAnsi="宋体" w:eastAsia="楷体_GB2312"/>
          <w:b/>
          <w:bCs/>
          <w:szCs w:val="21"/>
        </w:rPr>
        <w:t>的约定提前终止或延长本理财产品的期限；</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5.管理人有权单方调整本理财产品的</w:t>
      </w:r>
      <w:r>
        <w:rPr>
          <w:rFonts w:hint="eastAsia" w:ascii="楷体_GB2312" w:hAnsi="宋体" w:eastAsia="楷体_GB2312"/>
          <w:b/>
          <w:bCs/>
          <w:szCs w:val="21"/>
          <w:lang w:val="en-US" w:eastAsia="zh-CN"/>
        </w:rPr>
        <w:t>销售起点金额及递增金额、投资者认购、申购和赎回的数量限制、投资者持有本产品的最高限额、最低限额、产品规模上限、业绩比较基准、费率</w:t>
      </w:r>
      <w:r>
        <w:rPr>
          <w:rFonts w:ascii="楷体_GB2312" w:hAnsi="宋体" w:eastAsia="楷体_GB2312"/>
          <w:b/>
          <w:bCs/>
          <w:szCs w:val="21"/>
        </w:rPr>
        <w:t>等要素；</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6.管理人有权按照法律规定和监管机构的要求将投资者的信息向有权部门或相关机构披露；</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7.以理财产品投资管理人的名义，依照法律法规相关规定以及为理财产品的利益，对被投资的信托计划、资管计划、各类基金（含公募基金和私募基金）、公司/企业等行使出资人/投资者权利（包括但不限于表决投票的权利）以及行使因理财产品财产投资于证券类基础资产（含债券、股票等）或其他基础资产（包括但不限于债权类资产）所产生的相关权利。</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8.以理财产品投资管理人的名义，依照法律法规相关规定以及代表理财产品份额持有人的利益行使代为追索的权利（包括但不限于提起诉讼/仲裁、申请保全/执行的权利）或者实施其他风险处置，行使、放弃、变更相关权利义务等法律行为。</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9</w:t>
      </w:r>
      <w:r>
        <w:rPr>
          <w:rFonts w:hint="eastAsia" w:ascii="楷体_GB2312" w:hAnsi="宋体" w:eastAsia="楷体_GB2312"/>
          <w:b/>
          <w:bCs/>
          <w:szCs w:val="21"/>
        </w:rPr>
        <w:t>.</w:t>
      </w:r>
      <w:r>
        <w:rPr>
          <w:rFonts w:ascii="楷体_GB2312" w:hAnsi="宋体" w:eastAsia="楷体_GB2312"/>
          <w:b/>
          <w:bCs/>
          <w:szCs w:val="21"/>
        </w:rPr>
        <w:t>在法律法规、监管政策允许的前提下调整估值日。</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10.法律法规、监管政策和本理财</w:t>
      </w:r>
      <w:r>
        <w:rPr>
          <w:rFonts w:hint="eastAsia" w:ascii="楷体_GB2312" w:hAnsi="宋体" w:eastAsia="楷体_GB2312"/>
          <w:b/>
          <w:bCs/>
          <w:szCs w:val="21"/>
          <w:lang w:eastAsia="zh-CN"/>
        </w:rPr>
        <w:t>产品销售文件</w:t>
      </w:r>
      <w:r>
        <w:rPr>
          <w:rFonts w:ascii="楷体_GB2312" w:hAnsi="宋体" w:eastAsia="楷体_GB2312"/>
          <w:b/>
          <w:bCs/>
          <w:szCs w:val="21"/>
        </w:rPr>
        <w:t>约定的其他权利。</w:t>
      </w:r>
    </w:p>
    <w:p>
      <w:pPr>
        <w:pStyle w:val="3"/>
        <w:spacing w:before="0" w:after="0" w:line="360" w:lineRule="auto"/>
        <w:ind w:firstLine="422" w:firstLineChars="200"/>
        <w:rPr>
          <w:rFonts w:ascii="楷体" w:hAnsi="楷体" w:eastAsia="楷体"/>
          <w:sz w:val="21"/>
        </w:rPr>
      </w:pPr>
      <w:bookmarkStart w:id="7" w:name="_Toc98680965"/>
      <w:r>
        <w:rPr>
          <w:rFonts w:hint="eastAsia" w:ascii="楷体" w:hAnsi="楷体" w:eastAsia="楷体"/>
          <w:sz w:val="21"/>
        </w:rPr>
        <w:t>（二）托管人</w:t>
      </w:r>
      <w:bookmarkEnd w:id="7"/>
    </w:p>
    <w:p>
      <w:pPr>
        <w:snapToGrid w:val="0"/>
        <w:spacing w:line="360" w:lineRule="auto"/>
        <w:ind w:firstLine="422" w:firstLineChars="200"/>
        <w:rPr>
          <w:rFonts w:ascii="楷体_GB2312" w:hAnsi="宋体" w:eastAsia="楷体_GB2312"/>
          <w:b/>
          <w:bCs/>
          <w:color w:val="auto"/>
          <w:szCs w:val="21"/>
        </w:rPr>
      </w:pPr>
      <w:r>
        <w:rPr>
          <w:rFonts w:hint="eastAsia" w:ascii="楷体_GB2312" w:hAnsi="宋体" w:eastAsia="楷体_GB2312"/>
          <w:b/>
          <w:bCs/>
          <w:szCs w:val="21"/>
        </w:rPr>
        <w:t>本理财产品的托管人</w:t>
      </w:r>
      <w:r>
        <w:rPr>
          <w:rFonts w:hint="eastAsia" w:ascii="楷体_GB2312" w:hAnsi="宋体" w:eastAsia="楷体_GB2312"/>
          <w:b/>
          <w:bCs/>
          <w:color w:val="auto"/>
          <w:szCs w:val="21"/>
        </w:rPr>
        <w:t>为</w:t>
      </w:r>
      <w:r>
        <w:rPr>
          <w:rFonts w:hint="eastAsia" w:ascii="楷体_GB2312" w:hAnsi="宋体" w:eastAsia="楷体_GB2312"/>
          <w:b/>
          <w:bCs/>
          <w:color w:val="auto"/>
          <w:szCs w:val="21"/>
          <w:lang w:eastAsia="zh-CN"/>
        </w:rPr>
        <w:t>【</w:t>
      </w:r>
      <w:r>
        <w:rPr>
          <w:rFonts w:hint="eastAsia" w:ascii="楷体_GB2312" w:hAnsi="宋体" w:eastAsia="楷体_GB2312"/>
          <w:b/>
          <w:bCs/>
          <w:color w:val="auto"/>
          <w:szCs w:val="21"/>
        </w:rPr>
        <w:t>上海银行股份有限公司</w:t>
      </w:r>
      <w:r>
        <w:rPr>
          <w:rFonts w:hint="eastAsia" w:ascii="楷体_GB2312" w:hAnsi="宋体" w:eastAsia="楷体_GB2312"/>
          <w:b/>
          <w:bCs/>
          <w:color w:val="auto"/>
          <w:szCs w:val="21"/>
          <w:lang w:eastAsia="zh-CN"/>
        </w:rPr>
        <w:t>】</w:t>
      </w:r>
      <w:r>
        <w:rPr>
          <w:rFonts w:hint="eastAsia" w:ascii="楷体_GB2312" w:hAnsi="宋体" w:eastAsia="楷体_GB2312"/>
          <w:b/>
          <w:bCs/>
          <w:color w:val="auto"/>
          <w:szCs w:val="21"/>
        </w:rPr>
        <w:t>。</w:t>
      </w:r>
    </w:p>
    <w:p>
      <w:pPr>
        <w:snapToGrid w:val="0"/>
        <w:spacing w:line="360" w:lineRule="auto"/>
        <w:ind w:firstLine="422" w:firstLineChars="200"/>
        <w:rPr>
          <w:rFonts w:ascii="楷体_GB2312" w:hAnsi="宋体" w:eastAsia="楷体_GB2312"/>
          <w:b/>
          <w:bCs/>
          <w:color w:val="auto"/>
          <w:szCs w:val="21"/>
        </w:rPr>
      </w:pPr>
      <w:r>
        <w:rPr>
          <w:rFonts w:hint="eastAsia" w:ascii="楷体_GB2312" w:hAnsi="宋体" w:eastAsia="楷体_GB2312"/>
          <w:b/>
          <w:bCs/>
          <w:color w:val="auto"/>
          <w:szCs w:val="21"/>
        </w:rPr>
        <w:t>基本信息如下：</w:t>
      </w:r>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9"/>
        <w:gridCol w:w="5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rPr>
                <w:rFonts w:ascii="楷体_GB2312" w:hAnsi="宋体" w:eastAsia="楷体_GB2312"/>
                <w:b/>
                <w:bCs/>
                <w:color w:val="auto"/>
                <w:szCs w:val="21"/>
              </w:rPr>
            </w:pPr>
            <w:r>
              <w:rPr>
                <w:rFonts w:hint="eastAsia" w:ascii="楷体_GB2312" w:eastAsia="楷体_GB2312"/>
                <w:b/>
                <w:bCs/>
                <w:color w:val="auto"/>
                <w:szCs w:val="21"/>
              </w:rPr>
              <w:t>机构名称</w:t>
            </w:r>
          </w:p>
        </w:tc>
        <w:tc>
          <w:tcPr>
            <w:tcW w:w="5382" w:type="dxa"/>
            <w:vAlign w:val="center"/>
          </w:tcPr>
          <w:p>
            <w:pPr>
              <w:contextualSpacing/>
              <w:rPr>
                <w:rFonts w:hint="eastAsia" w:ascii="楷体_GB2312" w:hAnsi="宋体" w:eastAsia="楷体_GB2312"/>
                <w:b/>
                <w:bCs/>
                <w:color w:val="auto"/>
                <w:szCs w:val="21"/>
                <w:lang w:eastAsia="zh-CN"/>
              </w:rPr>
            </w:pPr>
            <w:r>
              <w:rPr>
                <w:rFonts w:hint="eastAsia" w:ascii="楷体_GB2312" w:hAnsi="宋体" w:eastAsia="楷体_GB2312"/>
                <w:b/>
                <w:bCs/>
                <w:color w:val="auto"/>
                <w:szCs w:val="21"/>
                <w:lang w:eastAsia="zh-CN"/>
              </w:rPr>
              <w:t>【</w:t>
            </w:r>
            <w:r>
              <w:rPr>
                <w:rFonts w:hint="eastAsia" w:ascii="楷体_GB2312" w:hAnsi="宋体" w:eastAsia="楷体_GB2312"/>
                <w:b/>
                <w:bCs/>
                <w:color w:val="auto"/>
                <w:szCs w:val="21"/>
              </w:rPr>
              <w:t>上海银行</w:t>
            </w:r>
            <w:r>
              <w:rPr>
                <w:rFonts w:hint="eastAsia" w:ascii="楷体_GB2312" w:eastAsia="楷体_GB2312"/>
                <w:b/>
                <w:bCs/>
                <w:color w:val="auto"/>
                <w:szCs w:val="21"/>
              </w:rPr>
              <w:t>股份有限公司</w:t>
            </w:r>
            <w:r>
              <w:rPr>
                <w:rFonts w:hint="eastAsia" w:ascii="楷体_GB2312" w:eastAsia="楷体_GB2312"/>
                <w:b/>
                <w:bCs/>
                <w:color w:val="auto"/>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ascii="楷体_GB2312" w:hAnsi="宋体" w:eastAsia="楷体_GB2312"/>
                <w:b/>
                <w:bCs/>
                <w:color w:val="auto"/>
                <w:szCs w:val="21"/>
              </w:rPr>
            </w:pPr>
            <w:r>
              <w:rPr>
                <w:rFonts w:hint="eastAsia" w:ascii="楷体_GB2312" w:eastAsia="楷体_GB2312"/>
                <w:b/>
                <w:bCs/>
                <w:color w:val="auto"/>
                <w:szCs w:val="21"/>
              </w:rPr>
              <w:t>地址</w:t>
            </w:r>
          </w:p>
        </w:tc>
        <w:tc>
          <w:tcPr>
            <w:tcW w:w="5382" w:type="dxa"/>
            <w:vAlign w:val="center"/>
          </w:tcPr>
          <w:p>
            <w:pPr>
              <w:contextualSpacing/>
              <w:rPr>
                <w:rFonts w:hint="eastAsia" w:ascii="楷体_GB2312" w:hAnsi="宋体" w:eastAsia="楷体_GB2312"/>
                <w:b/>
                <w:bCs/>
                <w:color w:val="auto"/>
                <w:szCs w:val="21"/>
                <w:lang w:eastAsia="zh-CN"/>
              </w:rPr>
            </w:pPr>
            <w:r>
              <w:rPr>
                <w:rFonts w:hint="eastAsia" w:ascii="楷体_GB2312" w:eastAsia="楷体_GB2312"/>
                <w:b/>
                <w:bCs/>
                <w:color w:val="auto"/>
                <w:szCs w:val="21"/>
                <w:lang w:eastAsia="zh-CN"/>
              </w:rPr>
              <w:t>【上海市黄浦区中山南路688号】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ascii="楷体_GB2312" w:hAnsi="宋体" w:eastAsia="楷体_GB2312"/>
                <w:b/>
                <w:bCs/>
                <w:color w:val="auto"/>
                <w:szCs w:val="21"/>
              </w:rPr>
            </w:pPr>
            <w:r>
              <w:rPr>
                <w:rFonts w:hint="eastAsia" w:ascii="楷体_GB2312" w:eastAsia="楷体_GB2312"/>
                <w:b/>
                <w:bCs/>
                <w:color w:val="auto"/>
                <w:szCs w:val="21"/>
              </w:rPr>
              <w:t>主要职责</w:t>
            </w:r>
          </w:p>
        </w:tc>
        <w:tc>
          <w:tcPr>
            <w:tcW w:w="5382" w:type="dxa"/>
            <w:vAlign w:val="center"/>
          </w:tcPr>
          <w:p>
            <w:pPr>
              <w:contextualSpacing/>
              <w:rPr>
                <w:rFonts w:hint="eastAsia" w:ascii="楷体_GB2312" w:hAnsi="宋体" w:eastAsia="楷体_GB2312"/>
                <w:b/>
                <w:bCs/>
                <w:color w:val="auto"/>
                <w:szCs w:val="21"/>
                <w:lang w:eastAsia="zh-CN"/>
              </w:rPr>
            </w:pPr>
            <w:r>
              <w:rPr>
                <w:rFonts w:hint="eastAsia" w:ascii="楷体_GB2312" w:eastAsia="楷体_GB2312"/>
                <w:b/>
                <w:bCs/>
                <w:color w:val="auto"/>
                <w:szCs w:val="21"/>
                <w:lang w:bidi="ar"/>
              </w:rPr>
              <w:t>由</w:t>
            </w:r>
            <w:r>
              <w:rPr>
                <w:rFonts w:hint="eastAsia" w:ascii="楷体_GB2312" w:eastAsia="楷体_GB2312"/>
                <w:b/>
                <w:bCs/>
                <w:color w:val="auto"/>
                <w:szCs w:val="21"/>
                <w:lang w:val="en-US" w:eastAsia="zh-CN" w:bidi="ar"/>
              </w:rPr>
              <w:t>托管人机构</w:t>
            </w:r>
            <w:r>
              <w:rPr>
                <w:rFonts w:hint="eastAsia" w:ascii="楷体_GB2312" w:eastAsia="楷体_GB2312"/>
                <w:b/>
                <w:bCs/>
                <w:color w:val="auto"/>
                <w:szCs w:val="21"/>
                <w:lang w:bidi="ar"/>
              </w:rPr>
              <w:t>提供包括账户开立、资金保管、资金清算、估值核算等理财产品托管服务。</w:t>
            </w:r>
          </w:p>
        </w:tc>
      </w:tr>
    </w:tbl>
    <w:p>
      <w:pPr>
        <w:pStyle w:val="3"/>
        <w:spacing w:before="0" w:after="0" w:line="360" w:lineRule="auto"/>
        <w:ind w:firstLine="422" w:firstLineChars="200"/>
        <w:rPr>
          <w:rFonts w:ascii="楷体" w:hAnsi="楷体" w:eastAsia="楷体"/>
          <w:color w:val="auto"/>
          <w:sz w:val="21"/>
        </w:rPr>
      </w:pPr>
      <w:r>
        <w:rPr>
          <w:rFonts w:hint="eastAsia" w:ascii="楷体" w:hAnsi="楷体" w:eastAsia="楷体"/>
          <w:color w:val="auto"/>
          <w:sz w:val="21"/>
        </w:rPr>
        <w:t>（三）销售机构</w:t>
      </w:r>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ascii="楷体_GB2312" w:hAnsi="宋体" w:eastAsia="楷体_GB2312"/>
                <w:b/>
                <w:bCs/>
                <w:color w:val="auto"/>
                <w:szCs w:val="21"/>
              </w:rPr>
            </w:pPr>
            <w:r>
              <w:rPr>
                <w:rFonts w:hint="eastAsia" w:ascii="楷体_GB2312" w:hAnsi="宋体" w:eastAsia="楷体_GB2312"/>
                <w:b/>
                <w:bCs/>
                <w:color w:val="auto"/>
                <w:szCs w:val="21"/>
              </w:rPr>
              <w:t>机构名称</w:t>
            </w:r>
          </w:p>
        </w:tc>
        <w:tc>
          <w:tcPr>
            <w:tcW w:w="5384" w:type="dxa"/>
            <w:vAlign w:val="center"/>
          </w:tcPr>
          <w:p>
            <w:pPr>
              <w:contextualSpacing/>
              <w:rPr>
                <w:rFonts w:hint="eastAsia" w:ascii="楷体_GB2312" w:hAnsi="宋体" w:eastAsia="楷体_GB2312"/>
                <w:b/>
                <w:bCs/>
                <w:color w:val="auto"/>
                <w:szCs w:val="21"/>
                <w:lang w:eastAsia="zh-CN"/>
              </w:rPr>
            </w:pPr>
            <w:r>
              <w:rPr>
                <w:rFonts w:hint="eastAsia" w:ascii="楷体_GB2312" w:hAnsi="宋体" w:eastAsia="楷体_GB2312"/>
                <w:b/>
                <w:bCs/>
                <w:color w:val="auto"/>
                <w:szCs w:val="21"/>
                <w:lang w:eastAsia="zh-CN"/>
              </w:rPr>
              <w:t>【</w:t>
            </w:r>
            <w:r>
              <w:rPr>
                <w:rFonts w:hint="eastAsia" w:ascii="楷体" w:hAnsi="楷体" w:eastAsia="楷体"/>
                <w:b/>
                <w:bCs/>
                <w:sz w:val="21"/>
                <w:szCs w:val="24"/>
              </w:rPr>
              <w:t>深圳前海微众银行股份有限公司</w:t>
            </w:r>
            <w:r>
              <w:rPr>
                <w:rFonts w:hint="eastAsia" w:ascii="楷体_GB2312" w:hAnsi="宋体" w:eastAsia="楷体_GB2312"/>
                <w:b/>
                <w:bCs/>
                <w:color w:val="auto"/>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ascii="楷体_GB2312" w:hAnsi="宋体" w:eastAsia="楷体_GB2312"/>
                <w:b/>
                <w:bCs/>
                <w:color w:val="auto"/>
                <w:szCs w:val="21"/>
              </w:rPr>
            </w:pPr>
            <w:r>
              <w:rPr>
                <w:rFonts w:hint="eastAsia" w:ascii="楷体_GB2312" w:hAnsi="宋体" w:eastAsia="楷体_GB2312"/>
                <w:b/>
                <w:bCs/>
                <w:color w:val="auto"/>
                <w:szCs w:val="21"/>
              </w:rPr>
              <w:t>地址</w:t>
            </w:r>
          </w:p>
        </w:tc>
        <w:tc>
          <w:tcPr>
            <w:tcW w:w="5384" w:type="dxa"/>
            <w:vAlign w:val="center"/>
          </w:tcPr>
          <w:p>
            <w:pPr>
              <w:spacing w:beforeLines="0" w:afterLines="0"/>
              <w:contextualSpacing w:val="0"/>
              <w:jc w:val="left"/>
              <w:rPr>
                <w:rFonts w:hint="eastAsia" w:ascii="楷体_GB2312" w:hAnsi="宋体" w:eastAsia="楷体_GB2312"/>
                <w:b/>
                <w:bCs/>
                <w:color w:val="auto"/>
                <w:szCs w:val="21"/>
                <w:lang w:eastAsia="zh-CN"/>
              </w:rPr>
            </w:pPr>
            <w:r>
              <w:rPr>
                <w:rFonts w:hint="eastAsia" w:ascii="楷体_GB2312" w:hAnsi="宋体" w:eastAsia="楷体_GB2312"/>
                <w:b/>
                <w:bCs/>
                <w:color w:val="auto"/>
                <w:szCs w:val="21"/>
                <w:lang w:eastAsia="zh-CN"/>
              </w:rPr>
              <w:t>【</w:t>
            </w:r>
            <w:r>
              <w:rPr>
                <w:rFonts w:hint="eastAsia" w:ascii="楷体" w:hAnsi="楷体" w:eastAsia="楷体"/>
                <w:b/>
                <w:bCs/>
                <w:sz w:val="21"/>
                <w:szCs w:val="24"/>
              </w:rPr>
              <w:t>广东省深圳市南山区沙河西路1819号深圳湾科技生态园7栋A座</w:t>
            </w:r>
            <w:r>
              <w:rPr>
                <w:rFonts w:hint="eastAsia" w:ascii="楷体_GB2312" w:hAnsi="宋体" w:eastAsia="楷体_GB2312"/>
                <w:b/>
                <w:bCs/>
                <w:color w:val="auto"/>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ascii="楷体_GB2312" w:hAnsi="宋体" w:eastAsia="楷体_GB2312"/>
                <w:b/>
                <w:bCs/>
                <w:color w:val="auto"/>
                <w:szCs w:val="21"/>
              </w:rPr>
            </w:pPr>
            <w:r>
              <w:rPr>
                <w:rFonts w:hint="eastAsia" w:ascii="楷体_GB2312" w:hAnsi="宋体" w:eastAsia="楷体_GB2312"/>
                <w:b/>
                <w:bCs/>
                <w:color w:val="auto"/>
                <w:szCs w:val="21"/>
              </w:rPr>
              <w:t>客户服务热线</w:t>
            </w:r>
          </w:p>
        </w:tc>
        <w:tc>
          <w:tcPr>
            <w:tcW w:w="5384" w:type="dxa"/>
            <w:vAlign w:val="center"/>
          </w:tcPr>
          <w:p>
            <w:pPr>
              <w:contextualSpacing/>
              <w:rPr>
                <w:rFonts w:hint="eastAsia" w:ascii="楷体_GB2312" w:hAnsi="宋体" w:eastAsia="楷体_GB2312"/>
                <w:b/>
                <w:bCs/>
                <w:color w:val="auto"/>
                <w:szCs w:val="21"/>
                <w:lang w:eastAsia="zh-CN"/>
              </w:rPr>
            </w:pPr>
            <w:r>
              <w:rPr>
                <w:rFonts w:hint="eastAsia" w:ascii="楷体_GB2312" w:hAnsi="宋体" w:eastAsia="楷体_GB2312"/>
                <w:b/>
                <w:bCs/>
                <w:color w:val="auto"/>
                <w:szCs w:val="21"/>
                <w:lang w:eastAsia="zh-CN"/>
              </w:rPr>
              <w:t>【</w:t>
            </w:r>
            <w:r>
              <w:rPr>
                <w:rFonts w:hint="eastAsia" w:ascii="楷体" w:hAnsi="楷体" w:eastAsia="楷体"/>
                <w:b/>
                <w:bCs/>
                <w:sz w:val="21"/>
                <w:szCs w:val="24"/>
              </w:rPr>
              <w:t>95384</w:t>
            </w:r>
            <w:r>
              <w:rPr>
                <w:rFonts w:hint="eastAsia" w:ascii="楷体_GB2312" w:hAnsi="宋体" w:eastAsia="楷体_GB2312"/>
                <w:b/>
                <w:bCs/>
                <w:color w:val="auto"/>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ascii="楷体_GB2312" w:hAnsi="宋体" w:eastAsia="楷体_GB2312"/>
                <w:b/>
                <w:bCs/>
                <w:szCs w:val="21"/>
              </w:rPr>
            </w:pPr>
            <w:r>
              <w:rPr>
                <w:rFonts w:hint="eastAsia" w:ascii="楷体_GB2312" w:hAnsi="宋体" w:eastAsia="楷体_GB2312"/>
                <w:b/>
                <w:bCs/>
                <w:szCs w:val="21"/>
              </w:rPr>
              <w:t>主要职责</w:t>
            </w:r>
          </w:p>
        </w:tc>
        <w:tc>
          <w:tcPr>
            <w:tcW w:w="5384" w:type="dxa"/>
            <w:vAlign w:val="center"/>
          </w:tcPr>
          <w:p>
            <w:pPr>
              <w:contextualSpacing/>
              <w:rPr>
                <w:rFonts w:ascii="楷体_GB2312" w:hAnsi="宋体" w:eastAsia="楷体_GB2312"/>
                <w:b/>
                <w:bCs/>
                <w:szCs w:val="21"/>
              </w:rPr>
            </w:pPr>
            <w:r>
              <w:rPr>
                <w:rFonts w:hint="eastAsia" w:ascii="楷体_GB2312" w:hAnsi="宋体" w:eastAsia="楷体_GB2312"/>
                <w:b/>
                <w:bCs/>
                <w:szCs w:val="21"/>
              </w:rPr>
              <w:t>销售机构或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spacing w:before="0" w:after="0" w:line="360" w:lineRule="auto"/>
        <w:ind w:firstLine="420" w:firstLineChars="200"/>
        <w:rPr>
          <w:rFonts w:hint="eastAsia"/>
        </w:rPr>
      </w:pPr>
      <w:bookmarkStart w:id="8" w:name="_Toc98680967"/>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机构名称</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【浙江德清农村商业银行股份有限公司】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地址</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【浙江省德清县武康街道沈长圩街50号】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客户服务热线</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【0572-8434389】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主要职责</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销售机构或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spacing w:before="0" w:after="0" w:line="360" w:lineRule="auto"/>
        <w:ind w:firstLine="420" w:firstLineChars="200"/>
        <w:rPr>
          <w:rFonts w:hint="eastAsia"/>
        </w:rPr>
      </w:pPr>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机构名称</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【杭州联合农村商业银行股份有限公司】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地址</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【浙江省杭州市上城区小营街道建国中路99号】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客户服务热线</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【0571-96596】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主要职责</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销售机构或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spacing w:before="0" w:after="0" w:line="360" w:lineRule="auto"/>
        <w:ind w:firstLine="420" w:firstLineChars="200"/>
        <w:rPr>
          <w:rFonts w:hint="eastAsia"/>
        </w:rPr>
      </w:pPr>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机构名称</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【重庆富民银行股份有限公司】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地址</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【重庆市渝北区财富东路2号涉外商务区一期B1栋】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客户服务热线</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【956118】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主要职责</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销售机构或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spacing w:before="0" w:after="0" w:line="360" w:lineRule="auto"/>
        <w:ind w:firstLine="420" w:firstLineChars="200"/>
        <w:rPr>
          <w:rFonts w:hint="eastAsia"/>
        </w:rPr>
      </w:pPr>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机构名称</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【浙江龙游农村商业银行股份有限公司】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地址</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【浙江省衢州市龙游县龙洲街道荣昌大道683、685、687号】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客户服务热线</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w:t>
            </w:r>
            <w:r>
              <w:rPr>
                <w:rFonts w:hint="eastAsia" w:ascii="楷体_GB2312" w:hAnsi="宋体" w:eastAsia="楷体_GB2312"/>
                <w:b/>
                <w:bCs/>
                <w:szCs w:val="21"/>
                <w:lang w:val="en-US" w:eastAsia="zh-CN"/>
              </w:rPr>
              <w:t>4008896596</w:t>
            </w:r>
            <w:r>
              <w:rPr>
                <w:rFonts w:hint="eastAsia" w:ascii="楷体_GB2312" w:hAnsi="宋体" w:eastAsia="楷体_GB2312"/>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主要职责</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销售机构或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spacing w:before="0" w:after="0" w:line="360" w:lineRule="auto"/>
        <w:ind w:firstLine="420" w:firstLineChars="200"/>
        <w:rPr>
          <w:rFonts w:hint="eastAsia"/>
        </w:rPr>
      </w:pPr>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机构名称</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【宁波慈溪农村商业银行股份有限公司】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地址</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【浙江省慈溪市浒山街道南城路25号、59号5-6层】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客户服务热线</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w:t>
            </w:r>
            <w:r>
              <w:rPr>
                <w:rFonts w:hint="eastAsia" w:ascii="楷体_GB2312" w:hAnsi="宋体" w:eastAsia="楷体_GB2312"/>
                <w:b/>
                <w:bCs/>
                <w:szCs w:val="21"/>
                <w:lang w:val="en-US" w:eastAsia="zh-CN"/>
              </w:rPr>
              <w:t>4008896596</w:t>
            </w:r>
            <w:r>
              <w:rPr>
                <w:rFonts w:hint="eastAsia" w:ascii="楷体_GB2312" w:hAnsi="宋体" w:eastAsia="楷体_GB2312"/>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主要职责</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销售机构或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spacing w:before="0" w:after="0" w:line="360" w:lineRule="auto"/>
        <w:ind w:firstLine="420" w:firstLineChars="200"/>
        <w:rPr>
          <w:rFonts w:hint="eastAsia"/>
        </w:rPr>
      </w:pPr>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机构名称</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w:t>
            </w:r>
            <w:r>
              <w:rPr>
                <w:rFonts w:hint="eastAsia" w:ascii="楷体_GB2312" w:hAnsi="宋体" w:eastAsia="楷体_GB2312"/>
                <w:b/>
                <w:bCs/>
                <w:szCs w:val="21"/>
                <w:lang w:val="en-US" w:eastAsia="zh-CN"/>
              </w:rPr>
              <w:t>张家口</w:t>
            </w:r>
            <w:r>
              <w:rPr>
                <w:rFonts w:hint="eastAsia" w:ascii="楷体_GB2312" w:hAnsi="宋体" w:eastAsia="楷体_GB2312"/>
                <w:b/>
                <w:bCs/>
                <w:szCs w:val="21"/>
              </w:rPr>
              <w:t>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地址</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【河北省张家口市桥东区胜利北路51号】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客户服务热线</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w:t>
            </w:r>
            <w:r>
              <w:rPr>
                <w:rFonts w:hint="eastAsia" w:ascii="楷体_GB2312" w:hAnsi="宋体" w:eastAsia="楷体_GB2312"/>
                <w:b/>
                <w:bCs/>
                <w:szCs w:val="21"/>
                <w:lang w:val="en-US" w:eastAsia="zh-CN"/>
              </w:rPr>
              <w:t>4006896368</w:t>
            </w:r>
            <w:r>
              <w:rPr>
                <w:rFonts w:hint="eastAsia" w:ascii="楷体_GB2312" w:hAnsi="宋体" w:eastAsia="楷体_GB2312"/>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主要职责</w:t>
            </w:r>
          </w:p>
        </w:tc>
        <w:tc>
          <w:tcPr>
            <w:tcW w:w="5384" w:type="dxa"/>
            <w:vAlign w:val="center"/>
          </w:tcPr>
          <w:p>
            <w:pPr>
              <w:contextualSpacing/>
              <w:rPr>
                <w:rFonts w:hint="eastAsia" w:ascii="楷体_GB2312" w:hAnsi="宋体" w:eastAsia="楷体_GB2312"/>
                <w:b/>
                <w:bCs/>
                <w:szCs w:val="21"/>
              </w:rPr>
            </w:pPr>
            <w:r>
              <w:rPr>
                <w:rFonts w:hint="eastAsia" w:ascii="楷体_GB2312" w:hAnsi="宋体" w:eastAsia="楷体_GB2312"/>
                <w:b/>
                <w:bCs/>
                <w:szCs w:val="21"/>
              </w:rPr>
              <w:t>销售机构或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spacing w:before="0" w:after="0" w:line="360" w:lineRule="auto"/>
        <w:ind w:firstLine="420" w:firstLineChars="200"/>
        <w:rPr>
          <w:rFonts w:hint="eastAsia"/>
        </w:rPr>
      </w:pPr>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机构名称</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【吉林银行股份有限公司】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地址</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【吉林省长春市南关区人民大街10666号】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客户服务热线</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【4008896666】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主要职责</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销售机构</w:t>
            </w:r>
            <w:r>
              <w:rPr>
                <w:rFonts w:hint="eastAsia" w:ascii="楷体_GB2312" w:hAnsi="宋体" w:eastAsia="楷体_GB2312"/>
                <w:b/>
                <w:bCs/>
                <w:szCs w:val="21"/>
              </w:rPr>
              <w:t>或</w:t>
            </w:r>
            <w:r>
              <w:rPr>
                <w:rFonts w:hint="eastAsia" w:ascii="楷体_GB2312" w:hAnsi="宋体" w:eastAsia="楷体_GB2312" w:cstheme="minorBidi"/>
                <w:b/>
                <w:bCs/>
                <w:szCs w:val="21"/>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tbl>
      <w:tblPr>
        <w:tblStyle w:val="10"/>
        <w:tblpPr w:leftFromText="180" w:rightFromText="180" w:vertAnchor="text" w:horzAnchor="page" w:tblpX="2314" w:tblpY="440"/>
        <w:tblOverlap w:val="never"/>
        <w:tblW w:w="77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ascii="楷体_GB2312" w:hAnsi="宋体" w:eastAsia="楷体_GB2312"/>
                <w:b/>
                <w:bCs/>
                <w:color w:val="auto"/>
                <w:szCs w:val="21"/>
              </w:rPr>
            </w:pPr>
            <w:r>
              <w:rPr>
                <w:rFonts w:hint="eastAsia" w:ascii="楷体_GB2312" w:hAnsi="宋体" w:eastAsia="楷体_GB2312"/>
                <w:b/>
                <w:bCs/>
                <w:color w:val="auto"/>
                <w:szCs w:val="21"/>
              </w:rPr>
              <w:t>机构名称</w:t>
            </w:r>
          </w:p>
        </w:tc>
        <w:tc>
          <w:tcPr>
            <w:tcW w:w="5384" w:type="dxa"/>
            <w:vAlign w:val="center"/>
          </w:tcPr>
          <w:p>
            <w:pPr>
              <w:contextualSpacing/>
              <w:rPr>
                <w:rFonts w:hint="eastAsia" w:ascii="楷体_GB2312" w:hAnsi="宋体" w:eastAsia="楷体_GB2312"/>
                <w:b/>
                <w:bCs/>
                <w:color w:val="auto"/>
                <w:szCs w:val="21"/>
                <w:highlight w:val="none"/>
                <w:lang w:eastAsia="zh-CN"/>
              </w:rPr>
            </w:pPr>
            <w:r>
              <w:rPr>
                <w:rFonts w:hint="eastAsia" w:ascii="楷体_GB2312" w:hAnsi="宋体" w:eastAsia="楷体_GB2312"/>
                <w:b/>
                <w:bCs/>
                <w:color w:val="auto"/>
                <w:szCs w:val="21"/>
                <w:lang w:eastAsia="zh-CN"/>
              </w:rPr>
              <w:t>【</w:t>
            </w:r>
            <w:r>
              <w:rPr>
                <w:rFonts w:hint="eastAsia" w:ascii="楷体_GB2312" w:hAnsi="宋体" w:eastAsia="楷体_GB2312"/>
                <w:b/>
                <w:bCs/>
                <w:color w:val="auto"/>
                <w:szCs w:val="21"/>
                <w:lang w:val="en-US" w:eastAsia="zh-CN"/>
              </w:rPr>
              <w:t>浙江绍兴瑞丰农村商业银行股份有限公司</w:t>
            </w:r>
            <w:r>
              <w:rPr>
                <w:rFonts w:hint="eastAsia" w:ascii="楷体_GB2312" w:hAnsi="宋体" w:eastAsia="楷体_GB2312"/>
                <w:b/>
                <w:bCs/>
                <w:color w:val="auto"/>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ascii="楷体_GB2312" w:hAnsi="宋体" w:eastAsia="楷体_GB2312"/>
                <w:b/>
                <w:bCs/>
                <w:color w:val="auto"/>
                <w:szCs w:val="21"/>
              </w:rPr>
            </w:pPr>
            <w:r>
              <w:rPr>
                <w:rFonts w:hint="eastAsia" w:ascii="楷体_GB2312" w:hAnsi="宋体" w:eastAsia="楷体_GB2312"/>
                <w:b/>
                <w:bCs/>
                <w:color w:val="auto"/>
                <w:szCs w:val="21"/>
              </w:rPr>
              <w:t>地址</w:t>
            </w:r>
          </w:p>
        </w:tc>
        <w:tc>
          <w:tcPr>
            <w:tcW w:w="5384" w:type="dxa"/>
            <w:vAlign w:val="center"/>
          </w:tcPr>
          <w:p>
            <w:pPr>
              <w:contextualSpacing/>
              <w:rPr>
                <w:rFonts w:hint="eastAsia" w:ascii="楷体_GB2312" w:hAnsi="宋体" w:eastAsia="楷体_GB2312"/>
                <w:b/>
                <w:bCs/>
                <w:color w:val="auto"/>
                <w:szCs w:val="21"/>
                <w:highlight w:val="none"/>
                <w:lang w:eastAsia="zh-CN"/>
              </w:rPr>
            </w:pPr>
            <w:r>
              <w:rPr>
                <w:rFonts w:hint="eastAsia" w:ascii="楷体_GB2312" w:hAnsi="宋体" w:eastAsia="楷体_GB2312"/>
                <w:b/>
                <w:bCs/>
                <w:szCs w:val="21"/>
              </w:rPr>
              <w:t>【浙江省绍兴市柯桥区柯桥笛扬路1363号】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ascii="楷体_GB2312" w:hAnsi="宋体" w:eastAsia="楷体_GB2312"/>
                <w:b/>
                <w:bCs/>
                <w:color w:val="auto"/>
                <w:szCs w:val="21"/>
              </w:rPr>
            </w:pPr>
            <w:r>
              <w:rPr>
                <w:rFonts w:hint="eastAsia" w:ascii="楷体_GB2312" w:hAnsi="宋体" w:eastAsia="楷体_GB2312"/>
                <w:b/>
                <w:bCs/>
                <w:color w:val="auto"/>
                <w:szCs w:val="21"/>
              </w:rPr>
              <w:t>客户服务热线</w:t>
            </w:r>
          </w:p>
        </w:tc>
        <w:tc>
          <w:tcPr>
            <w:tcW w:w="5384" w:type="dxa"/>
            <w:vAlign w:val="center"/>
          </w:tcPr>
          <w:p>
            <w:pPr>
              <w:contextualSpacing/>
              <w:rPr>
                <w:rFonts w:hint="eastAsia" w:ascii="楷体_GB2312" w:hAnsi="宋体" w:eastAsia="楷体_GB2312"/>
                <w:b/>
                <w:bCs/>
                <w:color w:val="auto"/>
                <w:szCs w:val="21"/>
                <w:highlight w:val="none"/>
                <w:lang w:eastAsia="zh-CN"/>
              </w:rPr>
            </w:pPr>
            <w:r>
              <w:rPr>
                <w:rFonts w:hint="eastAsia" w:ascii="楷体_GB2312" w:hAnsi="宋体" w:eastAsia="楷体_GB2312"/>
                <w:b/>
                <w:bCs/>
                <w:szCs w:val="21"/>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ascii="楷体_GB2312" w:hAnsi="宋体" w:eastAsia="楷体_GB2312"/>
                <w:b/>
                <w:bCs/>
                <w:szCs w:val="21"/>
              </w:rPr>
            </w:pPr>
            <w:r>
              <w:rPr>
                <w:rFonts w:hint="eastAsia" w:ascii="楷体_GB2312" w:hAnsi="宋体" w:eastAsia="楷体_GB2312"/>
                <w:b/>
                <w:bCs/>
                <w:szCs w:val="21"/>
              </w:rPr>
              <w:t>主要职责</w:t>
            </w:r>
          </w:p>
        </w:tc>
        <w:tc>
          <w:tcPr>
            <w:tcW w:w="5384" w:type="dxa"/>
            <w:vAlign w:val="center"/>
          </w:tcPr>
          <w:p>
            <w:pPr>
              <w:contextualSpacing/>
              <w:rPr>
                <w:rFonts w:ascii="楷体_GB2312" w:hAnsi="宋体" w:eastAsia="楷体_GB2312"/>
                <w:b/>
                <w:bCs/>
                <w:szCs w:val="21"/>
              </w:rPr>
            </w:pPr>
            <w:r>
              <w:rPr>
                <w:rFonts w:hint="eastAsia" w:ascii="楷体_GB2312" w:hAnsi="宋体" w:eastAsia="楷体_GB2312"/>
                <w:b/>
                <w:bCs/>
                <w:szCs w:val="21"/>
              </w:rPr>
              <w:t>销售机构或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spacing w:before="0" w:after="0" w:line="360" w:lineRule="auto"/>
        <w:ind w:firstLine="420" w:firstLineChars="200"/>
        <w:rPr>
          <w:rFonts w:hint="eastAsia"/>
        </w:rPr>
      </w:pPr>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机构名称</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【宁波镇海农村商业银行股份有限公司】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地址</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【浙江省宁波市镇海区骆驼街道镇海大道中段788号】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客户服务热线</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【0571-96596】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主要职责</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销售机构</w:t>
            </w:r>
            <w:r>
              <w:rPr>
                <w:rFonts w:hint="eastAsia" w:ascii="楷体_GB2312" w:hAnsi="宋体" w:eastAsia="楷体_GB2312"/>
                <w:b/>
                <w:bCs/>
                <w:szCs w:val="21"/>
              </w:rPr>
              <w:t>或</w:t>
            </w:r>
            <w:r>
              <w:rPr>
                <w:rFonts w:hint="eastAsia" w:ascii="楷体_GB2312" w:hAnsi="宋体" w:eastAsia="楷体_GB2312" w:cstheme="minorBidi"/>
                <w:b/>
                <w:bCs/>
                <w:szCs w:val="21"/>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spacing w:before="0" w:after="0" w:line="360" w:lineRule="auto"/>
        <w:ind w:firstLine="420" w:firstLineChars="200"/>
        <w:rPr>
          <w:rFonts w:hint="eastAsia"/>
        </w:rPr>
      </w:pPr>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机构名称</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【浙江桐乡农村商业银行股份有限公司】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地址</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【浙江省嘉兴市桐乡市梧桐街道校场东路59号】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客户服务热线</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主要职责</w:t>
            </w:r>
          </w:p>
        </w:tc>
        <w:tc>
          <w:tcPr>
            <w:tcW w:w="5384" w:type="dxa"/>
            <w:vAlign w:val="center"/>
          </w:tcPr>
          <w:p>
            <w:pPr>
              <w:contextualSpacing/>
              <w:rPr>
                <w:rFonts w:hint="eastAsia" w:ascii="楷体_GB2312" w:hAnsi="宋体" w:eastAsia="楷体_GB2312" w:cstheme="minorBidi"/>
                <w:b/>
                <w:bCs/>
                <w:szCs w:val="21"/>
              </w:rPr>
            </w:pPr>
            <w:r>
              <w:rPr>
                <w:rFonts w:hint="eastAsia" w:ascii="楷体_GB2312" w:hAnsi="宋体" w:eastAsia="楷体_GB2312" w:cstheme="minorBidi"/>
                <w:b/>
                <w:bCs/>
                <w:szCs w:val="21"/>
              </w:rPr>
              <w:t>销售机构</w:t>
            </w:r>
            <w:r>
              <w:rPr>
                <w:rFonts w:hint="eastAsia" w:ascii="楷体_GB2312" w:hAnsi="宋体" w:eastAsia="楷体_GB2312"/>
                <w:b/>
                <w:bCs/>
                <w:szCs w:val="21"/>
              </w:rPr>
              <w:t>或</w:t>
            </w:r>
            <w:r>
              <w:rPr>
                <w:rFonts w:hint="eastAsia" w:ascii="楷体_GB2312" w:hAnsi="宋体" w:eastAsia="楷体_GB2312" w:cstheme="minorBidi"/>
                <w:b/>
                <w:bCs/>
                <w:szCs w:val="21"/>
              </w:rPr>
              <w:t>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spacing w:before="0" w:after="0" w:line="360" w:lineRule="auto"/>
        <w:ind w:firstLine="420" w:firstLineChars="200"/>
        <w:rPr>
          <w:rFonts w:hint="eastAsia"/>
        </w:rPr>
      </w:pPr>
    </w:p>
    <w:p>
      <w:pPr>
        <w:pStyle w:val="3"/>
        <w:spacing w:before="0" w:after="0" w:line="360" w:lineRule="auto"/>
        <w:ind w:firstLine="422" w:firstLineChars="200"/>
        <w:rPr>
          <w:rFonts w:ascii="楷体" w:hAnsi="楷体" w:eastAsia="楷体"/>
          <w:sz w:val="21"/>
        </w:rPr>
      </w:pPr>
      <w:r>
        <w:rPr>
          <w:rFonts w:hint="eastAsia" w:ascii="楷体" w:hAnsi="楷体" w:eastAsia="楷体"/>
          <w:sz w:val="21"/>
        </w:rPr>
        <w:t>（四）</w:t>
      </w:r>
      <w:r>
        <w:rPr>
          <w:rFonts w:hint="eastAsia" w:ascii="楷体" w:hAnsi="楷体" w:eastAsia="楷体" w:cs="楷体"/>
          <w:sz w:val="21"/>
          <w:lang w:val="en-US" w:eastAsia="zh-CN"/>
        </w:rPr>
        <w:t>投资</w:t>
      </w:r>
      <w:r>
        <w:rPr>
          <w:rFonts w:hint="eastAsia" w:ascii="楷体" w:hAnsi="楷体" w:eastAsia="楷体"/>
          <w:sz w:val="21"/>
        </w:rPr>
        <w:t>合作机构</w:t>
      </w:r>
      <w:bookmarkEnd w:id="8"/>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rPr>
        <w:t>本理财产品投资合作机构可能包括但不限于华润深国投信托有限公司、国投泰康信托有限公司、中国对外经济贸易信托有限公司、中国人保资产管理有限公司、大家资产管理有限责任公司、中国人寿资产管理有限公司、上银基金管理有限公司、永赢基金管理有限公司、上海光大证券资产管理有限公司、华泰证券(上海)资产管理有限公司、长城财富保险资产管理股份有限公司、民生通惠资产管理有限公司、国寿安保基金管理有限公司、平安信托有限责任公司、华鑫证券有限责任公司等。</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后续新增投资合作机构时，管理人将对合作机构的资质条件、专业服务能力和风险管理水平等进行充分评价，切实履行投资管理职责。</w:t>
      </w:r>
    </w:p>
    <w:p>
      <w:pPr>
        <w:pStyle w:val="2"/>
        <w:spacing w:before="120" w:after="120" w:line="240" w:lineRule="auto"/>
        <w:rPr>
          <w:rFonts w:hint="eastAsia" w:ascii="楷体" w:hAnsi="楷体" w:eastAsia="楷体"/>
          <w:sz w:val="28"/>
          <w:szCs w:val="28"/>
        </w:rPr>
      </w:pPr>
      <w:bookmarkStart w:id="9" w:name="_Toc98680981"/>
      <w:r>
        <w:rPr>
          <w:rFonts w:hint="eastAsia" w:ascii="楷体" w:hAnsi="楷体" w:eastAsia="楷体"/>
          <w:sz w:val="28"/>
          <w:szCs w:val="28"/>
          <w:lang w:val="en-US" w:eastAsia="zh-CN"/>
        </w:rPr>
        <w:t>八</w:t>
      </w:r>
      <w:r>
        <w:rPr>
          <w:rFonts w:hint="eastAsia" w:ascii="楷体" w:hAnsi="楷体" w:eastAsia="楷体"/>
          <w:sz w:val="28"/>
          <w:szCs w:val="28"/>
        </w:rPr>
        <w:t>、产品的收益、费用及税费</w:t>
      </w:r>
      <w:bookmarkEnd w:id="9"/>
    </w:p>
    <w:p>
      <w:pPr>
        <w:pStyle w:val="3"/>
        <w:spacing w:before="0" w:after="0" w:line="360" w:lineRule="auto"/>
        <w:ind w:firstLine="422" w:firstLineChars="200"/>
        <w:rPr>
          <w:rFonts w:ascii="楷体" w:hAnsi="楷体" w:eastAsia="楷体"/>
          <w:sz w:val="21"/>
        </w:rPr>
      </w:pPr>
      <w:bookmarkStart w:id="10" w:name="_Toc98680982"/>
      <w:r>
        <w:rPr>
          <w:rFonts w:hint="eastAsia" w:ascii="楷体" w:hAnsi="楷体" w:eastAsia="楷体"/>
          <w:sz w:val="21"/>
        </w:rPr>
        <w:t>（一）理财产品的收益分配</w:t>
      </w:r>
      <w:bookmarkEnd w:id="10"/>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投资者持有本理财产品期间及到期时，管理人不承诺保证投资本金安全且不保证理财收益，投资者收益（如有）随理财产品的投资盈亏水平浮动。</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2.</w:t>
      </w:r>
      <w:r>
        <w:rPr>
          <w:rFonts w:hint="eastAsia" w:ascii="楷体_GB2312" w:hAnsi="宋体" w:eastAsia="楷体_GB2312"/>
          <w:b/>
          <w:bCs/>
          <w:szCs w:val="21"/>
        </w:rPr>
        <w:t>就期间分配而言，在满足</w:t>
      </w:r>
      <w:r>
        <w:rPr>
          <w:rFonts w:hint="eastAsia" w:ascii="楷体_GB2312" w:hAnsi="宋体" w:eastAsia="楷体_GB2312"/>
          <w:b/>
          <w:bCs/>
          <w:szCs w:val="21"/>
          <w:lang w:val="en-US" w:eastAsia="zh-CN"/>
        </w:rPr>
        <w:t>收益</w:t>
      </w:r>
      <w:r>
        <w:rPr>
          <w:rFonts w:hint="eastAsia" w:ascii="楷体_GB2312" w:hAnsi="宋体" w:eastAsia="楷体_GB2312"/>
          <w:b/>
          <w:bCs/>
          <w:szCs w:val="21"/>
        </w:rPr>
        <w:t>分配基准日</w:t>
      </w:r>
      <w:r>
        <w:rPr>
          <w:rFonts w:hint="eastAsia" w:ascii="楷体_GB2312" w:hAnsi="宋体" w:eastAsia="楷体_GB2312"/>
          <w:b/>
          <w:bCs/>
          <w:szCs w:val="21"/>
          <w:lang w:val="en-US" w:eastAsia="zh-CN"/>
        </w:rPr>
        <w:t>（以管理人确定的为准）</w:t>
      </w:r>
      <w:r>
        <w:rPr>
          <w:rFonts w:hint="eastAsia" w:ascii="楷体_GB2312" w:hAnsi="宋体" w:eastAsia="楷体_GB2312"/>
          <w:b/>
          <w:bCs/>
          <w:szCs w:val="21"/>
        </w:rPr>
        <w:t>理财产品</w:t>
      </w:r>
      <w:r>
        <w:rPr>
          <w:rFonts w:hint="eastAsia" w:ascii="楷体_GB2312" w:hAnsi="宋体" w:eastAsia="楷体_GB2312"/>
          <w:b/>
          <w:bCs/>
          <w:szCs w:val="21"/>
          <w:lang w:val="en-US" w:eastAsia="zh-CN"/>
        </w:rPr>
        <w:t>份额</w:t>
      </w:r>
      <w:r>
        <w:rPr>
          <w:rFonts w:hint="eastAsia" w:ascii="楷体_GB2312" w:hAnsi="宋体" w:eastAsia="楷体_GB2312"/>
          <w:b/>
          <w:bCs/>
          <w:szCs w:val="21"/>
        </w:rPr>
        <w:t>净值大于</w:t>
      </w:r>
      <w:r>
        <w:rPr>
          <w:rFonts w:hint="eastAsia" w:ascii="楷体" w:hAnsi="楷体" w:eastAsia="楷体" w:cs="楷体"/>
          <w:b/>
          <w:bCs/>
          <w:szCs w:val="21"/>
        </w:rPr>
        <w:t>理财产品初始份额净值</w:t>
      </w:r>
      <w:r>
        <w:rPr>
          <w:rFonts w:hint="eastAsia" w:ascii="楷体_GB2312" w:hAnsi="宋体" w:eastAsia="楷体_GB2312"/>
          <w:b/>
          <w:bCs/>
          <w:szCs w:val="21"/>
        </w:rPr>
        <w:t>的条件下，理财产品管理人可进行不定期分配，分配方式为现金分配。</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期间分配原则及方式：</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每一理财产品份额享有同等分配权；</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（2）</w:t>
      </w:r>
      <w:r>
        <w:rPr>
          <w:rFonts w:ascii="楷体_GB2312" w:hAnsi="宋体" w:eastAsia="楷体_GB2312"/>
          <w:b/>
          <w:bCs/>
          <w:szCs w:val="21"/>
          <w:highlight w:val="none"/>
        </w:rPr>
        <w:t>如需进行</w:t>
      </w:r>
      <w:r>
        <w:rPr>
          <w:rFonts w:hint="eastAsia" w:ascii="楷体_GB2312" w:hAnsi="宋体" w:eastAsia="楷体_GB2312"/>
          <w:b/>
          <w:bCs/>
          <w:szCs w:val="21"/>
          <w:highlight w:val="none"/>
          <w:lang w:val="en-US" w:eastAsia="zh-CN"/>
        </w:rPr>
        <w:t>收益</w:t>
      </w:r>
      <w:r>
        <w:rPr>
          <w:rFonts w:ascii="楷体_GB2312" w:hAnsi="宋体" w:eastAsia="楷体_GB2312"/>
          <w:b/>
          <w:bCs/>
          <w:szCs w:val="21"/>
          <w:highlight w:val="none"/>
        </w:rPr>
        <w:t>分配，管</w:t>
      </w:r>
      <w:r>
        <w:rPr>
          <w:rFonts w:ascii="楷体_GB2312" w:hAnsi="宋体" w:eastAsia="楷体_GB2312"/>
          <w:b/>
          <w:bCs/>
          <w:szCs w:val="21"/>
        </w:rPr>
        <w:t>理人应至少在分红日</w:t>
      </w:r>
      <w:r>
        <w:rPr>
          <w:rFonts w:hint="eastAsia" w:ascii="楷体_GB2312" w:hAnsi="宋体" w:eastAsia="楷体_GB2312"/>
          <w:b/>
          <w:bCs/>
          <w:szCs w:val="21"/>
        </w:rPr>
        <w:t>后</w:t>
      </w:r>
      <w:r>
        <w:rPr>
          <w:rFonts w:ascii="楷体_GB2312" w:hAnsi="宋体" w:eastAsia="楷体_GB2312"/>
          <w:b/>
          <w:bCs/>
          <w:szCs w:val="21"/>
        </w:rPr>
        <w:t>2个工作日内通过</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“信息披露”约定</w:t>
      </w:r>
      <w:r>
        <w:rPr>
          <w:rFonts w:ascii="楷体_GB2312" w:hAnsi="宋体" w:eastAsia="楷体_GB2312"/>
          <w:b/>
          <w:bCs/>
          <w:szCs w:val="21"/>
        </w:rPr>
        <w:t>的方式，向投资者披露</w:t>
      </w:r>
      <w:r>
        <w:rPr>
          <w:rFonts w:hint="eastAsia" w:ascii="楷体_GB2312" w:hAnsi="宋体" w:eastAsia="楷体_GB2312"/>
          <w:b/>
          <w:bCs/>
          <w:szCs w:val="21"/>
          <w:lang w:val="en-US" w:eastAsia="zh-CN"/>
        </w:rPr>
        <w:t>收益</w:t>
      </w:r>
      <w:r>
        <w:rPr>
          <w:rFonts w:ascii="楷体_GB2312" w:hAnsi="宋体" w:eastAsia="楷体_GB2312"/>
          <w:b/>
          <w:bCs/>
          <w:szCs w:val="21"/>
        </w:rPr>
        <w:t>分配方案，包括但不限于收益分配基准日、分红日、收益分配对象、收益分配方式、分配金额等内容。</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（3）</w:t>
      </w:r>
      <w:r>
        <w:rPr>
          <w:rFonts w:ascii="楷体_GB2312" w:hAnsi="宋体" w:eastAsia="楷体_GB2312"/>
          <w:b/>
          <w:bCs/>
          <w:szCs w:val="21"/>
        </w:rPr>
        <w:t>原则上，管理人在理财产品分红日后5个工作日内将投资者可得资金转至投资者账户。超过5个工作日的，管理人将提前2个工作日通过</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“信息披露”约定</w:t>
      </w:r>
      <w:r>
        <w:rPr>
          <w:rFonts w:ascii="楷体_GB2312" w:hAnsi="宋体" w:eastAsia="楷体_GB2312"/>
          <w:b/>
          <w:bCs/>
          <w:szCs w:val="21"/>
        </w:rPr>
        <w:t>的方式，向投资者披露。</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（4）</w:t>
      </w:r>
      <w:r>
        <w:rPr>
          <w:rFonts w:ascii="楷体_GB2312" w:hAnsi="宋体" w:eastAsia="楷体_GB2312"/>
          <w:b/>
          <w:bCs/>
          <w:szCs w:val="21"/>
        </w:rPr>
        <w:t>在符合法律法规及理财产品合同约定，并对理财产品份额持有人利益无实质不利影响的前提下，理财产品管理人可通过公告形式对理财产品期间</w:t>
      </w:r>
      <w:r>
        <w:rPr>
          <w:rFonts w:hint="eastAsia" w:ascii="楷体_GB2312" w:hAnsi="宋体" w:eastAsia="楷体_GB2312"/>
          <w:b/>
          <w:bCs/>
          <w:szCs w:val="21"/>
          <w:lang w:val="en-US" w:eastAsia="zh-CN"/>
        </w:rPr>
        <w:t>收益</w:t>
      </w:r>
      <w:r>
        <w:rPr>
          <w:rFonts w:ascii="楷体_GB2312" w:hAnsi="宋体" w:eastAsia="楷体_GB2312"/>
          <w:b/>
          <w:bCs/>
          <w:szCs w:val="21"/>
        </w:rPr>
        <w:t>分配原则及方式进行调整。</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3.</w:t>
      </w:r>
      <w:r>
        <w:rPr>
          <w:rFonts w:ascii="楷体_GB2312" w:hAnsi="宋体" w:eastAsia="楷体_GB2312"/>
          <w:b/>
          <w:bCs/>
          <w:szCs w:val="21"/>
        </w:rPr>
        <w:t>就终止分配而言，在理财产品终止日如理财产品项下财产全部变现，管理人在理财产品终止日后的5个工作日内扣除应由理财产品承担的税费及费用（包括但不限于固定投资管理费、托管费、销售管理费等）后将投资者应得资金（如有）划转至投资者指定账户。</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理财产品终止日，如理财产品项下所投资的标的资产因市场风险、信用风险等原因不能全部变现，则管理人将现金类资产扣除应由理财产品承担的税费及费用（包括但不限于固定投资管理费、销售管理费、托管费等）后，按照各投资者持有理财产品份额比例在5个工作日内向投资者分配。对于未变现资产部分，管理人以投资者利益最大化的原则，寻求未变现资产变现方式，在资产变现后，扣除应由理财产品承担的费用（包括但不限于固定投资管理费、托管费、销售管理费等，由管理人、第三方垫付的费用）后，按照各投资者持有理财产品份额比例在5个工作日内向投资者分配。</w:t>
      </w:r>
      <w:r>
        <w:rPr>
          <w:rFonts w:hint="eastAsia" w:ascii="楷体_GB2312" w:hAnsi="宋体" w:eastAsia="楷体_GB2312"/>
          <w:b/>
          <w:bCs/>
          <w:szCs w:val="21"/>
        </w:rPr>
        <w:t>延期清算期间，本理财</w:t>
      </w:r>
      <w:r>
        <w:rPr>
          <w:rFonts w:hint="eastAsia" w:ascii="楷体_GB2312" w:hAnsi="宋体" w:eastAsia="楷体_GB2312"/>
          <w:b/>
          <w:bCs/>
          <w:szCs w:val="21"/>
          <w:lang w:val="en-US" w:eastAsia="zh-CN"/>
        </w:rPr>
        <w:t>产品</w:t>
      </w:r>
      <w:r>
        <w:rPr>
          <w:rFonts w:hint="eastAsia" w:ascii="楷体_GB2312" w:hAnsi="宋体" w:eastAsia="楷体_GB2312"/>
          <w:b/>
          <w:bCs/>
          <w:szCs w:val="21"/>
        </w:rPr>
        <w:t>不收取固定投资管理费、托管费及销售</w:t>
      </w:r>
      <w:r>
        <w:rPr>
          <w:rFonts w:hint="eastAsia" w:ascii="楷体_GB2312" w:hAnsi="宋体" w:eastAsia="楷体_GB2312"/>
          <w:b/>
          <w:bCs/>
          <w:szCs w:val="21"/>
          <w:lang w:val="en-US" w:eastAsia="zh-CN"/>
        </w:rPr>
        <w:t>管理</w:t>
      </w:r>
      <w:r>
        <w:rPr>
          <w:rFonts w:hint="eastAsia" w:ascii="楷体_GB2312" w:hAnsi="宋体" w:eastAsia="楷体_GB2312"/>
          <w:b/>
          <w:bCs/>
          <w:szCs w:val="21"/>
        </w:rPr>
        <w:t>费等。</w:t>
      </w:r>
      <w:r>
        <w:rPr>
          <w:rFonts w:ascii="楷体_GB2312" w:hAnsi="宋体" w:eastAsia="楷体_GB2312"/>
          <w:b/>
          <w:bCs/>
          <w:szCs w:val="21"/>
        </w:rPr>
        <w:t>理财产品项下财产正常变现情况下，投资者理财产品终止日可得资金（如有）计算公式如下：</w:t>
      </w:r>
    </w:p>
    <w:p>
      <w:pPr>
        <w:spacing w:line="360" w:lineRule="auto"/>
        <w:ind w:firstLine="422" w:firstLineChars="200"/>
        <w:contextualSpacing/>
        <w:rPr>
          <w:rFonts w:ascii="楷体_GB2312" w:hAnsi="宋体" w:eastAsia="楷体_GB2312"/>
          <w:b/>
          <w:bCs/>
          <w:szCs w:val="21"/>
          <w:highlight w:val="none"/>
        </w:rPr>
      </w:pPr>
      <w:r>
        <w:rPr>
          <w:rFonts w:ascii="楷体_GB2312" w:hAnsi="宋体" w:eastAsia="楷体_GB2312"/>
          <w:b/>
          <w:bCs/>
          <w:szCs w:val="21"/>
          <w:highlight w:val="none"/>
        </w:rPr>
        <w:t>投资者可得资金=投资者理财产品终止日持有理财产品份额×理财产品终止日理财产品</w:t>
      </w:r>
      <w:r>
        <w:rPr>
          <w:rFonts w:hint="eastAsia" w:ascii="楷体_GB2312" w:hAnsi="宋体" w:eastAsia="楷体_GB2312"/>
          <w:b/>
          <w:bCs/>
          <w:szCs w:val="21"/>
          <w:highlight w:val="none"/>
          <w:lang w:val="en-US" w:eastAsia="zh-CN"/>
        </w:rPr>
        <w:t>份额</w:t>
      </w:r>
      <w:r>
        <w:rPr>
          <w:rFonts w:ascii="楷体_GB2312" w:hAnsi="宋体" w:eastAsia="楷体_GB2312"/>
          <w:b/>
          <w:bCs/>
          <w:szCs w:val="21"/>
          <w:highlight w:val="none"/>
        </w:rPr>
        <w:t>净值</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如因理财产品所投资的标的资产因市场风险、信用风险等原因，导致资产无法在理财产品终止日内变现，则投资者应得资金为理财产品变现金额扣除应由理财产品承担的费用、税费后的剩余金额。</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理财产品项下财产正常变现情况下，理财产品投资者在终止日可得收益（不包括投资者通过期间分配已经获得的收益）的计算公式为：</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每份额收益=理财产品终止日</w:t>
      </w:r>
      <w:r>
        <w:rPr>
          <w:rFonts w:hint="eastAsia" w:ascii="楷体_GB2312" w:hAnsi="宋体" w:eastAsia="楷体_GB2312"/>
          <w:b/>
          <w:bCs/>
          <w:szCs w:val="21"/>
          <w:lang w:val="en-US" w:eastAsia="zh-CN"/>
        </w:rPr>
        <w:t>份额</w:t>
      </w:r>
      <w:r>
        <w:rPr>
          <w:rFonts w:ascii="楷体_GB2312" w:hAnsi="宋体" w:eastAsia="楷体_GB2312"/>
          <w:b/>
          <w:bCs/>
          <w:szCs w:val="21"/>
        </w:rPr>
        <w:t>净值-</w:t>
      </w:r>
      <w:r>
        <w:rPr>
          <w:rFonts w:hint="eastAsia" w:ascii="楷体_GB2312" w:hAnsi="宋体" w:eastAsia="楷体_GB2312"/>
          <w:b/>
          <w:bCs/>
          <w:szCs w:val="21"/>
        </w:rPr>
        <w:t>理财产品成立日</w:t>
      </w:r>
      <w:r>
        <w:rPr>
          <w:rFonts w:hint="eastAsia" w:ascii="楷体_GB2312" w:hAnsi="宋体" w:eastAsia="楷体_GB2312"/>
          <w:b/>
          <w:bCs/>
          <w:szCs w:val="21"/>
          <w:lang w:val="en-US" w:eastAsia="zh-CN"/>
        </w:rPr>
        <w:t>份额</w:t>
      </w:r>
      <w:r>
        <w:rPr>
          <w:rFonts w:hint="eastAsia" w:ascii="楷体_GB2312" w:hAnsi="宋体" w:eastAsia="楷体_GB2312"/>
          <w:b/>
          <w:bCs/>
          <w:szCs w:val="21"/>
        </w:rPr>
        <w:t>净值或投资者取得份额所在确认日前一交易日</w:t>
      </w:r>
      <w:r>
        <w:rPr>
          <w:rFonts w:hint="eastAsia" w:ascii="楷体_GB2312" w:hAnsi="宋体" w:eastAsia="楷体_GB2312"/>
          <w:b/>
          <w:bCs/>
          <w:szCs w:val="21"/>
          <w:lang w:val="en-US" w:eastAsia="zh-CN"/>
        </w:rPr>
        <w:t>的份额</w:t>
      </w:r>
      <w:r>
        <w:rPr>
          <w:rFonts w:ascii="楷体_GB2312" w:hAnsi="宋体" w:eastAsia="楷体_GB2312"/>
          <w:b/>
          <w:bCs/>
          <w:szCs w:val="21"/>
        </w:rPr>
        <w:t>净值</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投资者在终止日可得总收益=投资者理财产品终止日持有理财产品份额×每份额收益</w:t>
      </w:r>
    </w:p>
    <w:p>
      <w:pPr>
        <w:pStyle w:val="3"/>
        <w:spacing w:before="0" w:after="0" w:line="360" w:lineRule="auto"/>
        <w:ind w:firstLine="422" w:firstLineChars="200"/>
        <w:rPr>
          <w:rFonts w:ascii="楷体" w:hAnsi="楷体" w:eastAsia="楷体"/>
          <w:sz w:val="21"/>
        </w:rPr>
      </w:pPr>
      <w:bookmarkStart w:id="11" w:name="_Toc98680983"/>
      <w:r>
        <w:rPr>
          <w:rFonts w:hint="eastAsia" w:ascii="楷体" w:hAnsi="楷体" w:eastAsia="楷体"/>
          <w:sz w:val="21"/>
        </w:rPr>
        <w:t>（二）</w:t>
      </w:r>
      <w:r>
        <w:rPr>
          <w:rFonts w:ascii="楷体" w:hAnsi="楷体" w:eastAsia="楷体"/>
          <w:sz w:val="21"/>
        </w:rPr>
        <w:t>理财产品费用</w:t>
      </w:r>
      <w:bookmarkEnd w:id="11"/>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1</w:t>
      </w:r>
      <w:r>
        <w:rPr>
          <w:rFonts w:hint="eastAsia" w:ascii="楷体_GB2312" w:hAnsi="宋体" w:eastAsia="楷体_GB2312"/>
          <w:b/>
          <w:bCs/>
          <w:szCs w:val="21"/>
        </w:rPr>
        <w:t>.</w:t>
      </w:r>
      <w:r>
        <w:rPr>
          <w:rFonts w:hint="eastAsia" w:ascii="楷体_GB2312" w:hAnsi="宋体" w:eastAsia="楷体_GB2312"/>
          <w:b/>
          <w:bCs/>
          <w:szCs w:val="21"/>
          <w:highlight w:val="none"/>
        </w:rPr>
        <w:t>理财产品费用指管理人为成立理财产品及处理理财产品事务目的而支出的所有费用，包括但不限于管理人收取的固定投资管理费、</w:t>
      </w:r>
      <w:r>
        <w:rPr>
          <w:rFonts w:hint="eastAsia" w:ascii="楷体_GB2312" w:hAnsi="宋体" w:eastAsia="楷体_GB2312"/>
          <w:b/>
          <w:bCs/>
          <w:szCs w:val="21"/>
          <w:highlight w:val="none"/>
          <w:lang w:val="en-US" w:eastAsia="zh-CN"/>
        </w:rPr>
        <w:t>浮动投资管理费（如有）、</w:t>
      </w:r>
      <w:r>
        <w:rPr>
          <w:rFonts w:hint="eastAsia" w:ascii="楷体_GB2312" w:hAnsi="宋体" w:eastAsia="楷体_GB2312"/>
          <w:b/>
          <w:bCs/>
          <w:szCs w:val="21"/>
          <w:highlight w:val="none"/>
        </w:rPr>
        <w:t>托管人收取的托管费、销售机构收取的销售管理费、因投资资产而产生的资产服务费（如有）</w:t>
      </w:r>
      <w:r>
        <w:rPr>
          <w:rFonts w:hint="eastAsia" w:ascii="楷体_GB2312" w:hAnsi="宋体" w:eastAsia="楷体_GB2312"/>
          <w:b/>
          <w:bCs/>
          <w:szCs w:val="21"/>
          <w:highlight w:val="none"/>
          <w:lang w:eastAsia="zh-CN"/>
        </w:rPr>
        <w:t>、</w:t>
      </w:r>
      <w:r>
        <w:rPr>
          <w:rFonts w:hint="eastAsia" w:ascii="楷体_GB2312" w:hAnsi="宋体" w:eastAsia="楷体_GB2312"/>
          <w:b/>
          <w:bCs/>
          <w:szCs w:val="21"/>
          <w:highlight w:val="none"/>
        </w:rPr>
        <w:t>交易费用（包括但不限于交易佣金、撮合费用等）、理财产品验资费、审</w:t>
      </w:r>
      <w:r>
        <w:rPr>
          <w:rFonts w:hint="eastAsia" w:ascii="楷体_GB2312" w:hAnsi="宋体" w:eastAsia="楷体_GB2312"/>
          <w:b/>
          <w:bCs/>
          <w:szCs w:val="21"/>
        </w:rPr>
        <w:t>计费、保全费、律师费、信息披露费、清算费、执行费用、外包服务费、资产评估费、资产存续期管理所需费用及按照法律法规规章规定和理财产品销售文件约定应由产品承担的费用，具体以实际发生为准。</w:t>
      </w:r>
      <w:r>
        <w:rPr>
          <w:rFonts w:hint="eastAsia" w:ascii="楷体_GB2312" w:hAnsi="宋体" w:eastAsia="楷体_GB2312"/>
          <w:b/>
          <w:bCs/>
          <w:szCs w:val="21"/>
          <w:lang w:val="en-US" w:eastAsia="zh-CN"/>
        </w:rPr>
        <w:t xml:space="preserve"> </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2.</w:t>
      </w:r>
      <w:r>
        <w:rPr>
          <w:rFonts w:ascii="楷体_GB2312" w:hAnsi="宋体" w:eastAsia="楷体_GB2312"/>
          <w:b/>
          <w:bCs/>
          <w:szCs w:val="21"/>
        </w:rPr>
        <w:t>理财产品费用按本《产品说明书》及投资管理人与费用收取方之间的协议约定从理财产品资产中支付。投资管理人或理财产品参与方以固有财产先行垫付的，有权从理财产品资产中优先受偿。</w:t>
      </w:r>
    </w:p>
    <w:p>
      <w:pPr>
        <w:spacing w:line="360" w:lineRule="auto"/>
        <w:ind w:firstLine="420"/>
        <w:rPr>
          <w:rFonts w:hint="eastAsia" w:ascii="楷体_GB2312" w:hAnsi="宋体" w:eastAsia="楷体_GB2312"/>
          <w:b/>
          <w:bCs/>
          <w:szCs w:val="21"/>
          <w:lang w:val="en-US" w:eastAsia="zh-CN"/>
        </w:rPr>
      </w:pPr>
      <w:r>
        <w:rPr>
          <w:rFonts w:hint="eastAsia" w:ascii="楷体_GB2312" w:hAnsi="宋体" w:eastAsia="楷体_GB2312"/>
          <w:b/>
          <w:bCs/>
          <w:szCs w:val="21"/>
          <w:lang w:val="en-US" w:eastAsia="zh-CN"/>
        </w:rPr>
        <w:t>3.本理财产品</w:t>
      </w:r>
      <w:r>
        <w:rPr>
          <w:rFonts w:hint="eastAsia" w:ascii="楷体_GB2312" w:hAnsi="宋体" w:eastAsia="楷体_GB2312"/>
          <w:b/>
          <w:bCs/>
          <w:szCs w:val="21"/>
        </w:rPr>
        <w:t>销售管理费、固定投资管理费、托管费均按日根据理财产品上一自然日日终产品</w:t>
      </w:r>
      <w:r>
        <w:rPr>
          <w:rFonts w:hint="eastAsia" w:ascii="楷体_GB2312" w:hAnsi="宋体" w:eastAsia="楷体_GB2312"/>
          <w:b/>
          <w:bCs/>
          <w:szCs w:val="21"/>
          <w:lang w:val="en-US" w:eastAsia="zh-CN"/>
        </w:rPr>
        <w:t>资产</w:t>
      </w:r>
      <w:r>
        <w:rPr>
          <w:rFonts w:hint="eastAsia" w:ascii="楷体_GB2312" w:hAnsi="宋体" w:eastAsia="楷体_GB2312"/>
          <w:b/>
          <w:bCs/>
          <w:szCs w:val="21"/>
        </w:rPr>
        <w:t>净值进行提取，均为年化费率</w:t>
      </w:r>
      <w:r>
        <w:rPr>
          <w:rFonts w:hint="eastAsia" w:ascii="楷体_GB2312" w:hAnsi="宋体" w:eastAsia="楷体_GB2312"/>
          <w:b/>
          <w:bCs/>
          <w:szCs w:val="21"/>
          <w:lang w:val="en-US" w:eastAsia="zh-CN"/>
        </w:rPr>
        <w:t>：</w:t>
      </w:r>
    </w:p>
    <w:p>
      <w:pPr>
        <w:spacing w:line="360" w:lineRule="auto"/>
        <w:ind w:firstLine="420"/>
        <w:rPr>
          <w:rFonts w:hint="eastAsia" w:ascii="楷体_GB2312" w:hAnsi="宋体" w:eastAsia="楷体_GB2312"/>
          <w:b/>
          <w:bCs/>
          <w:szCs w:val="21"/>
          <w:lang w:val="en-US" w:eastAsia="zh-CN"/>
        </w:rPr>
      </w:pPr>
      <w:r>
        <w:rPr>
          <w:rFonts w:hint="eastAsia" w:ascii="楷体_GB2312" w:hAnsi="宋体" w:eastAsia="楷体_GB2312"/>
          <w:b/>
          <w:bCs/>
          <w:szCs w:val="21"/>
          <w:lang w:val="en-US" w:eastAsia="zh-CN"/>
        </w:rPr>
        <w:t>（1）销售管理费：年化费率【</w:t>
      </w:r>
      <w:r>
        <w:rPr>
          <w:rFonts w:hint="eastAsia" w:ascii="楷体_GB2312" w:hAnsi="宋体" w:eastAsia="楷体_GB2312"/>
          <w:b/>
          <w:bCs/>
          <w:color w:val="C00000"/>
          <w:szCs w:val="21"/>
          <w:lang w:val="en-US" w:eastAsia="zh-CN"/>
        </w:rPr>
        <w:t>0.60%</w:t>
      </w:r>
      <w:r>
        <w:rPr>
          <w:rFonts w:hint="eastAsia" w:ascii="楷体_GB2312" w:hAnsi="宋体" w:eastAsia="楷体_GB2312"/>
          <w:b/>
          <w:bCs/>
          <w:szCs w:val="21"/>
          <w:lang w:val="en-US" w:eastAsia="zh-CN"/>
        </w:rPr>
        <w:t>】。</w:t>
      </w:r>
    </w:p>
    <w:p>
      <w:pPr>
        <w:spacing w:line="360" w:lineRule="auto"/>
        <w:ind w:firstLine="420"/>
        <w:rPr>
          <w:rFonts w:hint="eastAsia" w:ascii="楷体_GB2312" w:hAnsi="宋体" w:eastAsia="楷体_GB2312"/>
          <w:b/>
          <w:bCs/>
          <w:szCs w:val="21"/>
          <w:lang w:val="en-US" w:eastAsia="zh-CN"/>
        </w:rPr>
      </w:pPr>
      <w:r>
        <w:rPr>
          <w:rFonts w:hint="eastAsia" w:ascii="楷体_GB2312" w:hAnsi="宋体" w:eastAsia="楷体_GB2312"/>
          <w:b/>
          <w:bCs/>
          <w:szCs w:val="21"/>
          <w:lang w:val="en-US" w:eastAsia="zh-CN"/>
        </w:rPr>
        <w:t>（2）固定投资管理费：年化费率【</w:t>
      </w:r>
      <w:r>
        <w:rPr>
          <w:rFonts w:hint="eastAsia" w:ascii="楷体_GB2312" w:hAnsi="宋体" w:eastAsia="楷体_GB2312"/>
          <w:b/>
          <w:bCs/>
          <w:color w:val="C00000"/>
          <w:szCs w:val="21"/>
          <w:lang w:val="en-US" w:eastAsia="zh-CN"/>
        </w:rPr>
        <w:t>0.60%</w:t>
      </w:r>
      <w:r>
        <w:rPr>
          <w:rFonts w:hint="eastAsia" w:ascii="楷体_GB2312" w:hAnsi="宋体" w:eastAsia="楷体_GB2312"/>
          <w:b/>
          <w:bCs/>
          <w:szCs w:val="21"/>
          <w:lang w:val="en-US" w:eastAsia="zh-CN"/>
        </w:rPr>
        <w:t>】。</w:t>
      </w:r>
    </w:p>
    <w:p>
      <w:pPr>
        <w:spacing w:line="360" w:lineRule="auto"/>
        <w:ind w:firstLine="420"/>
        <w:rPr>
          <w:rFonts w:hint="default" w:ascii="楷体_GB2312" w:hAnsi="宋体" w:eastAsia="楷体_GB2312"/>
          <w:b/>
          <w:bCs/>
          <w:szCs w:val="21"/>
          <w:lang w:val="en-US" w:eastAsia="zh-CN"/>
        </w:rPr>
      </w:pPr>
      <w:r>
        <w:rPr>
          <w:rFonts w:hint="eastAsia" w:ascii="楷体_GB2312" w:hAnsi="宋体" w:eastAsia="楷体_GB2312"/>
          <w:b/>
          <w:bCs/>
          <w:szCs w:val="21"/>
          <w:lang w:val="en-US" w:eastAsia="zh-CN"/>
        </w:rPr>
        <w:t>（3）托管费：年化费率【</w:t>
      </w:r>
      <w:r>
        <w:rPr>
          <w:rFonts w:hint="eastAsia" w:ascii="楷体_GB2312" w:hAnsi="宋体" w:eastAsia="楷体_GB2312"/>
          <w:b/>
          <w:bCs/>
          <w:color w:val="C00000"/>
          <w:szCs w:val="21"/>
          <w:lang w:val="en-US" w:eastAsia="zh-CN"/>
        </w:rPr>
        <w:t>0.02%</w:t>
      </w:r>
      <w:r>
        <w:rPr>
          <w:rFonts w:hint="eastAsia" w:ascii="楷体_GB2312" w:hAnsi="宋体" w:eastAsia="楷体_GB2312"/>
          <w:b/>
          <w:bCs/>
          <w:szCs w:val="21"/>
          <w:lang w:val="en-US" w:eastAsia="zh-CN"/>
        </w:rPr>
        <w:t>】。</w:t>
      </w:r>
    </w:p>
    <w:p>
      <w:pPr>
        <w:spacing w:line="360" w:lineRule="auto"/>
        <w:ind w:firstLine="420"/>
        <w:rPr>
          <w:rFonts w:hint="default" w:ascii="楷体_GB2312" w:hAnsi="宋体" w:eastAsia="楷体_GB2312"/>
          <w:b/>
          <w:bCs/>
          <w:szCs w:val="21"/>
          <w:u w:val="single"/>
          <w:lang w:val="en-US" w:eastAsia="zh-CN"/>
        </w:rPr>
      </w:pPr>
      <w:r>
        <w:rPr>
          <w:rFonts w:hint="eastAsia" w:ascii="楷体_GB2312" w:hAnsi="宋体" w:eastAsia="楷体_GB2312"/>
          <w:b/>
          <w:bCs/>
          <w:szCs w:val="21"/>
          <w:u w:val="none"/>
          <w:lang w:val="en-US" w:eastAsia="zh-CN"/>
        </w:rPr>
        <w:t>理财产品某一类份额每个自然日计提的</w:t>
      </w:r>
      <w:r>
        <w:rPr>
          <w:rFonts w:hint="eastAsia" w:ascii="楷体_GB2312" w:hAnsi="宋体" w:eastAsia="楷体_GB2312"/>
          <w:b/>
          <w:bCs/>
          <w:szCs w:val="21"/>
          <w:u w:val="none"/>
        </w:rPr>
        <w:t>销售管理费</w:t>
      </w:r>
      <w:r>
        <w:rPr>
          <w:rFonts w:hint="eastAsia" w:ascii="楷体_GB2312" w:hAnsi="宋体" w:eastAsia="楷体_GB2312"/>
          <w:b/>
          <w:bCs/>
          <w:szCs w:val="21"/>
          <w:u w:val="none"/>
          <w:lang w:val="en-US" w:eastAsia="zh-CN"/>
        </w:rPr>
        <w:t>/</w:t>
      </w:r>
      <w:r>
        <w:rPr>
          <w:rFonts w:hint="eastAsia" w:ascii="楷体_GB2312" w:hAnsi="宋体" w:eastAsia="楷体_GB2312"/>
          <w:b/>
          <w:bCs/>
          <w:szCs w:val="21"/>
          <w:u w:val="none"/>
        </w:rPr>
        <w:t>固定投资管理费</w:t>
      </w:r>
      <w:r>
        <w:rPr>
          <w:rFonts w:hint="eastAsia" w:ascii="楷体_GB2312" w:hAnsi="宋体" w:eastAsia="楷体_GB2312"/>
          <w:b/>
          <w:bCs/>
          <w:szCs w:val="21"/>
          <w:u w:val="none"/>
          <w:lang w:val="en-US" w:eastAsia="zh-CN"/>
        </w:rPr>
        <w:t>/</w:t>
      </w:r>
      <w:r>
        <w:rPr>
          <w:rFonts w:hint="eastAsia" w:ascii="楷体_GB2312" w:hAnsi="宋体" w:eastAsia="楷体_GB2312"/>
          <w:b/>
          <w:bCs/>
          <w:szCs w:val="21"/>
          <w:u w:val="none"/>
        </w:rPr>
        <w:t>托管费</w:t>
      </w:r>
      <w:r>
        <w:rPr>
          <w:rFonts w:hint="eastAsia" w:ascii="楷体_GB2312" w:hAnsi="宋体" w:eastAsia="楷体_GB2312"/>
          <w:b/>
          <w:bCs/>
          <w:szCs w:val="21"/>
          <w:u w:val="none"/>
          <w:lang w:val="en-US" w:eastAsia="zh-CN"/>
        </w:rPr>
        <w:t>=</w:t>
      </w:r>
      <w:r>
        <w:rPr>
          <w:rFonts w:hint="eastAsia" w:ascii="楷体_GB2312" w:hAnsi="宋体" w:eastAsia="楷体_GB2312"/>
          <w:b/>
          <w:bCs/>
          <w:szCs w:val="21"/>
          <w:u w:val="none"/>
        </w:rPr>
        <w:t>上一自然日</w:t>
      </w:r>
      <w:r>
        <w:rPr>
          <w:rFonts w:hint="eastAsia" w:ascii="楷体_GB2312" w:hAnsi="宋体" w:eastAsia="楷体_GB2312"/>
          <w:b/>
          <w:bCs/>
          <w:szCs w:val="21"/>
          <w:u w:val="none"/>
          <w:lang w:val="en-US" w:eastAsia="zh-CN"/>
        </w:rPr>
        <w:t>理财产品该类份额资产净值×</w:t>
      </w:r>
      <w:r>
        <w:rPr>
          <w:rFonts w:hint="eastAsia" w:ascii="楷体_GB2312" w:hAnsi="宋体" w:eastAsia="楷体_GB2312"/>
          <w:b/>
          <w:bCs/>
          <w:szCs w:val="21"/>
          <w:u w:val="none"/>
        </w:rPr>
        <w:t>销售管理费</w:t>
      </w:r>
      <w:r>
        <w:rPr>
          <w:rFonts w:hint="eastAsia" w:ascii="楷体_GB2312" w:hAnsi="宋体" w:eastAsia="楷体_GB2312"/>
          <w:b/>
          <w:bCs/>
          <w:szCs w:val="21"/>
          <w:u w:val="none"/>
          <w:lang w:val="en-US" w:eastAsia="zh-CN"/>
        </w:rPr>
        <w:t>/</w:t>
      </w:r>
      <w:r>
        <w:rPr>
          <w:rFonts w:hint="eastAsia" w:ascii="楷体_GB2312" w:hAnsi="宋体" w:eastAsia="楷体_GB2312"/>
          <w:b/>
          <w:bCs/>
          <w:szCs w:val="21"/>
          <w:u w:val="none"/>
        </w:rPr>
        <w:t>固定投资管理费</w:t>
      </w:r>
      <w:r>
        <w:rPr>
          <w:rFonts w:hint="eastAsia" w:ascii="楷体_GB2312" w:hAnsi="宋体" w:eastAsia="楷体_GB2312"/>
          <w:b/>
          <w:bCs/>
          <w:szCs w:val="21"/>
          <w:u w:val="none"/>
          <w:lang w:val="en-US" w:eastAsia="zh-CN"/>
        </w:rPr>
        <w:t>/</w:t>
      </w:r>
      <w:r>
        <w:rPr>
          <w:rFonts w:hint="eastAsia" w:ascii="楷体_GB2312" w:hAnsi="宋体" w:eastAsia="楷体_GB2312"/>
          <w:b/>
          <w:bCs/>
          <w:szCs w:val="21"/>
          <w:u w:val="none"/>
        </w:rPr>
        <w:t>托管费</w:t>
      </w:r>
      <w:r>
        <w:rPr>
          <w:rFonts w:hint="eastAsia" w:ascii="楷体_GB2312" w:hAnsi="宋体" w:eastAsia="楷体_GB2312"/>
          <w:b/>
          <w:bCs/>
          <w:szCs w:val="21"/>
          <w:u w:val="none"/>
          <w:lang w:val="en-US" w:eastAsia="zh-CN"/>
        </w:rPr>
        <w:t>年化费率÷365</w:t>
      </w:r>
    </w:p>
    <w:p>
      <w:pPr>
        <w:spacing w:line="360" w:lineRule="auto"/>
        <w:ind w:firstLine="422" w:firstLineChars="200"/>
        <w:contextualSpacing/>
        <w:rPr>
          <w:rFonts w:hint="eastAsia" w:ascii="楷体_GB2312" w:hAnsi="宋体" w:eastAsia="楷体_GB2312"/>
          <w:b/>
          <w:bCs/>
          <w:szCs w:val="21"/>
          <w:lang w:val="en-US" w:eastAsia="zh-CN"/>
        </w:rPr>
      </w:pPr>
      <w:r>
        <w:rPr>
          <w:rFonts w:hint="eastAsia" w:ascii="楷体_GB2312" w:hAnsi="宋体" w:eastAsia="楷体_GB2312"/>
          <w:b/>
          <w:bCs/>
          <w:szCs w:val="21"/>
          <w:lang w:val="en-US" w:eastAsia="zh-CN"/>
        </w:rPr>
        <w:t>4.管理人有权依照理财产品销售文件约定规则收取浮动投资管理费。</w:t>
      </w:r>
    </w:p>
    <w:p>
      <w:pPr>
        <w:numPr>
          <w:ilvl w:val="0"/>
          <w:numId w:val="0"/>
        </w:numPr>
        <w:spacing w:line="360" w:lineRule="auto"/>
        <w:ind w:firstLine="422" w:firstLineChars="200"/>
        <w:rPr>
          <w:rFonts w:hint="default" w:ascii="楷体_GB2312" w:hAnsi="宋体" w:eastAsia="楷体_GB2312"/>
          <w:b/>
          <w:bCs/>
          <w:szCs w:val="21"/>
          <w:lang w:val="en-US" w:eastAsia="zh-CN"/>
        </w:rPr>
      </w:pPr>
      <w:r>
        <w:rPr>
          <w:rFonts w:hint="eastAsia" w:ascii="楷体_GB2312" w:hAnsi="宋体" w:eastAsia="楷体_GB2312"/>
          <w:b/>
          <w:bCs/>
          <w:szCs w:val="21"/>
          <w:lang w:val="en-US" w:eastAsia="zh-CN"/>
        </w:rPr>
        <w:t>本理财产品浮动投资管理费收取比例：【</w:t>
      </w:r>
      <w:r>
        <w:rPr>
          <w:rFonts w:hint="eastAsia" w:ascii="楷体_GB2312" w:hAnsi="宋体" w:eastAsia="楷体_GB2312"/>
          <w:b/>
          <w:bCs/>
          <w:color w:val="C00000"/>
          <w:szCs w:val="21"/>
          <w:lang w:val="en-US" w:eastAsia="zh-CN"/>
        </w:rPr>
        <w:t>/</w:t>
      </w:r>
      <w:r>
        <w:rPr>
          <w:rFonts w:hint="eastAsia" w:ascii="楷体_GB2312" w:hAnsi="宋体" w:eastAsia="楷体_GB2312"/>
          <w:b/>
          <w:bCs/>
          <w:szCs w:val="21"/>
          <w:lang w:val="en-US" w:eastAsia="zh-CN"/>
        </w:rPr>
        <w:t>】</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5</w:t>
      </w:r>
      <w:r>
        <w:rPr>
          <w:rFonts w:hint="eastAsia" w:ascii="楷体_GB2312" w:hAnsi="宋体" w:eastAsia="楷体_GB2312"/>
          <w:b/>
          <w:bCs/>
          <w:szCs w:val="21"/>
        </w:rPr>
        <w:t>.产品运作</w:t>
      </w:r>
      <w:r>
        <w:rPr>
          <w:rFonts w:ascii="楷体_GB2312" w:hAnsi="宋体" w:eastAsia="楷体_GB2312"/>
          <w:b/>
          <w:bCs/>
          <w:szCs w:val="21"/>
        </w:rPr>
        <w:t>和清算中产生的其他资金汇划费、结算费、</w:t>
      </w:r>
      <w:r>
        <w:rPr>
          <w:rFonts w:hint="eastAsia" w:ascii="楷体_GB2312" w:hAnsi="宋体" w:eastAsia="楷体_GB2312"/>
          <w:b/>
          <w:bCs/>
          <w:szCs w:val="21"/>
        </w:rPr>
        <w:t>手</w:t>
      </w:r>
      <w:r>
        <w:rPr>
          <w:rFonts w:ascii="楷体_GB2312" w:hAnsi="宋体" w:eastAsia="楷体_GB2312"/>
          <w:b/>
          <w:bCs/>
          <w:szCs w:val="21"/>
        </w:rPr>
        <w:t>续费、注册登记费、信息披露</w:t>
      </w:r>
      <w:r>
        <w:rPr>
          <w:rFonts w:hint="eastAsia" w:ascii="楷体_GB2312" w:hAnsi="宋体" w:eastAsia="楷体_GB2312"/>
          <w:b/>
          <w:bCs/>
          <w:szCs w:val="21"/>
        </w:rPr>
        <w:t>费</w:t>
      </w:r>
      <w:r>
        <w:rPr>
          <w:rFonts w:ascii="楷体_GB2312" w:hAnsi="宋体" w:eastAsia="楷体_GB2312"/>
          <w:b/>
          <w:bCs/>
          <w:szCs w:val="21"/>
        </w:rPr>
        <w:t>、账户服务费、审计费、律师费</w:t>
      </w:r>
      <w:r>
        <w:rPr>
          <w:rFonts w:hint="eastAsia" w:ascii="楷体_GB2312" w:hAnsi="宋体" w:eastAsia="楷体_GB2312"/>
          <w:b/>
          <w:bCs/>
          <w:szCs w:val="21"/>
        </w:rPr>
        <w:t>、</w:t>
      </w:r>
      <w:r>
        <w:rPr>
          <w:rFonts w:hint="eastAsia" w:ascii="楷体_GB2312" w:hAnsi="Times New Roman" w:eastAsia="楷体_GB2312" w:cs="Times New Roman"/>
          <w:b/>
          <w:bCs/>
          <w:szCs w:val="21"/>
        </w:rPr>
        <w:t>外包服务费、</w:t>
      </w:r>
      <w:r>
        <w:rPr>
          <w:rFonts w:ascii="楷体_GB2312" w:hAnsi="Times New Roman" w:eastAsia="楷体_GB2312" w:cs="Times New Roman"/>
          <w:b/>
          <w:bCs/>
          <w:szCs w:val="21"/>
        </w:rPr>
        <w:t>资产评估费</w:t>
      </w:r>
      <w:r>
        <w:rPr>
          <w:rFonts w:hint="eastAsia" w:ascii="楷体_GB2312" w:hAnsi="Times New Roman" w:eastAsia="楷体_GB2312" w:cs="Times New Roman"/>
          <w:b/>
          <w:bCs/>
          <w:szCs w:val="21"/>
        </w:rPr>
        <w:t>、资产存续期管理所需费用</w:t>
      </w:r>
      <w:r>
        <w:rPr>
          <w:rFonts w:ascii="楷体_GB2312" w:hAnsi="宋体" w:eastAsia="楷体_GB2312"/>
          <w:b/>
          <w:bCs/>
          <w:szCs w:val="21"/>
        </w:rPr>
        <w:t>及按照法律法规规章规定和理财产品销售文件约定应</w:t>
      </w:r>
      <w:r>
        <w:rPr>
          <w:rFonts w:hint="eastAsia" w:ascii="楷体_GB2312" w:hAnsi="宋体" w:eastAsia="楷体_GB2312"/>
          <w:b/>
          <w:bCs/>
          <w:szCs w:val="21"/>
        </w:rPr>
        <w:t>由</w:t>
      </w:r>
      <w:r>
        <w:rPr>
          <w:rFonts w:ascii="楷体_GB2312" w:hAnsi="宋体" w:eastAsia="楷体_GB2312"/>
          <w:b/>
          <w:bCs/>
          <w:szCs w:val="21"/>
        </w:rPr>
        <w:t>产品承担的费用等，按照实际发生</w:t>
      </w:r>
      <w:r>
        <w:rPr>
          <w:rFonts w:hint="eastAsia" w:ascii="楷体_GB2312" w:hAnsi="宋体" w:eastAsia="楷体_GB2312"/>
          <w:b/>
          <w:bCs/>
          <w:szCs w:val="21"/>
        </w:rPr>
        <w:t>额</w:t>
      </w:r>
      <w:r>
        <w:rPr>
          <w:rFonts w:ascii="楷体_GB2312" w:hAnsi="宋体" w:eastAsia="楷体_GB2312"/>
          <w:b/>
          <w:bCs/>
          <w:szCs w:val="21"/>
        </w:rPr>
        <w:t>从产品资产中列支。</w:t>
      </w:r>
    </w:p>
    <w:p>
      <w:pPr>
        <w:spacing w:line="360" w:lineRule="auto"/>
        <w:ind w:firstLine="420"/>
        <w:rPr>
          <w:rFonts w:ascii="楷体_GB2312" w:hAnsi="宋体" w:eastAsia="楷体_GB2312"/>
          <w:b/>
          <w:bCs/>
          <w:szCs w:val="21"/>
        </w:rPr>
      </w:pPr>
      <w:r>
        <w:rPr>
          <w:rFonts w:hint="eastAsia" w:ascii="楷体_GB2312" w:hAnsi="宋体" w:eastAsia="楷体_GB2312"/>
          <w:b/>
          <w:bCs/>
          <w:szCs w:val="21"/>
          <w:lang w:val="en-US" w:eastAsia="zh-CN"/>
        </w:rPr>
        <w:t>6</w:t>
      </w:r>
      <w:r>
        <w:rPr>
          <w:rFonts w:ascii="楷体_GB2312" w:hAnsi="宋体" w:eastAsia="楷体_GB2312"/>
          <w:b/>
          <w:bCs/>
          <w:szCs w:val="21"/>
        </w:rPr>
        <w:t>.</w:t>
      </w:r>
      <w:r>
        <w:rPr>
          <w:rFonts w:hint="eastAsia" w:ascii="楷体_GB2312" w:hAnsi="宋体" w:eastAsia="楷体_GB2312"/>
          <w:b/>
          <w:bCs/>
          <w:szCs w:val="21"/>
        </w:rPr>
        <w:t>管理人有权根据相关法律和国家政策规定调整产品费率，调整产品费率的公告将通过</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“信息披露”约定的方式向投资者披露。投资者若不接受，可根据实际情况按照公告约定提前赎回本理财产品。</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7</w:t>
      </w:r>
      <w:r>
        <w:rPr>
          <w:rFonts w:hint="eastAsia" w:ascii="楷体_GB2312" w:hAnsi="宋体" w:eastAsia="楷体_GB2312"/>
          <w:b/>
          <w:bCs/>
          <w:szCs w:val="21"/>
        </w:rPr>
        <w:t>.</w:t>
      </w:r>
      <w:r>
        <w:rPr>
          <w:rFonts w:ascii="楷体_GB2312" w:hAnsi="宋体" w:eastAsia="楷体_GB2312"/>
          <w:b/>
          <w:bCs/>
          <w:szCs w:val="21"/>
        </w:rPr>
        <w:t>管理人有权根据国家政策和适用法律的规定，对本理财产品费用名目、收费条件、收费标准和收费方式进行调整，并通过</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“信息披露”约定</w:t>
      </w:r>
      <w:r>
        <w:rPr>
          <w:rFonts w:ascii="楷体_GB2312" w:hAnsi="宋体" w:eastAsia="楷体_GB2312"/>
          <w:b/>
          <w:bCs/>
          <w:szCs w:val="21"/>
        </w:rPr>
        <w:t>的方式，向投资者披露。其中，对于管理人增加费用名目、提高收费标准等对投资者利益产生实质性影响的情形，投资者如不同意调整的，可在管理人信息披露的补充或修改后的相关业务调整生效前赎回本理财产品【此种情况下管理人将可能在赎回开放日外单独开放特殊赎回期间，具体以届时管理人的公告为准】，逾期未赎回的视为同意接受前述调整且继续持有本理财产品。</w:t>
      </w:r>
    </w:p>
    <w:p>
      <w:pPr>
        <w:pStyle w:val="3"/>
        <w:spacing w:before="0" w:after="0" w:line="360" w:lineRule="auto"/>
        <w:ind w:firstLine="422" w:firstLineChars="200"/>
        <w:rPr>
          <w:rFonts w:ascii="楷体" w:hAnsi="楷体" w:eastAsia="楷体"/>
          <w:sz w:val="21"/>
        </w:rPr>
      </w:pPr>
      <w:bookmarkStart w:id="12" w:name="_Toc98680984"/>
      <w:r>
        <w:rPr>
          <w:rFonts w:hint="eastAsia" w:ascii="楷体" w:hAnsi="楷体" w:eastAsia="楷体"/>
          <w:sz w:val="21"/>
        </w:rPr>
        <w:t>（三）</w:t>
      </w:r>
      <w:r>
        <w:rPr>
          <w:rFonts w:ascii="楷体" w:hAnsi="楷体" w:eastAsia="楷体"/>
          <w:sz w:val="21"/>
        </w:rPr>
        <w:t>理财产品税费</w:t>
      </w:r>
      <w:bookmarkEnd w:id="12"/>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理财产品税费在理财产品资产中列支。</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2.除理财</w:t>
      </w:r>
      <w:r>
        <w:rPr>
          <w:rFonts w:hint="eastAsia" w:ascii="楷体_GB2312" w:hAnsi="宋体" w:eastAsia="楷体_GB2312"/>
          <w:b/>
          <w:bCs/>
          <w:szCs w:val="21"/>
          <w:lang w:eastAsia="zh-CN"/>
        </w:rPr>
        <w:t>产品销售文件</w:t>
      </w:r>
      <w:r>
        <w:rPr>
          <w:rFonts w:ascii="楷体_GB2312" w:hAnsi="宋体" w:eastAsia="楷体_GB2312"/>
          <w:b/>
          <w:bCs/>
          <w:szCs w:val="21"/>
        </w:rPr>
        <w:t>另有约定外，理财产品运作过程中涉及的各纳税主体，依照适用法律规定自行履行纳税义务。</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3.若适用法律要求投资管理人代扣代缴理财产品份额持有人应纳税款的，投资管理人将依法履行扣缴义务，份额持有人对此应给予配合。</w:t>
      </w:r>
    </w:p>
    <w:p>
      <w:pPr>
        <w:spacing w:line="360" w:lineRule="auto"/>
        <w:ind w:firstLine="422" w:firstLineChars="200"/>
        <w:contextualSpacing/>
        <w:rPr>
          <w:b/>
          <w:bCs/>
        </w:rPr>
      </w:pPr>
      <w:r>
        <w:rPr>
          <w:rFonts w:ascii="楷体_GB2312" w:hAnsi="宋体" w:eastAsia="楷体_GB2312"/>
          <w:b/>
          <w:bCs/>
          <w:szCs w:val="21"/>
        </w:rPr>
        <w:t>4.</w:t>
      </w:r>
      <w:r>
        <w:rPr>
          <w:rFonts w:hint="eastAsia" w:ascii="楷体_GB2312" w:hAnsi="宋体" w:eastAsia="楷体_GB2312"/>
          <w:b/>
          <w:bCs/>
          <w:szCs w:val="21"/>
        </w:rPr>
        <w:t xml:space="preserve"> 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p>
    <w:p>
      <w:pPr>
        <w:pStyle w:val="2"/>
        <w:spacing w:before="120" w:after="120" w:line="240" w:lineRule="auto"/>
        <w:rPr>
          <w:rFonts w:ascii="楷体" w:hAnsi="楷体" w:eastAsia="楷体"/>
          <w:sz w:val="28"/>
          <w:szCs w:val="28"/>
        </w:rPr>
      </w:pPr>
      <w:bookmarkStart w:id="13" w:name="_Toc98680985"/>
      <w:r>
        <w:rPr>
          <w:rFonts w:hint="eastAsia" w:ascii="楷体" w:hAnsi="楷体" w:eastAsia="楷体"/>
          <w:sz w:val="28"/>
          <w:szCs w:val="28"/>
          <w:lang w:val="en-US" w:eastAsia="zh-CN"/>
        </w:rPr>
        <w:t>九</w:t>
      </w:r>
      <w:r>
        <w:rPr>
          <w:rFonts w:ascii="楷体" w:hAnsi="楷体" w:eastAsia="楷体"/>
          <w:sz w:val="28"/>
          <w:szCs w:val="28"/>
        </w:rPr>
        <w:t>、产品的延期、提前终止与产品资产清算</w:t>
      </w:r>
      <w:bookmarkEnd w:id="13"/>
    </w:p>
    <w:p>
      <w:pPr>
        <w:pStyle w:val="3"/>
        <w:spacing w:before="0" w:after="0" w:line="360" w:lineRule="auto"/>
        <w:ind w:firstLine="422" w:firstLineChars="200"/>
      </w:pPr>
      <w:bookmarkStart w:id="14" w:name="_Toc98680986"/>
      <w:r>
        <w:rPr>
          <w:rFonts w:hint="eastAsia" w:ascii="楷体" w:hAnsi="楷体" w:eastAsia="楷体"/>
          <w:sz w:val="21"/>
        </w:rPr>
        <w:t>（一）</w:t>
      </w:r>
      <w:r>
        <w:rPr>
          <w:rFonts w:ascii="楷体" w:hAnsi="楷体" w:eastAsia="楷体"/>
          <w:sz w:val="21"/>
        </w:rPr>
        <w:t>理财产品延期</w:t>
      </w:r>
      <w:bookmarkEnd w:id="14"/>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如</w:t>
      </w:r>
      <w:r>
        <w:rPr>
          <w:rFonts w:ascii="楷体_GB2312" w:hAnsi="宋体" w:eastAsia="楷体_GB2312"/>
          <w:b/>
          <w:bCs/>
          <w:szCs w:val="21"/>
        </w:rPr>
        <w:t>本理财产品到期日逢非</w:t>
      </w:r>
      <w:r>
        <w:rPr>
          <w:rFonts w:hint="eastAsia" w:ascii="楷体_GB2312" w:hAnsi="宋体" w:eastAsia="楷体_GB2312"/>
          <w:b/>
          <w:bCs/>
          <w:szCs w:val="21"/>
          <w:lang w:eastAsia="zh-CN"/>
        </w:rPr>
        <w:t>【</w:t>
      </w:r>
      <w:r>
        <w:rPr>
          <w:rFonts w:hint="eastAsia" w:ascii="楷体_GB2312" w:hAnsi="宋体" w:eastAsia="楷体_GB2312"/>
          <w:b/>
          <w:bCs/>
          <w:color w:val="C00000"/>
          <w:szCs w:val="21"/>
          <w:lang w:val="en-US" w:eastAsia="zh-CN"/>
        </w:rPr>
        <w:t>交易</w:t>
      </w:r>
      <w:r>
        <w:rPr>
          <w:rFonts w:hint="eastAsia" w:ascii="楷体_GB2312" w:hAnsi="宋体" w:eastAsia="楷体_GB2312"/>
          <w:b/>
          <w:bCs/>
          <w:color w:val="C00000"/>
          <w:szCs w:val="21"/>
        </w:rPr>
        <w:t>日</w:t>
      </w:r>
      <w:r>
        <w:rPr>
          <w:rFonts w:hint="eastAsia" w:ascii="楷体_GB2312" w:hAnsi="宋体" w:eastAsia="楷体_GB2312"/>
          <w:b/>
          <w:bCs/>
          <w:szCs w:val="21"/>
          <w:lang w:eastAsia="zh-CN"/>
        </w:rPr>
        <w:t>】</w:t>
      </w:r>
      <w:r>
        <w:rPr>
          <w:rFonts w:ascii="楷体_GB2312" w:hAnsi="宋体" w:eastAsia="楷体_GB2312"/>
          <w:b/>
          <w:bCs/>
          <w:szCs w:val="21"/>
        </w:rPr>
        <w:t>顺延至下一</w:t>
      </w:r>
      <w:r>
        <w:rPr>
          <w:rFonts w:hint="eastAsia" w:ascii="楷体_GB2312" w:hAnsi="宋体" w:eastAsia="楷体_GB2312"/>
          <w:b/>
          <w:bCs/>
          <w:szCs w:val="21"/>
          <w:lang w:eastAsia="zh-CN"/>
        </w:rPr>
        <w:t>【</w:t>
      </w:r>
      <w:r>
        <w:rPr>
          <w:rFonts w:hint="eastAsia" w:ascii="楷体_GB2312" w:hAnsi="宋体" w:eastAsia="楷体_GB2312"/>
          <w:b/>
          <w:bCs/>
          <w:color w:val="C00000"/>
          <w:szCs w:val="21"/>
          <w:lang w:val="en-US" w:eastAsia="zh-CN"/>
        </w:rPr>
        <w:t>交易</w:t>
      </w:r>
      <w:r>
        <w:rPr>
          <w:rFonts w:hint="eastAsia" w:ascii="楷体_GB2312" w:hAnsi="宋体" w:eastAsia="楷体_GB2312"/>
          <w:b/>
          <w:bCs/>
          <w:color w:val="C00000"/>
          <w:szCs w:val="21"/>
        </w:rPr>
        <w:t>日</w:t>
      </w:r>
      <w:r>
        <w:rPr>
          <w:rFonts w:hint="eastAsia" w:ascii="楷体_GB2312" w:hAnsi="宋体" w:eastAsia="楷体_GB2312"/>
          <w:b/>
          <w:bCs/>
          <w:szCs w:val="21"/>
          <w:lang w:eastAsia="zh-CN"/>
        </w:rPr>
        <w:t>】</w:t>
      </w:r>
      <w:r>
        <w:rPr>
          <w:rFonts w:ascii="楷体_GB2312" w:hAnsi="宋体" w:eastAsia="楷体_GB2312"/>
          <w:b/>
          <w:bCs/>
          <w:szCs w:val="21"/>
        </w:rPr>
        <w:t>。发生下列任一情形的，理财产品管理人有权以投资者利益最大化为原则，根据市场情况综合判断决定延长产品期限，推迟理财产品到期日：</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预计在理财产品到期日，理财产品财产因理财产品所投资的资产的市场风险、信用风险等原因将无法全部变现；</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2.预计理财产品所投资的信托计划、资管计划、私募基金的受托人或管理人将不能按期向管理人划付理财产品的本金和收益；</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3.理财产品财产涉及诉讼（或仲裁），且预计诉讼（或仲裁）及执行程序于理财产品预计到期日尚未终结；</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4.管理人与托管人、销售机构协商一致决定延期；</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5.管理人认为有必要延期的其他情形；</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6.法律规定的及本《产品说明书》约定的其他情形。</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如管理人决定本理财产品延期的，将于理财产品预计到期日前2个工作日通过</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“信息披露”约定</w:t>
      </w:r>
      <w:r>
        <w:rPr>
          <w:rFonts w:ascii="楷体_GB2312" w:hAnsi="宋体" w:eastAsia="楷体_GB2312"/>
          <w:b/>
          <w:bCs/>
          <w:szCs w:val="21"/>
        </w:rPr>
        <w:t>的方式，向投资者披露，对延期事项进行说明，并说明延期期限及到期之日，自披露之日即视为相关信息已送达，并据约定生效之日起生效。若</w:t>
      </w:r>
      <w:r>
        <w:rPr>
          <w:rFonts w:hint="eastAsia" w:ascii="楷体_GB2312" w:hAnsi="宋体" w:eastAsia="楷体_GB2312"/>
          <w:b/>
          <w:bCs/>
          <w:szCs w:val="21"/>
        </w:rPr>
        <w:t>投资者</w:t>
      </w:r>
      <w:r>
        <w:rPr>
          <w:rFonts w:ascii="楷体_GB2312" w:hAnsi="宋体" w:eastAsia="楷体_GB2312"/>
          <w:b/>
          <w:bCs/>
          <w:szCs w:val="21"/>
        </w:rPr>
        <w:t>不同意延期的，可在</w:t>
      </w:r>
      <w:r>
        <w:rPr>
          <w:rFonts w:hint="eastAsia" w:ascii="楷体_GB2312" w:hAnsi="宋体" w:eastAsia="楷体_GB2312"/>
          <w:b/>
          <w:bCs/>
          <w:szCs w:val="21"/>
        </w:rPr>
        <w:t>信息披露</w:t>
      </w:r>
      <w:r>
        <w:rPr>
          <w:rFonts w:ascii="楷体_GB2312" w:hAnsi="宋体" w:eastAsia="楷体_GB2312"/>
          <w:b/>
          <w:bCs/>
          <w:szCs w:val="21"/>
        </w:rPr>
        <w:t>的延期生效前赎回本理财产品（此种情况下可能开放特殊赎回期间，具体以届时的公告为准），逾期未赎回的视为同意。</w:t>
      </w:r>
    </w:p>
    <w:p>
      <w:pPr>
        <w:pStyle w:val="3"/>
        <w:spacing w:before="0" w:after="0" w:line="360" w:lineRule="auto"/>
        <w:ind w:firstLine="422" w:firstLineChars="200"/>
        <w:rPr>
          <w:rFonts w:ascii="楷体" w:hAnsi="楷体" w:eastAsia="楷体"/>
          <w:sz w:val="21"/>
        </w:rPr>
      </w:pPr>
      <w:bookmarkStart w:id="15" w:name="_Toc98680987"/>
      <w:r>
        <w:rPr>
          <w:rFonts w:hint="eastAsia" w:ascii="楷体" w:hAnsi="楷体" w:eastAsia="楷体"/>
          <w:sz w:val="21"/>
        </w:rPr>
        <w:t>（二）理</w:t>
      </w:r>
      <w:r>
        <w:rPr>
          <w:rFonts w:ascii="楷体" w:hAnsi="楷体" w:eastAsia="楷体"/>
          <w:sz w:val="21"/>
        </w:rPr>
        <w:t>财产品终止与清算</w:t>
      </w:r>
      <w:bookmarkEnd w:id="15"/>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为避免疑义，理财产品除因本条以下所列理财产品终止事件而终止外，投资者不得提议要求提前终止理财产品。</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理财产品必须终止的事件：</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a.</w:t>
      </w:r>
      <w:r>
        <w:rPr>
          <w:rFonts w:ascii="楷体_GB2312" w:hAnsi="宋体" w:eastAsia="楷体_GB2312"/>
          <w:b/>
          <w:bCs/>
          <w:szCs w:val="21"/>
        </w:rPr>
        <w:t>发生不可抗力事件导致理财产品不能存续；</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b.</w:t>
      </w:r>
      <w:r>
        <w:rPr>
          <w:rFonts w:ascii="楷体_GB2312" w:hAnsi="宋体" w:eastAsia="楷体_GB2312"/>
          <w:b/>
          <w:bCs/>
          <w:szCs w:val="21"/>
        </w:rPr>
        <w:t>理财产品被法院或仲裁机构依法撤销、被认定为无效或被判决、裁定终止或被监管机构要求终止的；</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c.</w:t>
      </w:r>
      <w:r>
        <w:rPr>
          <w:rFonts w:ascii="楷体_GB2312" w:hAnsi="宋体" w:eastAsia="楷体_GB2312"/>
          <w:b/>
          <w:bCs/>
          <w:szCs w:val="21"/>
        </w:rPr>
        <w:t>理财产品预计到期日届至且未延期的；</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lang w:val="en-US" w:eastAsia="zh-CN"/>
        </w:rPr>
        <w:t>d.</w:t>
      </w:r>
      <w:r>
        <w:rPr>
          <w:rFonts w:ascii="楷体_GB2312" w:hAnsi="宋体" w:eastAsia="楷体_GB2312"/>
          <w:b/>
          <w:bCs/>
          <w:szCs w:val="21"/>
        </w:rPr>
        <w:t>理财产品延期期限届至且未再次延期，或出现适用法律规定应当终止理财产品的情形。</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2</w:t>
      </w:r>
      <w:r>
        <w:rPr>
          <w:rFonts w:ascii="楷体_GB2312" w:hAnsi="宋体" w:eastAsia="楷体_GB2312"/>
          <w:b/>
          <w:bCs/>
          <w:szCs w:val="21"/>
        </w:rPr>
        <w:t>.理财产品管理人有权单方决定是否终止的事件：</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理财存续期内，理财产品连续10个</w:t>
      </w:r>
      <w:r>
        <w:rPr>
          <w:rFonts w:hint="eastAsia" w:ascii="楷体_GB2312" w:hAnsi="宋体" w:eastAsia="楷体_GB2312"/>
          <w:b/>
          <w:bCs/>
          <w:szCs w:val="21"/>
          <w:lang w:val="en-US" w:eastAsia="zh-CN"/>
        </w:rPr>
        <w:t>工作日</w:t>
      </w:r>
      <w:r>
        <w:rPr>
          <w:rFonts w:ascii="楷体_GB2312" w:hAnsi="宋体" w:eastAsia="楷体_GB2312"/>
          <w:b/>
          <w:bCs/>
          <w:szCs w:val="21"/>
        </w:rPr>
        <w:t>总份额低于1亿份；</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（2）</w:t>
      </w:r>
      <w:r>
        <w:rPr>
          <w:rFonts w:ascii="楷体_GB2312" w:hAnsi="宋体" w:eastAsia="楷体_GB2312"/>
          <w:b/>
          <w:bCs/>
          <w:szCs w:val="21"/>
        </w:rPr>
        <w:t>如遇国家金融政策出现重大调整或宏观经济形势发生重大变化并影响到本理财产品的正常运作；</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（3）</w:t>
      </w:r>
      <w:r>
        <w:rPr>
          <w:rFonts w:ascii="楷体_GB2312" w:hAnsi="宋体" w:eastAsia="楷体_GB2312"/>
          <w:b/>
          <w:bCs/>
          <w:szCs w:val="21"/>
        </w:rPr>
        <w:t>本理财产品投向的金融资产</w:t>
      </w:r>
      <w:r>
        <w:rPr>
          <w:rFonts w:hint="eastAsia" w:ascii="楷体_GB2312" w:hAnsi="宋体" w:eastAsia="楷体_GB2312"/>
          <w:b/>
          <w:bCs/>
          <w:szCs w:val="21"/>
        </w:rPr>
        <w:t>所</w:t>
      </w:r>
      <w:r>
        <w:rPr>
          <w:rFonts w:ascii="楷体_GB2312" w:hAnsi="宋体" w:eastAsia="楷体_GB2312"/>
          <w:b/>
          <w:bCs/>
          <w:szCs w:val="21"/>
        </w:rPr>
        <w:t>涉相关主体信用恶化，市场利率大幅下滑；</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（4）为保护投资者利益，</w:t>
      </w:r>
      <w:r>
        <w:rPr>
          <w:rFonts w:ascii="楷体_GB2312" w:hAnsi="宋体" w:eastAsia="楷体_GB2312"/>
          <w:b/>
          <w:bCs/>
          <w:szCs w:val="21"/>
        </w:rPr>
        <w:t>理财产品投向的信托计划、资管计划等提前终止；</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（5）为保护投资者利益，</w:t>
      </w:r>
      <w:r>
        <w:rPr>
          <w:rFonts w:ascii="楷体_GB2312" w:hAnsi="宋体" w:eastAsia="楷体_GB2312"/>
          <w:b/>
          <w:bCs/>
          <w:szCs w:val="21"/>
        </w:rPr>
        <w:t>管理人有合理理由认为将影响本理财产品正常运作的其他情形。</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3.理财产品不因投资者死亡、丧失民事行为能力、破产而终止；投资者的法定继承人、承继人或指定受益人以及继任管理人承担本理财产品销售文件项下的相应权利和义务。</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4.如理财产品终止，除理财产品必须终止的事件第</w:t>
      </w:r>
      <w:r>
        <w:rPr>
          <w:rFonts w:hint="eastAsia" w:ascii="楷体_GB2312" w:hAnsi="宋体" w:eastAsia="楷体_GB2312"/>
          <w:b/>
          <w:bCs/>
          <w:szCs w:val="21"/>
        </w:rPr>
        <w:t>（3）项</w:t>
      </w:r>
      <w:r>
        <w:rPr>
          <w:rFonts w:ascii="楷体_GB2312" w:hAnsi="宋体" w:eastAsia="楷体_GB2312"/>
          <w:b/>
          <w:bCs/>
          <w:szCs w:val="21"/>
        </w:rPr>
        <w:t>及第</w:t>
      </w:r>
      <w:r>
        <w:rPr>
          <w:rFonts w:hint="eastAsia" w:ascii="楷体_GB2312" w:hAnsi="宋体" w:eastAsia="楷体_GB2312"/>
          <w:b/>
          <w:bCs/>
          <w:szCs w:val="21"/>
        </w:rPr>
        <w:t>（4）项</w:t>
      </w:r>
      <w:r>
        <w:rPr>
          <w:rFonts w:ascii="楷体_GB2312" w:hAnsi="宋体" w:eastAsia="楷体_GB2312"/>
          <w:b/>
          <w:bCs/>
          <w:szCs w:val="21"/>
        </w:rPr>
        <w:t>之外</w:t>
      </w:r>
      <w:r>
        <w:rPr>
          <w:rFonts w:hint="eastAsia" w:ascii="楷体_GB2312" w:hAnsi="宋体" w:eastAsia="楷体_GB2312"/>
          <w:b/>
          <w:bCs/>
          <w:szCs w:val="21"/>
        </w:rPr>
        <w:t>，理</w:t>
      </w:r>
      <w:r>
        <w:rPr>
          <w:rFonts w:ascii="楷体_GB2312" w:hAnsi="宋体" w:eastAsia="楷体_GB2312"/>
          <w:b/>
          <w:bCs/>
          <w:szCs w:val="21"/>
        </w:rPr>
        <w:t>财产品管理人应提前2个工作日通过</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“信息披露”约定</w:t>
      </w:r>
      <w:r>
        <w:rPr>
          <w:rFonts w:ascii="楷体_GB2312" w:hAnsi="宋体" w:eastAsia="楷体_GB2312"/>
          <w:b/>
          <w:bCs/>
          <w:szCs w:val="21"/>
        </w:rPr>
        <w:t>的方式，向投资者披露，并披露理财产品终止之日。</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5.理财产品终止后，理财产品管理人将根据届时适用法律规定和监管机构的指引、要求及</w:t>
      </w:r>
      <w:r>
        <w:rPr>
          <w:rFonts w:hint="eastAsia" w:ascii="楷体_GB2312" w:hAnsi="宋体" w:eastAsia="楷体_GB2312"/>
          <w:b/>
          <w:bCs/>
          <w:szCs w:val="21"/>
        </w:rPr>
        <w:t>/</w:t>
      </w:r>
      <w:r>
        <w:rPr>
          <w:rFonts w:ascii="楷体_GB2312" w:hAnsi="宋体" w:eastAsia="楷体_GB2312"/>
          <w:b/>
          <w:bCs/>
          <w:szCs w:val="21"/>
        </w:rPr>
        <w:t>或管理人的规定以及本理财产品销售文件的约定对本理财产品进行清算</w:t>
      </w:r>
      <w:r>
        <w:rPr>
          <w:rFonts w:hint="eastAsia" w:ascii="楷体_GB2312" w:hAnsi="宋体" w:eastAsia="楷体_GB2312"/>
          <w:b/>
          <w:bCs/>
          <w:szCs w:val="21"/>
          <w:lang w:eastAsia="zh-CN"/>
        </w:rPr>
        <w:t>，</w:t>
      </w:r>
      <w:r>
        <w:rPr>
          <w:rFonts w:hint="default" w:ascii="楷体_GB2312" w:hAnsi="宋体" w:eastAsia="楷体_GB2312"/>
          <w:b/>
          <w:bCs/>
          <w:szCs w:val="21"/>
        </w:rPr>
        <w:t>清算期不计算投资收益。理财资产清算后扣除理财相关费用、缴纳所欠税款并清偿理财产品负债后，理财利益按投资者持有的理财产品份额比例进行分配。清算期原则上不得超过5个工作日，清算期超过5个工作日的，将</w:t>
      </w:r>
      <w:r>
        <w:rPr>
          <w:rFonts w:hint="eastAsia" w:ascii="楷体_GB2312" w:hAnsi="宋体" w:eastAsia="楷体_GB2312"/>
          <w:b/>
          <w:bCs/>
          <w:szCs w:val="21"/>
          <w:lang w:val="en-US" w:eastAsia="zh-CN"/>
        </w:rPr>
        <w:t>通过</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“信息披露”约定</w:t>
      </w:r>
      <w:r>
        <w:rPr>
          <w:rFonts w:ascii="楷体_GB2312" w:hAnsi="宋体" w:eastAsia="楷体_GB2312"/>
          <w:b/>
          <w:bCs/>
          <w:szCs w:val="21"/>
        </w:rPr>
        <w:t>的方式向投资者披露</w:t>
      </w:r>
      <w:r>
        <w:rPr>
          <w:rFonts w:hint="default" w:ascii="楷体_GB2312" w:hAnsi="宋体" w:eastAsia="楷体_GB2312"/>
          <w:b/>
          <w:bCs/>
          <w:szCs w:val="21"/>
        </w:rPr>
        <w:t xml:space="preserve">。 </w:t>
      </w:r>
    </w:p>
    <w:p>
      <w:pPr>
        <w:pStyle w:val="2"/>
        <w:spacing w:before="120" w:after="120" w:line="240" w:lineRule="auto"/>
        <w:rPr>
          <w:rFonts w:ascii="楷体" w:hAnsi="楷体" w:eastAsia="楷体"/>
          <w:sz w:val="28"/>
          <w:szCs w:val="28"/>
        </w:rPr>
      </w:pPr>
      <w:bookmarkStart w:id="16" w:name="_Toc98680989"/>
      <w:r>
        <w:rPr>
          <w:rFonts w:hint="eastAsia" w:ascii="楷体" w:hAnsi="楷体" w:eastAsia="楷体"/>
          <w:sz w:val="28"/>
          <w:szCs w:val="28"/>
        </w:rPr>
        <w:t>十</w:t>
      </w:r>
      <w:r>
        <w:rPr>
          <w:rFonts w:ascii="楷体" w:hAnsi="楷体" w:eastAsia="楷体"/>
          <w:sz w:val="28"/>
          <w:szCs w:val="28"/>
        </w:rPr>
        <w:t>、信息披露</w:t>
      </w:r>
      <w:bookmarkEnd w:id="16"/>
    </w:p>
    <w:p>
      <w:pPr>
        <w:pStyle w:val="3"/>
        <w:spacing w:before="0" w:after="0" w:line="360" w:lineRule="auto"/>
        <w:ind w:firstLine="422" w:firstLineChars="200"/>
        <w:rPr>
          <w:rFonts w:hint="eastAsia" w:ascii="楷体" w:hAnsi="楷体" w:eastAsia="楷体"/>
          <w:b/>
          <w:bCs/>
          <w:sz w:val="21"/>
          <w:szCs w:val="32"/>
          <w:lang w:val="en-US" w:eastAsia="zh-CN"/>
        </w:rPr>
      </w:pPr>
      <w:bookmarkStart w:id="17" w:name="_Toc98680990"/>
      <w:r>
        <w:rPr>
          <w:rFonts w:hint="eastAsia" w:ascii="楷体" w:hAnsi="楷体" w:eastAsia="楷体"/>
          <w:sz w:val="21"/>
        </w:rPr>
        <w:t>（一）</w:t>
      </w:r>
      <w:r>
        <w:rPr>
          <w:rFonts w:ascii="楷体" w:hAnsi="楷体" w:eastAsia="楷体"/>
          <w:sz w:val="21"/>
        </w:rPr>
        <w:t>信息披露的渠道</w:t>
      </w:r>
    </w:p>
    <w:p>
      <w:pPr>
        <w:spacing w:line="360" w:lineRule="auto"/>
        <w:ind w:firstLine="422" w:firstLineChars="200"/>
        <w:contextualSpacing/>
        <w:rPr>
          <w:rFonts w:hint="eastAsia" w:ascii="楷体_GB2312" w:hAnsi="宋体" w:eastAsia="楷体_GB2312"/>
          <w:b/>
          <w:bCs/>
          <w:szCs w:val="21"/>
          <w:highlight w:val="none"/>
        </w:rPr>
      </w:pPr>
      <w:r>
        <w:rPr>
          <w:rFonts w:hint="eastAsia" w:ascii="楷体_GB2312" w:hAnsi="宋体" w:eastAsia="楷体_GB2312"/>
          <w:b/>
          <w:bCs/>
          <w:szCs w:val="21"/>
          <w:highlight w:val="none"/>
          <w:lang w:val="en-US" w:eastAsia="zh-CN"/>
        </w:rPr>
        <w:t>1.</w:t>
      </w:r>
      <w:r>
        <w:rPr>
          <w:rFonts w:hint="eastAsia" w:ascii="楷体_GB2312" w:hAnsi="宋体" w:eastAsia="楷体_GB2312"/>
          <w:b/>
          <w:bCs/>
          <w:szCs w:val="21"/>
          <w:highlight w:val="none"/>
        </w:rPr>
        <w:t>本理财</w:t>
      </w:r>
      <w:r>
        <w:rPr>
          <w:rFonts w:hint="eastAsia" w:ascii="楷体_GB2312" w:hAnsi="宋体" w:eastAsia="楷体_GB2312"/>
          <w:b/>
          <w:bCs/>
          <w:szCs w:val="21"/>
          <w:highlight w:val="none"/>
          <w:lang w:val="en-US" w:eastAsia="zh-CN"/>
        </w:rPr>
        <w:t>产品认购期和</w:t>
      </w:r>
      <w:r>
        <w:rPr>
          <w:rFonts w:hint="eastAsia" w:ascii="楷体_GB2312" w:hAnsi="宋体" w:eastAsia="楷体_GB2312"/>
          <w:b/>
          <w:bCs/>
          <w:szCs w:val="21"/>
          <w:highlight w:val="none"/>
        </w:rPr>
        <w:t>存续期间，</w:t>
      </w:r>
      <w:r>
        <w:rPr>
          <w:rFonts w:hint="eastAsia" w:ascii="楷体_GB2312" w:hAnsi="宋体" w:eastAsia="楷体_GB2312"/>
          <w:b/>
          <w:bCs/>
          <w:szCs w:val="21"/>
          <w:highlight w:val="none"/>
          <w:lang w:val="en-US" w:eastAsia="zh-CN"/>
        </w:rPr>
        <w:t>将通过产品管理人官方网站</w:t>
      </w:r>
      <w:r>
        <w:rPr>
          <w:rFonts w:hint="eastAsia" w:ascii="楷体" w:hAnsi="楷体" w:eastAsia="楷体" w:cs="楷体"/>
          <w:b/>
          <w:bCs/>
          <w:szCs w:val="21"/>
          <w:highlight w:val="none"/>
          <w:u w:val="none"/>
          <w:lang w:val="en-US" w:eastAsia="zh-CN"/>
        </w:rPr>
        <w:t>（www.boscwm.cn）</w:t>
      </w:r>
      <w:r>
        <w:rPr>
          <w:rFonts w:hint="eastAsia" w:ascii="楷体_GB2312" w:hAnsi="宋体" w:eastAsia="楷体_GB2312"/>
          <w:b/>
          <w:bCs/>
          <w:szCs w:val="21"/>
          <w:highlight w:val="none"/>
          <w:lang w:val="en-US" w:eastAsia="zh-CN"/>
        </w:rPr>
        <w:t>或</w:t>
      </w:r>
      <w:r>
        <w:rPr>
          <w:rFonts w:hint="eastAsia" w:ascii="楷体_GB2312" w:hAnsi="宋体" w:eastAsia="楷体_GB2312"/>
          <w:b/>
          <w:bCs/>
          <w:szCs w:val="21"/>
          <w:highlight w:val="none"/>
        </w:rPr>
        <w:t>销售机构的信息披露渠道（包括但不限于销售机构的营业网点、门户网站、电子销售渠道等）</w:t>
      </w:r>
      <w:r>
        <w:rPr>
          <w:rFonts w:hint="eastAsia" w:ascii="楷体_GB2312" w:hAnsi="宋体" w:eastAsia="楷体_GB2312"/>
          <w:b/>
          <w:bCs/>
          <w:szCs w:val="21"/>
          <w:highlight w:val="none"/>
          <w:lang w:val="en-US" w:eastAsia="zh-CN"/>
        </w:rPr>
        <w:t>进行</w:t>
      </w:r>
      <w:r>
        <w:rPr>
          <w:rFonts w:hint="eastAsia" w:ascii="楷体_GB2312" w:hAnsi="宋体" w:eastAsia="楷体_GB2312"/>
          <w:b/>
          <w:bCs/>
          <w:szCs w:val="21"/>
          <w:highlight w:val="none"/>
        </w:rPr>
        <w:t>本理财</w:t>
      </w:r>
      <w:r>
        <w:rPr>
          <w:rFonts w:hint="eastAsia" w:ascii="楷体_GB2312" w:hAnsi="宋体" w:eastAsia="楷体_GB2312"/>
          <w:b/>
          <w:bCs/>
          <w:szCs w:val="21"/>
          <w:highlight w:val="none"/>
          <w:lang w:val="en-US" w:eastAsia="zh-CN"/>
        </w:rPr>
        <w:t>产品</w:t>
      </w:r>
      <w:r>
        <w:rPr>
          <w:rFonts w:hint="eastAsia" w:ascii="楷体_GB2312" w:hAnsi="宋体" w:eastAsia="楷体_GB2312"/>
          <w:b/>
          <w:bCs/>
          <w:szCs w:val="21"/>
          <w:highlight w:val="none"/>
        </w:rPr>
        <w:t>的信息披露。</w:t>
      </w:r>
    </w:p>
    <w:p>
      <w:pPr>
        <w:spacing w:line="360" w:lineRule="auto"/>
        <w:ind w:firstLine="422" w:firstLineChars="200"/>
        <w:contextualSpacing/>
        <w:rPr>
          <w:rFonts w:ascii="楷体_GB2312" w:hAnsi="宋体" w:eastAsia="楷体_GB2312"/>
          <w:b/>
          <w:bCs/>
          <w:szCs w:val="21"/>
          <w:highlight w:val="none"/>
        </w:rPr>
      </w:pPr>
      <w:r>
        <w:rPr>
          <w:rFonts w:hint="eastAsia" w:ascii="楷体_GB2312" w:hAnsi="宋体" w:eastAsia="楷体_GB2312"/>
          <w:b/>
          <w:bCs/>
          <w:szCs w:val="21"/>
          <w:highlight w:val="none"/>
          <w:lang w:val="en-US" w:eastAsia="zh-CN"/>
        </w:rPr>
        <w:t>2.</w:t>
      </w:r>
      <w:r>
        <w:rPr>
          <w:rFonts w:hint="eastAsia" w:ascii="楷体_GB2312" w:hAnsi="宋体" w:eastAsia="楷体_GB2312"/>
          <w:b/>
          <w:bCs/>
          <w:szCs w:val="21"/>
          <w:highlight w:val="none"/>
        </w:rPr>
        <w:t>产品管理人通过信息披露渠道发布理财产品有关信息，即视为已适当履行其信息披露义务。如产品管理人认为需要直接联系投资者的，将依据本说明书投资者信息中投资者预留的信息进行通知。</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lang w:val="en-US" w:eastAsia="zh-CN"/>
        </w:rPr>
        <w:t>3.</w:t>
      </w:r>
      <w:r>
        <w:rPr>
          <w:rFonts w:ascii="楷体_GB2312" w:hAnsi="宋体" w:eastAsia="楷体_GB2312"/>
          <w:b/>
          <w:bCs/>
          <w:szCs w:val="21"/>
        </w:rPr>
        <w:t>投资者应定期通过</w:t>
      </w:r>
      <w:r>
        <w:rPr>
          <w:rFonts w:hint="eastAsia" w:ascii="楷体_GB2312" w:hAnsi="宋体" w:eastAsia="楷体_GB2312"/>
          <w:b/>
          <w:bCs/>
          <w:szCs w:val="21"/>
        </w:rPr>
        <w:t>约定的</w:t>
      </w:r>
      <w:r>
        <w:rPr>
          <w:rFonts w:ascii="楷体_GB2312" w:hAnsi="宋体" w:eastAsia="楷体_GB2312"/>
          <w:b/>
          <w:bCs/>
          <w:szCs w:val="21"/>
        </w:rPr>
        <w:t>相关渠道获知有关本理财产品相关信息。以上相关信息自披露之日即视为已送达投资者，也视为</w:t>
      </w:r>
      <w:r>
        <w:rPr>
          <w:rFonts w:hint="eastAsia" w:ascii="楷体_GB2312" w:hAnsi="宋体" w:eastAsia="楷体_GB2312"/>
          <w:b/>
          <w:bCs/>
          <w:szCs w:val="21"/>
        </w:rPr>
        <w:t>产品管理人</w:t>
      </w:r>
      <w:r>
        <w:rPr>
          <w:rFonts w:ascii="楷体_GB2312" w:hAnsi="宋体" w:eastAsia="楷体_GB2312"/>
          <w:b/>
          <w:bCs/>
          <w:szCs w:val="21"/>
        </w:rPr>
        <w:t>已适当披露代销理财产品相关信息。</w:t>
      </w:r>
      <w:r>
        <w:rPr>
          <w:rFonts w:hint="eastAsia" w:ascii="楷体_GB2312" w:hAnsi="宋体" w:eastAsia="楷体_GB2312"/>
          <w:b/>
          <w:bCs/>
          <w:szCs w:val="21"/>
        </w:rPr>
        <w:t>投资者承诺将及时接收、浏览和阅读该等信息。如投资者对本产品的运作状况有任何疑问，可向产品管理人或销售机构进行咨询。</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4.在保障投资者知情权的前提下，产品管理人保留变更信息披露渠道的权利。</w:t>
      </w:r>
    </w:p>
    <w:bookmarkEnd w:id="17"/>
    <w:p>
      <w:pPr>
        <w:pStyle w:val="3"/>
        <w:spacing w:before="0" w:after="0" w:line="360" w:lineRule="auto"/>
        <w:ind w:firstLine="422" w:firstLineChars="200"/>
        <w:rPr>
          <w:rFonts w:ascii="楷体" w:hAnsi="楷体" w:eastAsia="楷体"/>
          <w:sz w:val="21"/>
        </w:rPr>
      </w:pPr>
      <w:bookmarkStart w:id="18" w:name="_Toc98680991"/>
      <w:r>
        <w:rPr>
          <w:rFonts w:hint="eastAsia" w:ascii="楷体" w:hAnsi="楷体" w:eastAsia="楷体"/>
          <w:sz w:val="21"/>
        </w:rPr>
        <w:t>（二）</w:t>
      </w:r>
      <w:r>
        <w:rPr>
          <w:rFonts w:ascii="楷体" w:hAnsi="楷体" w:eastAsia="楷体"/>
          <w:sz w:val="21"/>
        </w:rPr>
        <w:t>信息披露的内容和时间</w:t>
      </w:r>
      <w:bookmarkEnd w:id="18"/>
    </w:p>
    <w:p>
      <w:pPr>
        <w:spacing w:line="360" w:lineRule="auto"/>
        <w:ind w:firstLine="422" w:firstLineChars="200"/>
        <w:contextualSpacing/>
        <w:rPr>
          <w:rFonts w:hint="eastAsia" w:ascii="楷体_GB2312" w:hAnsi="宋体" w:eastAsia="楷体_GB2312"/>
          <w:b/>
          <w:bCs/>
          <w:szCs w:val="21"/>
          <w:lang w:eastAsia="zh-CN"/>
        </w:rPr>
      </w:pPr>
      <w:r>
        <w:rPr>
          <w:rFonts w:hint="eastAsia" w:ascii="楷体_GB2312" w:hAnsi="宋体" w:eastAsia="楷体_GB2312"/>
          <w:b/>
          <w:bCs/>
          <w:szCs w:val="21"/>
        </w:rPr>
        <w:t>1.</w:t>
      </w:r>
      <w:r>
        <w:rPr>
          <w:rFonts w:ascii="楷体_GB2312" w:hAnsi="宋体" w:eastAsia="楷体_GB2312"/>
          <w:b/>
          <w:bCs/>
          <w:szCs w:val="21"/>
        </w:rPr>
        <w:t>理财产品发行公告</w:t>
      </w:r>
    </w:p>
    <w:p>
      <w:pPr>
        <w:spacing w:line="360" w:lineRule="auto"/>
        <w:ind w:firstLine="422" w:firstLineChars="200"/>
        <w:contextualSpacing/>
        <w:rPr>
          <w:rFonts w:hint="default" w:ascii="楷体_GB2312" w:hAnsi="宋体" w:eastAsia="楷体_GB2312"/>
          <w:b/>
          <w:bCs/>
          <w:color w:val="auto"/>
          <w:szCs w:val="21"/>
          <w:lang w:val="en-US" w:eastAsia="zh-CN"/>
        </w:rPr>
      </w:pPr>
      <w:r>
        <w:rPr>
          <w:rFonts w:ascii="楷体_GB2312" w:hAnsi="宋体" w:eastAsia="楷体_GB2312"/>
          <w:b/>
          <w:bCs/>
          <w:szCs w:val="21"/>
        </w:rPr>
        <w:t>管理人将在理财产品成立之后5个工作日内披露发行公告，包括理财产品成立日期和募集规模等信息。若募集期新出台的法律、法规导致本理财产品不适宜成立运行，或理财产品认购总金额未达到认购规模下限，</w:t>
      </w:r>
      <w:r>
        <w:rPr>
          <w:rFonts w:ascii="楷体_GB2312" w:hAnsi="宋体" w:eastAsia="楷体_GB2312"/>
          <w:b/>
          <w:bCs/>
          <w:color w:val="auto"/>
          <w:szCs w:val="21"/>
        </w:rPr>
        <w:t>或出现其他</w:t>
      </w:r>
      <w:r>
        <w:rPr>
          <w:rFonts w:hint="eastAsia" w:ascii="楷体_GB2312" w:hAnsi="宋体" w:eastAsia="楷体_GB2312"/>
          <w:b/>
          <w:bCs/>
          <w:color w:val="auto"/>
          <w:szCs w:val="21"/>
          <w:lang w:val="en-US" w:eastAsia="zh-CN"/>
        </w:rPr>
        <w:t>影响</w:t>
      </w:r>
      <w:r>
        <w:rPr>
          <w:rFonts w:ascii="楷体_GB2312" w:hAnsi="宋体" w:eastAsia="楷体_GB2312"/>
          <w:b/>
          <w:bCs/>
          <w:color w:val="auto"/>
          <w:szCs w:val="21"/>
        </w:rPr>
        <w:t>理财产品正常运作的情况，则理财产品管理人有权宣布本理财产品不能成立，并在理财产品不能成立的2个工作日内披露。</w:t>
      </w:r>
    </w:p>
    <w:p>
      <w:pPr>
        <w:spacing w:line="360" w:lineRule="auto"/>
        <w:ind w:firstLine="422" w:firstLineChars="200"/>
        <w:contextualSpacing/>
        <w:rPr>
          <w:rFonts w:ascii="楷体_GB2312" w:hAnsi="宋体" w:eastAsia="楷体_GB2312"/>
          <w:b/>
          <w:bCs/>
          <w:color w:val="auto"/>
          <w:szCs w:val="21"/>
        </w:rPr>
      </w:pPr>
      <w:r>
        <w:rPr>
          <w:rFonts w:hint="eastAsia" w:ascii="楷体_GB2312" w:hAnsi="宋体" w:eastAsia="楷体_GB2312"/>
          <w:b/>
          <w:bCs/>
          <w:color w:val="auto"/>
          <w:szCs w:val="21"/>
        </w:rPr>
        <w:t>2.</w:t>
      </w:r>
      <w:r>
        <w:rPr>
          <w:rFonts w:ascii="楷体_GB2312" w:hAnsi="宋体" w:eastAsia="楷体_GB2312"/>
          <w:b/>
          <w:bCs/>
          <w:color w:val="auto"/>
          <w:szCs w:val="21"/>
        </w:rPr>
        <w:t>理财产品定期报告</w:t>
      </w:r>
    </w:p>
    <w:p>
      <w:pPr>
        <w:spacing w:line="360" w:lineRule="auto"/>
        <w:ind w:firstLine="422" w:firstLineChars="200"/>
        <w:contextualSpacing/>
        <w:rPr>
          <w:rFonts w:ascii="楷体_GB2312" w:hAnsi="宋体" w:eastAsia="楷体_GB2312"/>
          <w:b/>
          <w:bCs/>
          <w:color w:val="auto"/>
          <w:szCs w:val="21"/>
        </w:rPr>
      </w:pPr>
      <w:r>
        <w:rPr>
          <w:rFonts w:ascii="楷体_GB2312" w:hAnsi="宋体" w:eastAsia="楷体_GB2312"/>
          <w:b/>
          <w:bCs/>
          <w:color w:val="auto"/>
          <w:szCs w:val="21"/>
        </w:rPr>
        <w:t>理财产品管理人将在每个季度结束之日起15个工作日内、每个上半年结束之日起60个工作日内、每个年度结束之日起90个工作日内，向投资者披露季度、半年和年度报告等定期报告。理财产品成立不足90个工作日或者剩余存续期不超过90个工作日的，管理人可以不编制理财产品当期的季度、半年和年度报告。</w:t>
      </w:r>
    </w:p>
    <w:p>
      <w:pPr>
        <w:spacing w:line="360" w:lineRule="auto"/>
        <w:ind w:firstLine="422" w:firstLineChars="200"/>
        <w:contextualSpacing/>
        <w:rPr>
          <w:rFonts w:ascii="楷体_GB2312" w:hAnsi="宋体" w:eastAsia="楷体_GB2312"/>
          <w:b/>
          <w:bCs/>
          <w:color w:val="auto"/>
          <w:szCs w:val="21"/>
        </w:rPr>
      </w:pPr>
      <w:r>
        <w:rPr>
          <w:rFonts w:hint="eastAsia" w:ascii="楷体_GB2312" w:hAnsi="宋体" w:eastAsia="楷体_GB2312"/>
          <w:b/>
          <w:bCs/>
          <w:color w:val="auto"/>
          <w:szCs w:val="21"/>
        </w:rPr>
        <w:t>3.</w:t>
      </w:r>
      <w:r>
        <w:rPr>
          <w:rFonts w:ascii="楷体_GB2312" w:hAnsi="宋体" w:eastAsia="楷体_GB2312"/>
          <w:b/>
          <w:bCs/>
          <w:color w:val="auto"/>
          <w:szCs w:val="21"/>
        </w:rPr>
        <w:t>理财产品临时性信息披露</w:t>
      </w:r>
    </w:p>
    <w:p>
      <w:pPr>
        <w:spacing w:line="360" w:lineRule="auto"/>
        <w:ind w:firstLine="422" w:firstLineChars="200"/>
        <w:contextualSpacing/>
        <w:rPr>
          <w:rFonts w:hint="eastAsia" w:ascii="楷体_GB2312" w:hAnsi="宋体" w:eastAsia="楷体_GB2312"/>
          <w:b/>
          <w:bCs/>
          <w:color w:val="auto"/>
          <w:szCs w:val="21"/>
        </w:rPr>
      </w:pPr>
      <w:r>
        <w:rPr>
          <w:rFonts w:hint="eastAsia" w:ascii="楷体_GB2312" w:hAnsi="宋体" w:eastAsia="楷体_GB2312"/>
          <w:b/>
          <w:bCs/>
          <w:color w:val="auto"/>
          <w:szCs w:val="21"/>
        </w:rPr>
        <w:t>（</w:t>
      </w:r>
      <w:r>
        <w:rPr>
          <w:rFonts w:hint="eastAsia" w:ascii="楷体_GB2312" w:hAnsi="宋体" w:eastAsia="楷体_GB2312"/>
          <w:b/>
          <w:bCs/>
          <w:color w:val="auto"/>
          <w:szCs w:val="21"/>
          <w:lang w:val="en-US" w:eastAsia="zh-CN"/>
        </w:rPr>
        <w:t>1</w:t>
      </w:r>
      <w:r>
        <w:rPr>
          <w:rFonts w:hint="eastAsia" w:ascii="楷体_GB2312" w:hAnsi="宋体" w:eastAsia="楷体_GB2312"/>
          <w:b/>
          <w:bCs/>
          <w:color w:val="auto"/>
          <w:szCs w:val="21"/>
        </w:rPr>
        <w:t>）</w:t>
      </w:r>
      <w:r>
        <w:rPr>
          <w:rFonts w:hint="default" w:ascii="楷体_GB2312" w:hAnsi="宋体" w:eastAsia="楷体_GB2312"/>
          <w:b/>
          <w:bCs/>
          <w:color w:val="auto"/>
          <w:szCs w:val="21"/>
          <w:lang w:val="en-US" w:eastAsia="zh-CN"/>
        </w:rPr>
        <w:t>产品存续期间，对于提高收费标准、增加收费项目等事项，管理人将提前3个月以临时公告形式向投资者进行信息披露。</w:t>
      </w:r>
    </w:p>
    <w:p>
      <w:pPr>
        <w:spacing w:line="360" w:lineRule="auto"/>
        <w:ind w:firstLine="422" w:firstLineChars="200"/>
        <w:contextualSpacing/>
        <w:rPr>
          <w:rFonts w:ascii="楷体_GB2312" w:hAnsi="宋体" w:eastAsia="楷体_GB2312"/>
          <w:b/>
          <w:bCs/>
          <w:color w:val="auto"/>
          <w:szCs w:val="21"/>
        </w:rPr>
      </w:pPr>
      <w:r>
        <w:rPr>
          <w:rFonts w:hint="eastAsia" w:ascii="楷体_GB2312" w:hAnsi="宋体" w:eastAsia="楷体_GB2312"/>
          <w:b/>
          <w:bCs/>
          <w:color w:val="auto"/>
          <w:szCs w:val="21"/>
          <w:lang w:eastAsia="zh-CN"/>
        </w:rPr>
        <w:t>（</w:t>
      </w:r>
      <w:r>
        <w:rPr>
          <w:rFonts w:hint="eastAsia" w:ascii="楷体_GB2312" w:hAnsi="宋体" w:eastAsia="楷体_GB2312"/>
          <w:b/>
          <w:bCs/>
          <w:color w:val="auto"/>
          <w:szCs w:val="21"/>
          <w:lang w:val="en-US" w:eastAsia="zh-CN"/>
        </w:rPr>
        <w:t>2</w:t>
      </w:r>
      <w:r>
        <w:rPr>
          <w:rFonts w:hint="eastAsia" w:ascii="楷体_GB2312" w:hAnsi="宋体" w:eastAsia="楷体_GB2312"/>
          <w:b/>
          <w:bCs/>
          <w:color w:val="auto"/>
          <w:szCs w:val="21"/>
          <w:lang w:eastAsia="zh-CN"/>
        </w:rPr>
        <w:t>）</w:t>
      </w:r>
      <w:r>
        <w:rPr>
          <w:rFonts w:ascii="楷体_GB2312" w:hAnsi="宋体" w:eastAsia="楷体_GB2312"/>
          <w:b/>
          <w:bCs/>
          <w:color w:val="auto"/>
          <w:szCs w:val="21"/>
        </w:rPr>
        <w:t>在产品存续期间，管理人可以提前</w:t>
      </w:r>
      <w:r>
        <w:rPr>
          <w:rFonts w:hint="eastAsia" w:ascii="楷体_GB2312" w:hAnsi="宋体" w:eastAsia="楷体_GB2312"/>
          <w:b/>
          <w:bCs/>
          <w:color w:val="auto"/>
          <w:szCs w:val="21"/>
          <w:lang w:val="en-US" w:eastAsia="zh-CN"/>
        </w:rPr>
        <w:t>2</w:t>
      </w:r>
      <w:r>
        <w:rPr>
          <w:rFonts w:ascii="楷体_GB2312" w:hAnsi="宋体" w:eastAsia="楷体_GB2312"/>
          <w:b/>
          <w:bCs/>
          <w:color w:val="auto"/>
          <w:szCs w:val="21"/>
        </w:rPr>
        <w:t>个工作日</w:t>
      </w:r>
      <w:r>
        <w:rPr>
          <w:rFonts w:hint="eastAsia" w:ascii="楷体_GB2312" w:hAnsi="宋体" w:eastAsia="楷体_GB2312"/>
          <w:b/>
          <w:bCs/>
          <w:color w:val="auto"/>
          <w:szCs w:val="21"/>
          <w:lang w:val="en-US" w:eastAsia="zh-CN"/>
        </w:rPr>
        <w:t>通过约定的信息披露渠道</w:t>
      </w:r>
      <w:r>
        <w:rPr>
          <w:rFonts w:ascii="楷体_GB2312" w:hAnsi="宋体" w:eastAsia="楷体_GB2312"/>
          <w:b/>
          <w:bCs/>
          <w:color w:val="auto"/>
          <w:szCs w:val="21"/>
        </w:rPr>
        <w:t>进行信息披露，</w:t>
      </w:r>
      <w:r>
        <w:rPr>
          <w:rFonts w:hint="eastAsia" w:ascii="楷体_GB2312" w:hAnsi="宋体" w:eastAsia="楷体_GB2312"/>
          <w:b/>
          <w:bCs/>
          <w:color w:val="auto"/>
          <w:szCs w:val="21"/>
          <w:lang w:val="en-US" w:eastAsia="zh-CN"/>
        </w:rPr>
        <w:t>根据市场情况</w:t>
      </w:r>
      <w:r>
        <w:rPr>
          <w:rFonts w:ascii="楷体_GB2312" w:hAnsi="宋体" w:eastAsia="楷体_GB2312"/>
          <w:b/>
          <w:bCs/>
          <w:color w:val="auto"/>
          <w:szCs w:val="21"/>
        </w:rPr>
        <w:t>对理财产品投资范围、投资</w:t>
      </w:r>
      <w:r>
        <w:rPr>
          <w:rFonts w:hint="eastAsia" w:ascii="楷体_GB2312" w:hAnsi="宋体" w:eastAsia="楷体_GB2312"/>
          <w:b/>
          <w:bCs/>
          <w:color w:val="auto"/>
          <w:szCs w:val="21"/>
          <w:lang w:val="en-US" w:eastAsia="zh-CN"/>
        </w:rPr>
        <w:t>资产种类</w:t>
      </w:r>
      <w:r>
        <w:rPr>
          <w:rFonts w:ascii="楷体_GB2312" w:hAnsi="宋体" w:eastAsia="楷体_GB2312"/>
          <w:b/>
          <w:bCs/>
          <w:color w:val="auto"/>
          <w:szCs w:val="21"/>
        </w:rPr>
        <w:t>或</w:t>
      </w:r>
      <w:r>
        <w:rPr>
          <w:rFonts w:hint="eastAsia" w:ascii="楷体_GB2312" w:hAnsi="宋体" w:eastAsia="楷体_GB2312"/>
          <w:b/>
          <w:bCs/>
          <w:color w:val="auto"/>
          <w:szCs w:val="21"/>
          <w:lang w:val="en-US" w:eastAsia="zh-CN"/>
        </w:rPr>
        <w:t>投资</w:t>
      </w:r>
      <w:r>
        <w:rPr>
          <w:rFonts w:ascii="楷体_GB2312" w:hAnsi="宋体" w:eastAsia="楷体_GB2312"/>
          <w:b/>
          <w:bCs/>
          <w:color w:val="auto"/>
          <w:szCs w:val="21"/>
        </w:rPr>
        <w:t>比例、</w:t>
      </w:r>
      <w:r>
        <w:rPr>
          <w:rFonts w:hint="eastAsia" w:ascii="楷体_GB2312" w:hAnsi="宋体" w:eastAsia="楷体_GB2312"/>
          <w:b/>
          <w:bCs/>
          <w:color w:val="auto"/>
          <w:szCs w:val="21"/>
          <w:lang w:val="en-US" w:eastAsia="zh-CN"/>
        </w:rPr>
        <w:t>募集期</w:t>
      </w:r>
      <w:r>
        <w:rPr>
          <w:rFonts w:ascii="楷体_GB2312" w:hAnsi="宋体" w:eastAsia="楷体_GB2312"/>
          <w:b/>
          <w:bCs/>
          <w:color w:val="auto"/>
          <w:szCs w:val="21"/>
        </w:rPr>
        <w:t>期延长</w:t>
      </w:r>
      <w:r>
        <w:rPr>
          <w:rFonts w:hint="eastAsia" w:ascii="楷体_GB2312" w:hAnsi="宋体" w:eastAsia="楷体_GB2312"/>
          <w:b/>
          <w:bCs/>
          <w:color w:val="auto"/>
          <w:szCs w:val="21"/>
          <w:lang w:val="en-US" w:eastAsia="zh-CN"/>
        </w:rPr>
        <w:t>或提前结束募集</w:t>
      </w:r>
      <w:r>
        <w:rPr>
          <w:rFonts w:ascii="楷体_GB2312" w:hAnsi="宋体" w:eastAsia="楷体_GB2312"/>
          <w:b/>
          <w:bCs/>
          <w:color w:val="auto"/>
          <w:szCs w:val="21"/>
        </w:rPr>
        <w:t>、</w:t>
      </w:r>
      <w:r>
        <w:rPr>
          <w:rFonts w:hint="eastAsia" w:ascii="楷体_GB2312" w:hAnsi="宋体" w:eastAsia="楷体_GB2312"/>
          <w:b/>
          <w:bCs/>
          <w:color w:val="auto"/>
          <w:szCs w:val="21"/>
          <w:lang w:val="en-US" w:eastAsia="zh-CN"/>
        </w:rPr>
        <w:t>已约定的收费项目、条件</w:t>
      </w:r>
      <w:r>
        <w:rPr>
          <w:rFonts w:hint="eastAsia" w:ascii="楷体_GB2312" w:hAnsi="宋体" w:eastAsia="楷体_GB2312"/>
          <w:b/>
          <w:bCs/>
          <w:color w:val="auto"/>
          <w:szCs w:val="21"/>
          <w:lang w:eastAsia="zh-CN"/>
        </w:rPr>
        <w:t>、</w:t>
      </w:r>
      <w:r>
        <w:rPr>
          <w:rFonts w:ascii="楷体_GB2312" w:hAnsi="宋体" w:eastAsia="楷体_GB2312"/>
          <w:b/>
          <w:bCs/>
          <w:color w:val="auto"/>
          <w:szCs w:val="21"/>
        </w:rPr>
        <w:t>标准或计提方式、</w:t>
      </w:r>
      <w:r>
        <w:rPr>
          <w:rFonts w:hint="eastAsia" w:ascii="楷体_GB2312" w:hAnsi="宋体" w:eastAsia="楷体_GB2312"/>
          <w:b/>
          <w:bCs/>
          <w:color w:val="auto"/>
          <w:szCs w:val="21"/>
          <w:lang w:val="en-US" w:eastAsia="zh-CN"/>
        </w:rPr>
        <w:t>风险等级、交易结构、</w:t>
      </w:r>
      <w:r>
        <w:rPr>
          <w:rFonts w:ascii="楷体_GB2312" w:hAnsi="宋体" w:eastAsia="楷体_GB2312"/>
          <w:b/>
          <w:bCs/>
          <w:color w:val="auto"/>
          <w:szCs w:val="21"/>
        </w:rPr>
        <w:t>规模上限</w:t>
      </w:r>
      <w:r>
        <w:rPr>
          <w:rFonts w:hint="eastAsia" w:ascii="楷体_GB2312" w:hAnsi="宋体" w:eastAsia="楷体_GB2312"/>
          <w:b/>
          <w:bCs/>
          <w:color w:val="auto"/>
          <w:szCs w:val="21"/>
          <w:lang w:val="en-US" w:eastAsia="zh-CN"/>
        </w:rPr>
        <w:t>或下限、申购赎回约定、投资起点金额、追加投资金额</w:t>
      </w:r>
      <w:r>
        <w:rPr>
          <w:rFonts w:ascii="楷体_GB2312" w:hAnsi="宋体" w:eastAsia="楷体_GB2312"/>
          <w:b/>
          <w:bCs/>
          <w:color w:val="auto"/>
          <w:szCs w:val="21"/>
        </w:rPr>
        <w:t>或其他经管理人判断可能对理财产品份额持有人权益产生影响的条款进行补充、说明和修改。</w:t>
      </w:r>
    </w:p>
    <w:p>
      <w:pPr>
        <w:spacing w:line="360" w:lineRule="auto"/>
        <w:ind w:firstLine="422" w:firstLineChars="200"/>
        <w:contextualSpacing/>
      </w:pPr>
      <w:r>
        <w:rPr>
          <w:rFonts w:ascii="楷体_GB2312" w:hAnsi="宋体" w:eastAsia="楷体_GB2312"/>
          <w:b/>
          <w:bCs/>
          <w:szCs w:val="21"/>
        </w:rPr>
        <w:t>其中，涉及投资范围、投资品种、投资比例调整导致其超出销售文件约定比例的，除超出比例投资比本理财产品风险更低的资产外，需取得投资者书面同意。对于投资者利益产生实质影响的事项（如对投资范围、投资品种、投资比例进行调整，但因国家法律法规、监管规定发生变化导致的除外），投资者如不同意相关调整的，可在管理人披露的相关调整生效前赎回本理财产品</w:t>
      </w:r>
      <w:r>
        <w:rPr>
          <w:rFonts w:hint="eastAsia" w:ascii="楷体_GB2312" w:hAnsi="宋体" w:eastAsia="楷体_GB2312"/>
          <w:b/>
          <w:bCs/>
          <w:szCs w:val="21"/>
        </w:rPr>
        <w:t>（</w:t>
      </w:r>
      <w:r>
        <w:rPr>
          <w:rFonts w:ascii="楷体_GB2312" w:hAnsi="宋体" w:eastAsia="楷体_GB2312"/>
          <w:b/>
          <w:bCs/>
          <w:szCs w:val="21"/>
        </w:rPr>
        <w:t>此种情况下管理人将可能在赎回开放日外单独开放特殊赎回期间，具体以届时管理人的公告为准</w:t>
      </w:r>
      <w:r>
        <w:rPr>
          <w:rFonts w:hint="eastAsia" w:ascii="楷体_GB2312" w:hAnsi="宋体" w:eastAsia="楷体_GB2312"/>
          <w:b/>
          <w:bCs/>
          <w:szCs w:val="21"/>
        </w:rPr>
        <w:t>）</w:t>
      </w:r>
      <w:r>
        <w:rPr>
          <w:rFonts w:ascii="楷体_GB2312" w:hAnsi="宋体" w:eastAsia="楷体_GB2312"/>
          <w:b/>
          <w:bCs/>
          <w:szCs w:val="21"/>
        </w:rPr>
        <w:t>，投资者本金和收益（如有）将在赎回确认日后10个工作日内通过销售机构划转至投资者账户。逾期未赎回的视为投资者书面同意相关调整并继续持有本理财产品。</w:t>
      </w:r>
    </w:p>
    <w:p>
      <w:pPr>
        <w:spacing w:line="360" w:lineRule="auto"/>
        <w:ind w:firstLine="422" w:firstLineChars="200"/>
        <w:contextualSpacing/>
        <w:rPr>
          <w:rFonts w:hint="eastAsia" w:ascii="楷体_GB2312" w:hAnsi="宋体" w:eastAsia="楷体_GB2312"/>
          <w:b/>
          <w:bCs/>
          <w:szCs w:val="21"/>
          <w:lang w:val="en-US" w:eastAsia="zh-CN"/>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3</w:t>
      </w: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在产品存续期间，若金融市场发生重大变化导致理财产品投资比例暂时超出浮动区间且可能对理财产品收益产生重大影响或理财产品持有的单笔资产发生信用风险时间且对理财产品投资收益产生较大影响时，在发生涉及理财产品认（申）购、赎回事项调整或潜在影响投资者赎回等事项时，管理人应于3个工作日内向投资者进行信息披露。</w:t>
      </w:r>
    </w:p>
    <w:p>
      <w:pPr>
        <w:numPr>
          <w:ilvl w:val="-1"/>
          <w:numId w:val="0"/>
        </w:numPr>
        <w:spacing w:line="360" w:lineRule="auto"/>
        <w:ind w:firstLine="422" w:firstLineChars="200"/>
        <w:contextualSpacing/>
        <w:rPr>
          <w:rFonts w:hint="eastAsia" w:ascii="楷体_GB2312" w:hAnsi="宋体" w:eastAsia="楷体_GB2312"/>
          <w:b/>
          <w:bCs/>
          <w:szCs w:val="21"/>
          <w:lang w:val="en-US" w:eastAsia="zh-CN"/>
        </w:rPr>
      </w:pPr>
      <w:r>
        <w:rPr>
          <w:rFonts w:hint="eastAsia" w:ascii="楷体_GB2312" w:hAnsi="宋体" w:eastAsia="楷体_GB2312"/>
          <w:b/>
          <w:bCs/>
          <w:szCs w:val="21"/>
          <w:lang w:eastAsia="zh-CN"/>
        </w:rPr>
        <w:t>（</w:t>
      </w:r>
      <w:r>
        <w:rPr>
          <w:rFonts w:hint="eastAsia" w:ascii="楷体_GB2312" w:hAnsi="宋体" w:eastAsia="楷体_GB2312"/>
          <w:b/>
          <w:bCs/>
          <w:szCs w:val="21"/>
          <w:lang w:val="en-US" w:eastAsia="zh-CN"/>
        </w:rPr>
        <w:t>4</w:t>
      </w:r>
      <w:r>
        <w:rPr>
          <w:rFonts w:hint="eastAsia" w:ascii="楷体_GB2312" w:hAnsi="宋体" w:eastAsia="楷体_GB2312"/>
          <w:b/>
          <w:bCs/>
          <w:szCs w:val="21"/>
          <w:lang w:eastAsia="zh-CN"/>
        </w:rPr>
        <w:t>）</w:t>
      </w:r>
      <w:r>
        <w:rPr>
          <w:rFonts w:hint="eastAsia" w:ascii="楷体_GB2312" w:hAnsi="宋体" w:eastAsia="楷体_GB2312"/>
          <w:b/>
          <w:bCs/>
          <w:szCs w:val="21"/>
        </w:rPr>
        <w:t>在管理人运用</w:t>
      </w:r>
      <w:r>
        <w:rPr>
          <w:rFonts w:hint="eastAsia" w:ascii="楷体_GB2312" w:hAnsi="宋体" w:eastAsia="楷体_GB2312"/>
          <w:b/>
          <w:bCs/>
          <w:color w:val="auto"/>
          <w:szCs w:val="21"/>
        </w:rPr>
        <w:t>收取短期赎回费（如有）、摆动定价机制、暂</w:t>
      </w:r>
      <w:r>
        <w:rPr>
          <w:rFonts w:hint="eastAsia" w:ascii="楷体_GB2312" w:hAnsi="宋体" w:eastAsia="楷体_GB2312"/>
          <w:b/>
          <w:bCs/>
          <w:szCs w:val="21"/>
        </w:rPr>
        <w:t>停认/申购、延期办理</w:t>
      </w:r>
      <w:r>
        <w:rPr>
          <w:rFonts w:hint="eastAsia" w:ascii="楷体_GB2312" w:hAnsi="宋体" w:eastAsia="楷体_GB2312"/>
          <w:b/>
          <w:bCs/>
          <w:szCs w:val="21"/>
          <w:lang w:val="en-US" w:eastAsia="zh-CN"/>
        </w:rPr>
        <w:t>巨额</w:t>
      </w:r>
      <w:r>
        <w:rPr>
          <w:rFonts w:hint="eastAsia" w:ascii="楷体_GB2312" w:hAnsi="宋体" w:eastAsia="楷体_GB2312"/>
          <w:b/>
          <w:bCs/>
          <w:szCs w:val="21"/>
        </w:rPr>
        <w:t>赎回申请、暂停接受赎回申请、延缓支付赎回款项、暂停估值等措施后，应当通过本理财</w:t>
      </w:r>
      <w:r>
        <w:rPr>
          <w:rFonts w:hint="eastAsia" w:ascii="楷体_GB2312" w:hAnsi="宋体" w:eastAsia="楷体_GB2312"/>
          <w:b/>
          <w:bCs/>
          <w:szCs w:val="21"/>
          <w:lang w:eastAsia="zh-CN"/>
        </w:rPr>
        <w:t>《</w:t>
      </w:r>
      <w:r>
        <w:rPr>
          <w:rFonts w:hint="eastAsia" w:ascii="楷体_GB2312" w:hAnsi="宋体" w:eastAsia="楷体_GB2312"/>
          <w:b/>
          <w:bCs/>
          <w:szCs w:val="21"/>
        </w:rPr>
        <w:t>产品说明书</w:t>
      </w:r>
      <w:r>
        <w:rPr>
          <w:rFonts w:hint="eastAsia" w:ascii="楷体_GB2312" w:hAnsi="宋体" w:eastAsia="楷体_GB2312"/>
          <w:b/>
          <w:bCs/>
          <w:szCs w:val="21"/>
          <w:lang w:eastAsia="zh-CN"/>
        </w:rPr>
        <w:t>》“</w:t>
      </w:r>
      <w:r>
        <w:rPr>
          <w:rFonts w:hint="eastAsia" w:ascii="楷体_GB2312" w:hAnsi="宋体" w:eastAsia="楷体_GB2312"/>
          <w:b/>
          <w:bCs/>
          <w:szCs w:val="21"/>
        </w:rPr>
        <w:t>信息披露</w:t>
      </w:r>
      <w:r>
        <w:rPr>
          <w:rFonts w:hint="eastAsia" w:ascii="楷体_GB2312" w:hAnsi="宋体" w:eastAsia="楷体_GB2312"/>
          <w:b/>
          <w:bCs/>
          <w:szCs w:val="21"/>
          <w:lang w:eastAsia="zh-CN"/>
        </w:rPr>
        <w:t>”</w:t>
      </w:r>
      <w:r>
        <w:rPr>
          <w:rFonts w:hint="eastAsia" w:ascii="楷体_GB2312" w:hAnsi="宋体" w:eastAsia="楷体_GB2312"/>
          <w:b/>
          <w:bCs/>
          <w:szCs w:val="21"/>
        </w:rPr>
        <w:t>约定的方式在3个交易日内告知该理财产品的投资者，并说明运用相关措施的原因、拟采取的应对安排等。</w:t>
      </w:r>
      <w:r>
        <w:rPr>
          <w:rFonts w:hint="eastAsia" w:ascii="楷体_GB2312" w:hAnsi="宋体" w:eastAsia="楷体_GB2312"/>
          <w:b/>
          <w:bCs/>
          <w:szCs w:val="21"/>
          <w:lang w:val="en-US" w:eastAsia="zh-CN"/>
        </w:rPr>
        <w:t xml:space="preserve">    </w:t>
      </w:r>
    </w:p>
    <w:p>
      <w:pPr>
        <w:numPr>
          <w:ilvl w:val="-1"/>
          <w:numId w:val="0"/>
        </w:numPr>
        <w:spacing w:line="360" w:lineRule="auto"/>
        <w:ind w:firstLine="422" w:firstLineChars="200"/>
        <w:contextualSpacing/>
        <w:rPr>
          <w:rFonts w:hint="eastAsia" w:ascii="楷体_GB2312" w:hAnsi="宋体" w:eastAsia="楷体_GB2312"/>
          <w:b/>
          <w:bCs/>
          <w:szCs w:val="21"/>
          <w:lang w:val="en-US" w:eastAsia="zh-CN"/>
        </w:rPr>
      </w:pPr>
      <w:r>
        <w:rPr>
          <w:rFonts w:hint="eastAsia" w:ascii="楷体_GB2312" w:hAnsi="宋体" w:eastAsia="楷体_GB2312"/>
          <w:b/>
          <w:bCs/>
          <w:szCs w:val="21"/>
          <w:lang w:val="en-US" w:eastAsia="zh-CN"/>
        </w:rPr>
        <w:t>（5）理财产品清算期超过5个工作日的，产品管理人应当在理财产品终止前，根据与投资者的约定，在指定渠道向理财产品投资者进行披露。</w:t>
      </w:r>
    </w:p>
    <w:p>
      <w:pPr>
        <w:spacing w:line="360" w:lineRule="auto"/>
        <w:ind w:firstLine="422" w:firstLineChars="200"/>
        <w:contextualSpacing/>
        <w:rPr>
          <w:rFonts w:hint="eastAsia" w:ascii="楷体_GB2312" w:hAnsi="宋体" w:eastAsia="楷体_GB2312"/>
          <w:b/>
          <w:bCs/>
          <w:szCs w:val="21"/>
        </w:rPr>
      </w:pPr>
      <w:r>
        <w:rPr>
          <w:rFonts w:hint="eastAsia" w:ascii="楷体_GB2312" w:hAnsi="宋体" w:eastAsia="楷体_GB2312"/>
          <w:b/>
          <w:bCs/>
          <w:szCs w:val="21"/>
        </w:rPr>
        <w:t>4.理财产品重大事项公告</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理财产品存续期间，如果发生管理人认为可能影响产品运作的重大不利事项时，包括但不限于未按照本《产品说明书》约定分配收益；</w:t>
      </w:r>
      <w:r>
        <w:rPr>
          <w:rFonts w:hint="eastAsia" w:ascii="楷体_GB2312" w:hAnsi="宋体" w:eastAsia="楷体_GB2312"/>
          <w:b/>
          <w:bCs/>
          <w:szCs w:val="21"/>
          <w:lang w:val="en-US" w:eastAsia="zh-CN"/>
        </w:rPr>
        <w:t>理财产品所投资资产发生重大损失；</w:t>
      </w:r>
      <w:r>
        <w:rPr>
          <w:rFonts w:ascii="楷体_GB2312" w:hAnsi="宋体" w:eastAsia="楷体_GB2312"/>
          <w:b/>
          <w:bCs/>
          <w:szCs w:val="21"/>
        </w:rPr>
        <w:t>理财产品管理人、托管人</w:t>
      </w:r>
      <w:r>
        <w:rPr>
          <w:rFonts w:hint="eastAsia" w:ascii="楷体_GB2312" w:hAnsi="宋体" w:eastAsia="楷体_GB2312"/>
          <w:b/>
          <w:bCs/>
          <w:szCs w:val="21"/>
          <w:lang w:val="en-US" w:eastAsia="zh-CN"/>
        </w:rPr>
        <w:t>等出现</w:t>
      </w:r>
      <w:r>
        <w:rPr>
          <w:rFonts w:ascii="楷体_GB2312" w:hAnsi="宋体" w:eastAsia="楷体_GB2312"/>
          <w:b/>
          <w:bCs/>
          <w:szCs w:val="21"/>
        </w:rPr>
        <w:t>变更</w:t>
      </w:r>
      <w:r>
        <w:rPr>
          <w:rFonts w:hint="eastAsia" w:ascii="楷体_GB2312" w:hAnsi="宋体" w:eastAsia="楷体_GB2312"/>
          <w:b/>
          <w:bCs/>
          <w:szCs w:val="21"/>
          <w:lang w:eastAsia="zh-CN"/>
        </w:rPr>
        <w:t>；</w:t>
      </w:r>
      <w:r>
        <w:rPr>
          <w:rFonts w:ascii="楷体_GB2312" w:hAnsi="宋体" w:eastAsia="楷体_GB2312"/>
          <w:b/>
          <w:bCs/>
          <w:szCs w:val="21"/>
        </w:rPr>
        <w:t>市场发生重大变化、投资的资产质量发生重大变化或者其它可能对投资者权益产生重大影响的突发事件等经管理人判断对理财投资价值有实质性影响的重大事件，管理人将在2个工作日内向投资者披露相关信息。</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5.</w:t>
      </w:r>
      <w:r>
        <w:rPr>
          <w:rFonts w:ascii="楷体_GB2312" w:hAnsi="宋体" w:eastAsia="楷体_GB2312"/>
          <w:b/>
          <w:bCs/>
          <w:szCs w:val="21"/>
        </w:rPr>
        <w:t>理财产品终止公告</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管理人将在理财产品终止后的</w:t>
      </w:r>
      <w:r>
        <w:rPr>
          <w:rFonts w:ascii="楷体_GB2312" w:hAnsi="宋体" w:eastAsia="楷体_GB2312"/>
          <w:b/>
          <w:bCs/>
          <w:szCs w:val="21"/>
        </w:rPr>
        <w:t>5个工作日内披露。终止公告的内容包括理财产</w:t>
      </w:r>
      <w:r>
        <w:rPr>
          <w:rFonts w:hint="eastAsia" w:ascii="楷体_GB2312" w:hAnsi="宋体" w:eastAsia="楷体_GB2312"/>
          <w:b/>
          <w:bCs/>
          <w:szCs w:val="21"/>
        </w:rPr>
        <w:t>品</w:t>
      </w:r>
      <w:r>
        <w:rPr>
          <w:rFonts w:ascii="楷体_GB2312" w:hAnsi="宋体" w:eastAsia="楷体_GB2312"/>
          <w:b/>
          <w:bCs/>
          <w:szCs w:val="21"/>
        </w:rPr>
        <w:t>存续期</w:t>
      </w:r>
      <w:r>
        <w:rPr>
          <w:rFonts w:hint="eastAsia" w:ascii="楷体_GB2312" w:hAnsi="宋体" w:eastAsia="楷体_GB2312"/>
          <w:b/>
          <w:bCs/>
          <w:szCs w:val="21"/>
        </w:rPr>
        <w:t>限、终止日期、收费情况和收益分配情况等信息。</w:t>
      </w:r>
    </w:p>
    <w:p>
      <w:pPr>
        <w:numPr>
          <w:ilvl w:val="-1"/>
          <w:numId w:val="0"/>
        </w:numPr>
        <w:spacing w:line="360" w:lineRule="auto"/>
        <w:ind w:firstLine="422" w:firstLineChars="200"/>
        <w:contextualSpacing/>
        <w:rPr>
          <w:rFonts w:hint="eastAsia" w:ascii="楷体_GB2312" w:hAnsi="宋体" w:eastAsia="楷体_GB2312"/>
          <w:b/>
          <w:bCs/>
          <w:color w:val="auto"/>
          <w:szCs w:val="21"/>
        </w:rPr>
      </w:pPr>
      <w:r>
        <w:rPr>
          <w:rFonts w:hint="eastAsia" w:ascii="楷体_GB2312" w:hAnsi="宋体" w:eastAsia="楷体_GB2312"/>
          <w:b/>
          <w:bCs/>
          <w:color w:val="auto"/>
          <w:szCs w:val="21"/>
          <w:lang w:val="en-US" w:eastAsia="zh-CN"/>
        </w:rPr>
        <w:t>6.</w:t>
      </w:r>
      <w:r>
        <w:rPr>
          <w:rFonts w:hint="eastAsia" w:ascii="楷体_GB2312" w:hAnsi="宋体" w:eastAsia="楷体_GB2312"/>
          <w:b/>
          <w:bCs/>
          <w:color w:val="auto"/>
          <w:szCs w:val="21"/>
        </w:rPr>
        <w:t>所有产品披露以产品管理人完成信息发布时间为准，如遇渠道方系统故障等情况不影响披露时间效力。</w:t>
      </w:r>
    </w:p>
    <w:p>
      <w:pPr>
        <w:numPr>
          <w:ilvl w:val="-1"/>
          <w:numId w:val="0"/>
        </w:numPr>
        <w:spacing w:line="360" w:lineRule="auto"/>
        <w:ind w:firstLine="422" w:firstLineChars="200"/>
        <w:contextualSpacing/>
        <w:rPr>
          <w:rFonts w:hint="eastAsia" w:ascii="楷体_GB2312" w:hAnsi="宋体" w:eastAsia="楷体_GB2312"/>
          <w:b/>
          <w:bCs/>
          <w:color w:val="auto"/>
          <w:szCs w:val="21"/>
        </w:rPr>
      </w:pPr>
      <w:r>
        <w:rPr>
          <w:rFonts w:hint="eastAsia" w:ascii="楷体_GB2312" w:hAnsi="宋体" w:eastAsia="楷体_GB2312"/>
          <w:b/>
          <w:bCs/>
          <w:color w:val="auto"/>
          <w:szCs w:val="21"/>
          <w:lang w:val="en-US" w:eastAsia="zh-CN"/>
        </w:rPr>
        <w:t>7.</w:t>
      </w:r>
      <w:r>
        <w:rPr>
          <w:rFonts w:hint="eastAsia" w:ascii="楷体_GB2312" w:hAnsi="宋体" w:eastAsia="楷体_GB2312"/>
          <w:b/>
          <w:bCs/>
          <w:color w:val="auto"/>
          <w:szCs w:val="21"/>
        </w:rPr>
        <w:t>在本理财</w:t>
      </w:r>
      <w:r>
        <w:rPr>
          <w:rFonts w:hint="eastAsia" w:ascii="楷体_GB2312" w:hAnsi="宋体" w:eastAsia="楷体_GB2312"/>
          <w:b/>
          <w:bCs/>
          <w:color w:val="auto"/>
          <w:szCs w:val="21"/>
          <w:lang w:val="en-US" w:eastAsia="zh-CN"/>
        </w:rPr>
        <w:t>产品</w:t>
      </w:r>
      <w:r>
        <w:rPr>
          <w:rFonts w:hint="eastAsia" w:ascii="楷体_GB2312" w:hAnsi="宋体" w:eastAsia="楷体_GB2312"/>
          <w:b/>
          <w:bCs/>
          <w:color w:val="auto"/>
          <w:szCs w:val="21"/>
        </w:rPr>
        <w:t>存续期内，如出于维持本理财</w:t>
      </w:r>
      <w:r>
        <w:rPr>
          <w:rFonts w:hint="eastAsia" w:ascii="楷体_GB2312" w:hAnsi="宋体" w:eastAsia="楷体_GB2312"/>
          <w:b/>
          <w:bCs/>
          <w:color w:val="auto"/>
          <w:szCs w:val="21"/>
          <w:lang w:val="en-US" w:eastAsia="zh-CN"/>
        </w:rPr>
        <w:t>产品</w:t>
      </w:r>
      <w:r>
        <w:rPr>
          <w:rFonts w:hint="eastAsia" w:ascii="楷体_GB2312" w:hAnsi="宋体" w:eastAsia="楷体_GB2312"/>
          <w:b/>
          <w:bCs/>
          <w:color w:val="auto"/>
          <w:szCs w:val="21"/>
        </w:rPr>
        <w:t>正常运营的需要且在不损害投资者利益的前提下，或因国家法律法规、监管规定发生变化，管理人有权单方对本理财</w:t>
      </w:r>
      <w:r>
        <w:rPr>
          <w:rFonts w:hint="eastAsia" w:ascii="楷体_GB2312" w:hAnsi="宋体" w:eastAsia="楷体_GB2312"/>
          <w:b/>
          <w:bCs/>
          <w:color w:val="auto"/>
          <w:szCs w:val="21"/>
          <w:lang w:val="en-US" w:eastAsia="zh-CN"/>
        </w:rPr>
        <w:t>产品合同</w:t>
      </w:r>
      <w:r>
        <w:rPr>
          <w:rFonts w:hint="eastAsia" w:ascii="楷体_GB2312" w:hAnsi="宋体" w:eastAsia="楷体_GB2312"/>
          <w:b/>
          <w:bCs/>
          <w:color w:val="auto"/>
          <w:szCs w:val="21"/>
        </w:rPr>
        <w:t>进行修订。管理人决定对</w:t>
      </w:r>
      <w:r>
        <w:rPr>
          <w:rFonts w:hint="eastAsia" w:ascii="楷体_GB2312" w:hAnsi="宋体" w:eastAsia="楷体_GB2312"/>
          <w:b/>
          <w:bCs/>
          <w:color w:val="auto"/>
          <w:szCs w:val="21"/>
          <w:lang w:val="en-US" w:eastAsia="zh-CN"/>
        </w:rPr>
        <w:t>理财</w:t>
      </w:r>
      <w:r>
        <w:rPr>
          <w:rFonts w:hint="eastAsia" w:ascii="楷体_GB2312" w:hAnsi="宋体" w:eastAsia="楷体_GB2312"/>
          <w:b/>
          <w:bCs/>
          <w:color w:val="auto"/>
          <w:szCs w:val="21"/>
        </w:rPr>
        <w:t>产品</w:t>
      </w:r>
      <w:r>
        <w:rPr>
          <w:rFonts w:hint="eastAsia" w:ascii="楷体_GB2312" w:hAnsi="宋体" w:eastAsia="楷体_GB2312"/>
          <w:b/>
          <w:bCs/>
          <w:color w:val="auto"/>
          <w:szCs w:val="21"/>
          <w:lang w:val="en-US" w:eastAsia="zh-CN"/>
        </w:rPr>
        <w:t>合同</w:t>
      </w:r>
      <w:r>
        <w:rPr>
          <w:rFonts w:hint="eastAsia" w:ascii="楷体_GB2312" w:hAnsi="宋体" w:eastAsia="楷体_GB2312"/>
          <w:b/>
          <w:bCs/>
          <w:color w:val="auto"/>
          <w:szCs w:val="21"/>
        </w:rPr>
        <w:t>进行修订的，将提前</w:t>
      </w:r>
      <w:r>
        <w:rPr>
          <w:rFonts w:hint="eastAsia" w:ascii="楷体_GB2312" w:hAnsi="宋体" w:eastAsia="楷体_GB2312"/>
          <w:b/>
          <w:bCs/>
          <w:color w:val="auto"/>
          <w:szCs w:val="21"/>
          <w:lang w:val="en-US" w:eastAsia="zh-CN"/>
        </w:rPr>
        <w:t>2</w:t>
      </w:r>
      <w:r>
        <w:rPr>
          <w:rFonts w:hint="eastAsia" w:ascii="楷体_GB2312" w:hAnsi="宋体" w:eastAsia="楷体_GB2312"/>
          <w:b/>
          <w:bCs/>
          <w:color w:val="auto"/>
          <w:szCs w:val="21"/>
        </w:rPr>
        <w:t>个工作日通过</w:t>
      </w:r>
      <w:r>
        <w:rPr>
          <w:rFonts w:hint="eastAsia" w:ascii="楷体_GB2312" w:hAnsi="宋体" w:eastAsia="楷体_GB2312"/>
          <w:b/>
          <w:bCs/>
          <w:color w:val="auto"/>
          <w:szCs w:val="21"/>
          <w:lang w:eastAsia="zh-CN"/>
        </w:rPr>
        <w:t>“</w:t>
      </w:r>
      <w:r>
        <w:rPr>
          <w:rFonts w:hint="eastAsia" w:ascii="楷体_GB2312" w:hAnsi="宋体" w:eastAsia="楷体_GB2312"/>
          <w:b/>
          <w:bCs/>
          <w:color w:val="auto"/>
          <w:szCs w:val="21"/>
        </w:rPr>
        <w:t>信息披露</w:t>
      </w:r>
      <w:r>
        <w:rPr>
          <w:rFonts w:hint="eastAsia" w:ascii="楷体_GB2312" w:hAnsi="宋体" w:eastAsia="楷体_GB2312"/>
          <w:b/>
          <w:bCs/>
          <w:color w:val="auto"/>
          <w:szCs w:val="21"/>
          <w:lang w:eastAsia="zh-CN"/>
        </w:rPr>
        <w:t>”</w:t>
      </w:r>
      <w:r>
        <w:rPr>
          <w:rFonts w:hint="eastAsia" w:ascii="楷体_GB2312" w:hAnsi="宋体" w:eastAsia="楷体_GB2312"/>
          <w:b/>
          <w:bCs/>
          <w:color w:val="auto"/>
          <w:szCs w:val="21"/>
        </w:rPr>
        <w:t>章节约定的信息披露渠道发布相关信息公告通知投资者。修订后的</w:t>
      </w:r>
      <w:r>
        <w:rPr>
          <w:rFonts w:hint="eastAsia" w:ascii="楷体_GB2312" w:hAnsi="宋体" w:eastAsia="楷体_GB2312"/>
          <w:b/>
          <w:bCs/>
          <w:color w:val="auto"/>
          <w:szCs w:val="21"/>
          <w:lang w:val="en-US" w:eastAsia="zh-CN"/>
        </w:rPr>
        <w:t>理财产品合同</w:t>
      </w:r>
      <w:r>
        <w:rPr>
          <w:rFonts w:hint="eastAsia" w:ascii="楷体_GB2312" w:hAnsi="宋体" w:eastAsia="楷体_GB2312"/>
          <w:b/>
          <w:bCs/>
          <w:color w:val="auto"/>
          <w:szCs w:val="21"/>
        </w:rPr>
        <w:t>对投资者具有法律约束力。</w:t>
      </w:r>
    </w:p>
    <w:p>
      <w:pPr>
        <w:pStyle w:val="2"/>
        <w:spacing w:before="120" w:after="120" w:line="240" w:lineRule="auto"/>
        <w:rPr>
          <w:rFonts w:ascii="楷体" w:hAnsi="楷体" w:eastAsia="楷体"/>
          <w:sz w:val="28"/>
          <w:szCs w:val="28"/>
        </w:rPr>
      </w:pPr>
      <w:r>
        <w:rPr>
          <w:rFonts w:hint="eastAsia" w:ascii="楷体" w:hAnsi="楷体" w:eastAsia="楷体"/>
          <w:sz w:val="28"/>
          <w:szCs w:val="28"/>
        </w:rPr>
        <w:t>十</w:t>
      </w:r>
      <w:r>
        <w:rPr>
          <w:rFonts w:hint="eastAsia" w:ascii="楷体" w:hAnsi="楷体" w:eastAsia="楷体"/>
          <w:sz w:val="28"/>
          <w:szCs w:val="28"/>
          <w:lang w:val="en-US" w:eastAsia="zh-CN"/>
        </w:rPr>
        <w:t>一</w:t>
      </w:r>
      <w:r>
        <w:rPr>
          <w:rFonts w:ascii="楷体" w:hAnsi="楷体" w:eastAsia="楷体"/>
          <w:sz w:val="28"/>
          <w:szCs w:val="28"/>
        </w:rPr>
        <w:t>、保密</w:t>
      </w:r>
      <w:r>
        <w:rPr>
          <w:rFonts w:hint="eastAsia" w:ascii="楷体" w:hAnsi="楷体" w:eastAsia="楷体"/>
          <w:sz w:val="28"/>
          <w:szCs w:val="28"/>
        </w:rPr>
        <w:t>原则</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2.</w:t>
      </w:r>
      <w:r>
        <w:rPr>
          <w:rFonts w:hint="eastAsia" w:ascii="楷体_GB2312" w:hAnsi="宋体" w:eastAsia="楷体_GB2312"/>
          <w:b/>
          <w:bCs/>
          <w:szCs w:val="21"/>
        </w:rPr>
        <w:t>产品管理人应保密的投资人的保密信息包括不限于投资者身份证件、联系电话、产品持有份额等个人敏感信息。</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3.投资者</w:t>
      </w:r>
      <w:r>
        <w:rPr>
          <w:rFonts w:hint="eastAsia" w:ascii="楷体_GB2312" w:hAnsi="宋体" w:eastAsia="楷体_GB2312"/>
          <w:b/>
          <w:bCs/>
          <w:szCs w:val="21"/>
        </w:rPr>
        <w:t>、理财产品管理人</w:t>
      </w:r>
      <w:r>
        <w:rPr>
          <w:rFonts w:ascii="楷体_GB2312" w:hAnsi="宋体" w:eastAsia="楷体_GB2312"/>
          <w:b/>
          <w:bCs/>
          <w:szCs w:val="21"/>
        </w:rPr>
        <w:t>有义务对上述保密信息采取保密措施，未</w:t>
      </w:r>
      <w:r>
        <w:rPr>
          <w:rFonts w:hint="eastAsia" w:ascii="楷体_GB2312" w:hAnsi="宋体" w:eastAsia="楷体_GB2312"/>
          <w:b/>
          <w:bCs/>
          <w:szCs w:val="21"/>
        </w:rPr>
        <w:t>经对方</w:t>
      </w:r>
      <w:r>
        <w:rPr>
          <w:rFonts w:ascii="楷体_GB2312" w:hAnsi="宋体" w:eastAsia="楷体_GB2312"/>
          <w:b/>
          <w:bCs/>
          <w:szCs w:val="21"/>
        </w:rPr>
        <w:t>同意不得向任何第三方披露保密信息，否则应承担相应违约责任，但以下情形除外：</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向与本次投资有关而需要获知以上信息并受保密协议约束的律师、会计师、顾问和咨询人员披露的；</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（2）</w:t>
      </w:r>
      <w:r>
        <w:rPr>
          <w:rFonts w:ascii="楷体_GB2312" w:hAnsi="宋体" w:eastAsia="楷体_GB2312"/>
          <w:b/>
          <w:bCs/>
          <w:szCs w:val="21"/>
        </w:rPr>
        <w:t>根据适用的法律法规</w:t>
      </w:r>
      <w:r>
        <w:rPr>
          <w:rFonts w:hint="eastAsia" w:ascii="楷体_GB2312" w:hAnsi="宋体" w:eastAsia="楷体_GB2312"/>
          <w:b/>
          <w:bCs/>
          <w:szCs w:val="21"/>
        </w:rPr>
        <w:t>和规章制度</w:t>
      </w:r>
      <w:r>
        <w:rPr>
          <w:rFonts w:ascii="楷体_GB2312" w:hAnsi="宋体" w:eastAsia="楷体_GB2312"/>
          <w:b/>
          <w:bCs/>
          <w:szCs w:val="21"/>
        </w:rPr>
        <w:t>要求，向有关政府部门、监管机构或者管理机构（包括证券交易所）披露的；</w:t>
      </w:r>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（3）</w:t>
      </w:r>
      <w:r>
        <w:rPr>
          <w:rFonts w:ascii="楷体_GB2312" w:hAnsi="宋体" w:eastAsia="楷体_GB2312"/>
          <w:b/>
          <w:bCs/>
          <w:szCs w:val="21"/>
        </w:rPr>
        <w:t>本《产品说明书》另有约定的。</w:t>
      </w:r>
    </w:p>
    <w:p>
      <w:pPr>
        <w:spacing w:line="360" w:lineRule="auto"/>
        <w:ind w:firstLine="422" w:firstLineChars="200"/>
        <w:contextualSpacing/>
        <w:rPr>
          <w:b/>
          <w:bCs/>
        </w:rPr>
      </w:pPr>
      <w:r>
        <w:rPr>
          <w:rFonts w:ascii="楷体_GB2312" w:hAnsi="宋体" w:eastAsia="楷体_GB2312"/>
          <w:b/>
          <w:bCs/>
          <w:szCs w:val="21"/>
        </w:rPr>
        <w:t>4.前述保密义务不因本理财产品销售文件或相关协议的无效、被撤销、终止、变更、中止、解除而受影响。</w:t>
      </w:r>
    </w:p>
    <w:p>
      <w:pPr>
        <w:pStyle w:val="2"/>
        <w:spacing w:before="120" w:after="120" w:line="240" w:lineRule="auto"/>
        <w:rPr>
          <w:rFonts w:ascii="楷体" w:hAnsi="楷体" w:eastAsia="楷体"/>
          <w:sz w:val="28"/>
          <w:szCs w:val="28"/>
        </w:rPr>
      </w:pPr>
      <w:bookmarkStart w:id="19" w:name="_Toc98680992"/>
      <w:r>
        <w:rPr>
          <w:rFonts w:hint="eastAsia" w:ascii="楷体" w:hAnsi="楷体" w:eastAsia="楷体"/>
          <w:sz w:val="28"/>
          <w:szCs w:val="28"/>
        </w:rPr>
        <w:t>十</w:t>
      </w:r>
      <w:r>
        <w:rPr>
          <w:rFonts w:hint="eastAsia" w:ascii="楷体" w:hAnsi="楷体" w:eastAsia="楷体"/>
          <w:sz w:val="28"/>
          <w:szCs w:val="28"/>
          <w:lang w:val="en-US" w:eastAsia="zh-CN"/>
        </w:rPr>
        <w:t>二</w:t>
      </w:r>
      <w:r>
        <w:rPr>
          <w:rFonts w:ascii="楷体" w:hAnsi="楷体" w:eastAsia="楷体"/>
          <w:sz w:val="28"/>
          <w:szCs w:val="28"/>
        </w:rPr>
        <w:t>、相关事项说明</w:t>
      </w:r>
      <w:bookmarkEnd w:id="19"/>
    </w:p>
    <w:p>
      <w:pPr>
        <w:spacing w:line="360" w:lineRule="auto"/>
        <w:ind w:firstLine="422" w:firstLineChars="200"/>
        <w:contextualSpacing/>
        <w:rPr>
          <w:rFonts w:ascii="楷体_GB2312" w:hAnsi="宋体" w:eastAsia="楷体_GB2312"/>
          <w:b/>
          <w:bCs/>
          <w:szCs w:val="21"/>
        </w:rPr>
      </w:pPr>
      <w:r>
        <w:rPr>
          <w:rFonts w:hint="eastAsia" w:ascii="楷体_GB2312" w:hAnsi="宋体" w:eastAsia="楷体_GB2312"/>
          <w:b/>
          <w:bCs/>
          <w:szCs w:val="21"/>
        </w:rPr>
        <w:t>1.</w:t>
      </w:r>
      <w:r>
        <w:rPr>
          <w:rFonts w:ascii="楷体_GB2312" w:hAnsi="宋体" w:eastAsia="楷体_GB2312"/>
          <w:b/>
          <w:bCs/>
          <w:szCs w:val="21"/>
        </w:rPr>
        <w:t>本理财产品中示例均采用假设数据，并不代表客户实际可获得的收益。</w:t>
      </w:r>
    </w:p>
    <w:p>
      <w:pPr>
        <w:spacing w:line="360" w:lineRule="auto"/>
        <w:ind w:firstLine="422" w:firstLineChars="200"/>
        <w:contextualSpacing/>
        <w:rPr>
          <w:rFonts w:ascii="楷体_GB2312" w:hAnsi="宋体" w:eastAsia="楷体_GB2312"/>
          <w:b/>
          <w:bCs/>
          <w:szCs w:val="21"/>
        </w:rPr>
      </w:pPr>
      <w:r>
        <w:rPr>
          <w:rFonts w:ascii="楷体_GB2312" w:hAnsi="宋体" w:eastAsia="楷体_GB2312"/>
          <w:b/>
          <w:bCs/>
          <w:szCs w:val="21"/>
        </w:rPr>
        <w:t>2.</w:t>
      </w:r>
      <w:r>
        <w:rPr>
          <w:rFonts w:hint="eastAsia" w:ascii="楷体_GB2312" w:hAnsi="宋体" w:eastAsia="楷体_GB2312"/>
          <w:b/>
          <w:bCs/>
          <w:szCs w:val="21"/>
        </w:rPr>
        <w:t>业务</w:t>
      </w:r>
      <w:r>
        <w:rPr>
          <w:rFonts w:ascii="楷体_GB2312" w:hAnsi="宋体" w:eastAsia="楷体_GB2312"/>
          <w:b/>
          <w:bCs/>
          <w:szCs w:val="21"/>
        </w:rPr>
        <w:t>受理、信息公布的相关时间以上银理财业务系统</w:t>
      </w:r>
      <w:r>
        <w:rPr>
          <w:rFonts w:hint="eastAsia" w:ascii="楷体_GB2312" w:hAnsi="宋体" w:eastAsia="楷体_GB2312"/>
          <w:b/>
          <w:bCs/>
          <w:szCs w:val="21"/>
        </w:rPr>
        <w:t>所记</w:t>
      </w:r>
      <w:r>
        <w:rPr>
          <w:rFonts w:ascii="楷体_GB2312" w:hAnsi="宋体" w:eastAsia="楷体_GB2312"/>
          <w:b/>
          <w:bCs/>
          <w:szCs w:val="21"/>
        </w:rPr>
        <w:t>北京时间为准。</w:t>
      </w:r>
    </w:p>
    <w:p>
      <w:pPr>
        <w:spacing w:line="360" w:lineRule="auto"/>
        <w:ind w:firstLine="422" w:firstLineChars="200"/>
        <w:contextualSpacing/>
        <w:rPr>
          <w:rFonts w:hint="eastAsia" w:ascii="楷体_GB2312" w:hAnsi="宋体" w:eastAsia="楷体_GB2312"/>
          <w:b/>
          <w:bCs/>
          <w:szCs w:val="21"/>
          <w:lang w:val="en-US" w:eastAsia="zh-CN"/>
        </w:rPr>
      </w:pPr>
      <w:r>
        <w:rPr>
          <w:rFonts w:hint="eastAsia" w:ascii="楷体_GB2312" w:hAnsi="宋体" w:eastAsia="楷体_GB2312"/>
          <w:b/>
          <w:bCs/>
          <w:szCs w:val="21"/>
        </w:rPr>
        <w:t>3</w:t>
      </w:r>
      <w:r>
        <w:rPr>
          <w:rFonts w:ascii="楷体_GB2312" w:hAnsi="宋体" w:eastAsia="楷体_GB2312"/>
          <w:b/>
          <w:bCs/>
          <w:szCs w:val="21"/>
        </w:rPr>
        <w:t>.</w:t>
      </w:r>
      <w:r>
        <w:rPr>
          <w:rFonts w:hint="eastAsia" w:ascii="楷体_GB2312" w:hAnsi="宋体" w:eastAsia="楷体_GB2312"/>
          <w:b/>
          <w:bCs/>
          <w:szCs w:val="21"/>
        </w:rPr>
        <w:t>本理财产品</w:t>
      </w:r>
      <w:r>
        <w:rPr>
          <w:rFonts w:hint="eastAsia" w:ascii="楷体_GB2312" w:hAnsi="宋体" w:eastAsia="楷体_GB2312"/>
          <w:b/>
          <w:bCs/>
          <w:szCs w:val="21"/>
          <w:lang w:val="en-US" w:eastAsia="zh-CN"/>
        </w:rPr>
        <w:t>合同</w:t>
      </w:r>
      <w:r>
        <w:rPr>
          <w:rFonts w:hint="eastAsia" w:ascii="楷体_GB2312" w:hAnsi="宋体" w:eastAsia="楷体_GB2312"/>
          <w:b/>
          <w:bCs/>
          <w:szCs w:val="21"/>
        </w:rPr>
        <w:t>适用中华人民共和国大陆地区的法律，其项下及与之有关的一切争议，投资者与产品管理人、</w:t>
      </w:r>
      <w:r>
        <w:rPr>
          <w:rFonts w:ascii="楷体_GB2312" w:hAnsi="宋体" w:eastAsia="楷体_GB2312"/>
          <w:b/>
          <w:bCs/>
          <w:szCs w:val="21"/>
        </w:rPr>
        <w:t>销售机构</w:t>
      </w:r>
      <w:r>
        <w:rPr>
          <w:rFonts w:hint="eastAsia" w:ascii="楷体_GB2312" w:hAnsi="宋体" w:eastAsia="楷体_GB2312"/>
          <w:b/>
          <w:bCs/>
          <w:szCs w:val="21"/>
        </w:rPr>
        <w:t>应首先友好协商解决。协商未达成一致的，任何一方可向产品管理人所在地法院提起诉讼</w:t>
      </w:r>
      <w:r>
        <w:rPr>
          <w:rFonts w:hint="eastAsia" w:ascii="楷体_GB2312" w:hAnsi="宋体" w:eastAsia="楷体_GB2312"/>
          <w:b/>
          <w:bCs/>
          <w:szCs w:val="21"/>
          <w:lang w:eastAsia="zh-CN"/>
        </w:rPr>
        <w:t>。</w:t>
      </w:r>
    </w:p>
    <w:p>
      <w:pPr>
        <w:spacing w:line="360" w:lineRule="auto"/>
        <w:ind w:firstLine="422" w:firstLineChars="200"/>
        <w:contextualSpacing/>
        <w:rPr>
          <w:rFonts w:hint="eastAsia" w:ascii="楷体" w:hAnsi="楷体" w:eastAsia="楷体"/>
          <w:b/>
          <w:bCs/>
        </w:rPr>
      </w:pPr>
      <w:r>
        <w:rPr>
          <w:rFonts w:hint="eastAsia" w:ascii="楷体_GB2312" w:hAnsi="宋体" w:eastAsia="楷体_GB2312"/>
          <w:b/>
          <w:bCs/>
          <w:szCs w:val="21"/>
        </w:rPr>
        <w:t>4.</w:t>
      </w:r>
      <w:r>
        <w:rPr>
          <w:rFonts w:hint="eastAsia" w:ascii="楷体" w:hAnsi="楷体" w:eastAsia="楷体"/>
          <w:b/>
          <w:bCs/>
        </w:rPr>
        <w:t>本理财产品</w:t>
      </w:r>
      <w:r>
        <w:rPr>
          <w:rFonts w:hint="eastAsia" w:ascii="楷体" w:hAnsi="楷体" w:eastAsia="楷体"/>
          <w:b/>
          <w:bCs/>
          <w:lang w:val="en-US" w:eastAsia="zh-CN"/>
        </w:rPr>
        <w:t>合同</w:t>
      </w:r>
      <w:r>
        <w:rPr>
          <w:rFonts w:hint="eastAsia" w:ascii="楷体" w:hAnsi="楷体" w:eastAsia="楷体"/>
          <w:b/>
          <w:bCs/>
        </w:rPr>
        <w:t>在法律许可的范围内由管理人负责解释。若客户对上述内容有任何疑问，请联系销售机构</w:t>
      </w:r>
      <w:r>
        <w:rPr>
          <w:rFonts w:hint="eastAsia" w:ascii="楷体" w:hAnsi="楷体" w:eastAsia="楷体"/>
          <w:b/>
          <w:bCs/>
          <w:lang w:val="en-US" w:eastAsia="zh-CN"/>
        </w:rPr>
        <w:t>咨询</w:t>
      </w:r>
      <w:r>
        <w:rPr>
          <w:rFonts w:hint="eastAsia" w:ascii="楷体" w:hAnsi="楷体" w:eastAsia="楷体"/>
          <w:b/>
          <w:bCs/>
        </w:rPr>
        <w:t>，也可致电销售机构全国统一客户服务热线。</w:t>
      </w:r>
    </w:p>
    <w:p>
      <w:pPr>
        <w:ind w:firstLine="0" w:firstLineChars="0"/>
        <w:rPr>
          <w:rFonts w:hint="eastAsia" w:ascii="楷体_GB2312" w:hAnsi="宋体" w:eastAsia="楷体_GB2312"/>
          <w:b/>
          <w:bCs/>
          <w:szCs w:val="21"/>
        </w:rPr>
      </w:pPr>
    </w:p>
    <w:p>
      <w:pPr>
        <w:ind w:firstLine="0" w:firstLineChars="0"/>
        <w:rPr>
          <w:rFonts w:hint="eastAsia" w:ascii="楷体" w:hAnsi="楷体" w:eastAsia="楷体"/>
          <w:b/>
          <w:bCs/>
        </w:rPr>
      </w:pPr>
    </w:p>
    <w:p>
      <w:pPr>
        <w:spacing w:line="360" w:lineRule="auto"/>
        <w:ind w:firstLine="422" w:firstLineChars="200"/>
        <w:contextualSpacing/>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widowControl/>
        <w:spacing w:line="360" w:lineRule="auto"/>
        <w:jc w:val="left"/>
        <w:rPr>
          <w:rFonts w:ascii="楷体_GB2312" w:hAnsi="宋体" w:eastAsia="楷体_GB2312"/>
          <w:b/>
          <w:bCs/>
          <w:szCs w:val="21"/>
        </w:rPr>
      </w:pPr>
    </w:p>
    <w:p>
      <w:pPr>
        <w:pStyle w:val="2"/>
        <w:spacing w:after="0" w:line="360" w:lineRule="auto"/>
        <w:jc w:val="center"/>
        <w:rPr>
          <w:rFonts w:ascii="黑体" w:hAnsi="黑体" w:eastAsia="黑体" w:cs="黑体"/>
          <w:sz w:val="36"/>
          <w:szCs w:val="36"/>
        </w:rPr>
      </w:pPr>
      <w:r>
        <w:rPr>
          <w:rFonts w:hint="eastAsia" w:ascii="黑体" w:hAnsi="黑体" w:eastAsia="黑体" w:cs="黑体"/>
          <w:sz w:val="36"/>
          <w:szCs w:val="36"/>
        </w:rPr>
        <w:t>上银理财有限责任公司</w:t>
      </w:r>
      <w:r>
        <w:rPr>
          <w:rFonts w:hint="eastAsia" w:ascii="黑体" w:hAnsi="黑体" w:eastAsia="黑体" w:cs="黑体"/>
          <w:sz w:val="36"/>
          <w:szCs w:val="36"/>
          <w:lang w:val="en-US" w:eastAsia="zh-CN"/>
        </w:rPr>
        <w:t>理财</w:t>
      </w:r>
      <w:r>
        <w:rPr>
          <w:rFonts w:hint="eastAsia" w:ascii="黑体" w:hAnsi="黑体" w:eastAsia="黑体" w:cs="黑体"/>
          <w:sz w:val="36"/>
          <w:szCs w:val="36"/>
        </w:rPr>
        <w:t>产品投资协议书</w:t>
      </w:r>
    </w:p>
    <w:p>
      <w:pPr>
        <w:spacing w:line="360" w:lineRule="auto"/>
        <w:ind w:firstLine="720"/>
        <w:jc w:val="center"/>
        <w:rPr>
          <w:rFonts w:ascii="黑体" w:hAnsi="黑体" w:eastAsia="黑体"/>
          <w:b/>
          <w:bCs/>
          <w:sz w:val="28"/>
        </w:rPr>
      </w:pPr>
      <w:r>
        <w:rPr>
          <w:rFonts w:hint="eastAsia" w:ascii="黑体" w:hAnsi="黑体" w:eastAsia="黑体"/>
          <w:b/>
          <w:bCs/>
          <w:sz w:val="28"/>
        </w:rPr>
        <w:t>（版本号：20</w:t>
      </w:r>
      <w:r>
        <w:rPr>
          <w:rFonts w:hint="eastAsia" w:ascii="黑体" w:hAnsi="黑体" w:eastAsia="黑体"/>
          <w:b/>
          <w:bCs/>
          <w:sz w:val="28"/>
          <w:lang w:val="en-US" w:eastAsia="zh-CN"/>
        </w:rPr>
        <w:t>25</w:t>
      </w:r>
      <w:r>
        <w:rPr>
          <w:rFonts w:hint="eastAsia" w:ascii="黑体" w:hAnsi="黑体" w:eastAsia="黑体"/>
          <w:b/>
          <w:bCs/>
          <w:sz w:val="28"/>
        </w:rPr>
        <w:t>.01）</w:t>
      </w:r>
    </w:p>
    <w:p>
      <w:pPr>
        <w:widowControl/>
        <w:spacing w:line="360" w:lineRule="auto"/>
        <w:ind w:firstLine="480"/>
        <w:jc w:val="center"/>
        <w:rPr>
          <w:rFonts w:ascii="仿宋" w:hAnsi="仿宋" w:eastAsia="仿宋" w:cs="仿宋"/>
          <w:b/>
          <w:kern w:val="0"/>
          <w:sz w:val="24"/>
          <w:lang w:bidi="ar"/>
        </w:rPr>
      </w:pPr>
    </w:p>
    <w:p>
      <w:pPr>
        <w:spacing w:line="360" w:lineRule="auto"/>
        <w:ind w:firstLine="720"/>
        <w:jc w:val="center"/>
        <w:rPr>
          <w:rFonts w:ascii="黑体" w:hAnsi="黑体" w:eastAsia="黑体"/>
          <w:b/>
          <w:bCs/>
          <w:sz w:val="28"/>
        </w:rPr>
      </w:pPr>
      <w:r>
        <w:rPr>
          <w:rFonts w:hint="eastAsia" w:ascii="黑体" w:hAnsi="黑体" w:eastAsia="黑体"/>
          <w:b/>
          <w:bCs/>
          <w:sz w:val="28"/>
        </w:rPr>
        <w:t>理财非存款、产品有风险、投资须谨慎。</w:t>
      </w:r>
    </w:p>
    <w:p>
      <w:pPr>
        <w:pStyle w:val="3"/>
        <w:spacing w:before="0" w:after="0" w:line="360" w:lineRule="auto"/>
        <w:jc w:val="left"/>
        <w:rPr>
          <w:rFonts w:ascii="仿宋" w:hAnsi="仿宋" w:eastAsia="仿宋" w:cs="仿宋"/>
          <w:sz w:val="24"/>
          <w:szCs w:val="24"/>
        </w:rPr>
      </w:pP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投资者（以下简称“甲方”）自愿购买由上银理财有限责任公司（以下简称“乙方”）作为管理人发行的【上银理财“易享利”系列开放式（3个月持有期）理财产品WPEK24M0305期】理财产品（产品代码：【WPEK24M0305</w:t>
      </w:r>
      <w:bookmarkStart w:id="34" w:name="_GoBack"/>
      <w:bookmarkEnd w:id="34"/>
      <w:r>
        <w:rPr>
          <w:rFonts w:hint="eastAsia" w:ascii="仿宋" w:hAnsi="仿宋" w:eastAsia="仿宋" w:cs="仿宋"/>
          <w:kern w:val="0"/>
          <w:sz w:val="24"/>
          <w:lang w:bidi="ar"/>
        </w:rPr>
        <w:t>】以下简称“本理财产品”），并签订本协议。</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本协议为规范甲乙双方在理财业务中权利和义务的法律文件。订立本协议的原则是平等自愿、诚实信用、充分保护投资者的合法权益。</w:t>
      </w:r>
      <w:r>
        <w:rPr>
          <w:rFonts w:hint="eastAsia" w:ascii="仿宋" w:hAnsi="仿宋" w:eastAsia="仿宋" w:cs="仿宋"/>
          <w:b/>
          <w:bCs/>
          <w:kern w:val="0"/>
          <w:sz w:val="24"/>
          <w:lang w:bidi="ar"/>
        </w:rPr>
        <w:t>请投资者认真阅读以下条款，尤其是标注加粗的条款。如果投资者不同意本协议的任何内容，或者无法准确理解相关条款的解释，请不要进行后续操作。</w:t>
      </w:r>
    </w:p>
    <w:p>
      <w:pPr>
        <w:widowControl/>
        <w:spacing w:line="360" w:lineRule="auto"/>
        <w:ind w:firstLine="420"/>
        <w:rPr>
          <w:rFonts w:ascii="仿宋" w:hAnsi="仿宋" w:eastAsia="仿宋" w:cs="仿宋"/>
          <w:b/>
          <w:bCs/>
          <w:sz w:val="24"/>
        </w:rPr>
      </w:pPr>
      <w:r>
        <w:rPr>
          <w:rFonts w:hint="eastAsia" w:ascii="仿宋" w:hAnsi="仿宋" w:eastAsia="仿宋" w:cs="仿宋"/>
          <w:b/>
          <w:bCs/>
          <w:kern w:val="0"/>
          <w:sz w:val="24"/>
          <w:lang w:bidi="ar"/>
        </w:rPr>
        <w:t>甲方承诺：</w:t>
      </w:r>
      <w:r>
        <w:rPr>
          <w:rFonts w:hint="eastAsia" w:ascii="仿宋" w:hAnsi="仿宋" w:eastAsia="仿宋" w:cs="仿宋"/>
          <w:b/>
          <w:sz w:val="24"/>
          <w:szCs w:val="28"/>
          <w:lang w:bidi="ar"/>
        </w:rPr>
        <w:t>甲方已经阅读本理财产品所有销售文件，清楚知晓其内容，对有关条款不存在任何疑问或异议，接受并签署本投资协议书。</w:t>
      </w:r>
      <w:r>
        <w:rPr>
          <w:rFonts w:hint="eastAsia" w:ascii="仿宋" w:hAnsi="仿宋" w:eastAsia="仿宋" w:cs="仿宋"/>
          <w:b/>
          <w:sz w:val="24"/>
          <w:szCs w:val="28"/>
        </w:rPr>
        <w:t>甲方以自身合法持有的资金购买乙方发行并管理的产品，并能充分理解所购买产品的内容，完全知晓产品可能出现的各种风险，愿意并能够承担风险；如甲方在本协议项下投资的理财产品为“私募理财产品”，甲方符合监管要求的合格投资者条件。乙方向甲方提供的市场分析和预测仅供参考，甲方据此做出的任何决策均出于甲方自身的判断，并自愿承担购买</w:t>
      </w:r>
      <w:r>
        <w:rPr>
          <w:rFonts w:hint="eastAsia" w:ascii="仿宋" w:hAnsi="仿宋" w:eastAsia="仿宋" w:cs="仿宋"/>
          <w:b/>
          <w:sz w:val="24"/>
          <w:szCs w:val="28"/>
          <w:lang w:bidi="ar"/>
        </w:rPr>
        <w:t>（或赎回、撤单等其他行为）</w:t>
      </w:r>
      <w:r>
        <w:rPr>
          <w:rFonts w:hint="eastAsia" w:ascii="仿宋" w:hAnsi="仿宋" w:eastAsia="仿宋" w:cs="仿宋"/>
          <w:b/>
          <w:sz w:val="24"/>
          <w:szCs w:val="28"/>
        </w:rPr>
        <w:t>理财产品所产生的相关风险和全部后果。</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第一条 协议的构成和效力</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本协议与相应期次理财产品的《产品说明书》、《风险揭示书》、《销售协议书》、《客户权益须知》等相关文件共同构成一份完整且不可分割的、关于甲方投资乙方理财产品的法律文件（以下简称“理财产品文件”）。本协议与《产品说明书》不一致的内容，以《产品说明书》约定为准。</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第二条 风险揭示</w:t>
      </w:r>
    </w:p>
    <w:p>
      <w:pPr>
        <w:widowControl/>
        <w:spacing w:line="360" w:lineRule="auto"/>
        <w:ind w:firstLine="482"/>
        <w:rPr>
          <w:rFonts w:ascii="仿宋" w:hAnsi="仿宋" w:eastAsia="仿宋" w:cs="仿宋"/>
          <w:b/>
          <w:bCs/>
          <w:sz w:val="24"/>
        </w:rPr>
      </w:pPr>
      <w:r>
        <w:rPr>
          <w:rFonts w:hint="eastAsia" w:ascii="仿宋" w:hAnsi="仿宋" w:eastAsia="仿宋" w:cs="仿宋"/>
          <w:b/>
          <w:bCs/>
          <w:kern w:val="0"/>
          <w:sz w:val="24"/>
          <w:lang w:bidi="ar"/>
        </w:rPr>
        <w:t>理财非存款、产品有风险、投资须谨慎。理财产品过往业绩不代表其未来表现，不等于理财产品实际收益。投资理财产品可能面临各种风险因素，具体于相应期次理财产品《风险揭示书》中进行揭示，甲方应仔细阅读并充分理解相关销售文件。</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第三条 甲方的权利和义务</w:t>
      </w:r>
    </w:p>
    <w:p>
      <w:pPr>
        <w:widowControl/>
        <w:spacing w:line="360" w:lineRule="auto"/>
        <w:ind w:firstLine="480" w:firstLineChars="200"/>
        <w:rPr>
          <w:rFonts w:hint="eastAsia" w:ascii="仿宋" w:hAnsi="仿宋" w:eastAsia="仿宋" w:cs="仿宋"/>
          <w:kern w:val="0"/>
          <w:sz w:val="24"/>
          <w:lang w:val="en-US" w:eastAsia="zh-CN" w:bidi="ar"/>
        </w:rPr>
      </w:pPr>
      <w:bookmarkStart w:id="20" w:name="_Hlk100080347"/>
      <w:r>
        <w:rPr>
          <w:rFonts w:hint="eastAsia" w:ascii="仿宋" w:hAnsi="仿宋" w:eastAsia="仿宋" w:cs="仿宋"/>
          <w:kern w:val="0"/>
          <w:sz w:val="24"/>
          <w:lang w:bidi="ar"/>
        </w:rPr>
        <w:t>1.</w:t>
      </w:r>
      <w:r>
        <w:rPr>
          <w:rFonts w:hint="eastAsia" w:ascii="仿宋" w:hAnsi="仿宋" w:eastAsia="仿宋" w:cs="仿宋"/>
          <w:kern w:val="0"/>
          <w:sz w:val="24"/>
          <w:lang w:val="en-US" w:eastAsia="zh-CN" w:bidi="ar"/>
        </w:rPr>
        <w:t>【适用于个人投资者】甲方具有完全民事行为能力，有完全适当的资格与能力签订并履行理财产品合同，不存在法律、行政法规有关规定禁止或限制投资理财产品的情形。</w:t>
      </w:r>
    </w:p>
    <w:p>
      <w:pPr>
        <w:widowControl/>
        <w:spacing w:line="360" w:lineRule="auto"/>
        <w:ind w:firstLine="480" w:firstLineChars="0"/>
        <w:rPr>
          <w:rFonts w:hint="eastAsia" w:ascii="仿宋" w:hAnsi="仿宋" w:eastAsia="仿宋" w:cs="仿宋"/>
          <w:kern w:val="0"/>
          <w:sz w:val="24"/>
          <w:lang w:val="en-US" w:eastAsia="zh-CN" w:bidi="ar"/>
        </w:rPr>
      </w:pPr>
      <w:r>
        <w:rPr>
          <w:rFonts w:hint="eastAsia" w:ascii="仿宋" w:hAnsi="仿宋" w:eastAsia="仿宋" w:cs="仿宋"/>
          <w:kern w:val="0"/>
          <w:sz w:val="24"/>
          <w:lang w:val="en-US" w:eastAsia="zh-CN" w:bidi="ar"/>
        </w:rPr>
        <w:t>【适用于机构投资者】甲方确认签署和履行理财产品合同系其真实意思表示，已经按照其章程或者其它内部管理文件的要求取得合法、有效的授权且不违反对其有约束力的任何合同和其他法律文件；甲方已经取得签订和履行理财产品合同所需的一切有关批准、许可、备案或者登记。</w:t>
      </w:r>
    </w:p>
    <w:p>
      <w:pPr>
        <w:widowControl/>
        <w:spacing w:line="360" w:lineRule="auto"/>
        <w:ind w:firstLine="480" w:firstLineChars="0"/>
        <w:rPr>
          <w:rFonts w:hint="eastAsia" w:ascii="仿宋" w:hAnsi="仿宋" w:eastAsia="仿宋" w:cs="仿宋"/>
          <w:kern w:val="0"/>
          <w:sz w:val="24"/>
          <w:lang w:bidi="ar"/>
        </w:rPr>
      </w:pPr>
      <w:r>
        <w:rPr>
          <w:rFonts w:hint="eastAsia" w:ascii="仿宋" w:hAnsi="仿宋" w:eastAsia="仿宋" w:cs="仿宋"/>
          <w:kern w:val="0"/>
          <w:sz w:val="24"/>
          <w:lang w:val="en-US" w:eastAsia="zh-CN" w:bidi="ar"/>
        </w:rPr>
        <w:t>2.</w:t>
      </w:r>
      <w:r>
        <w:rPr>
          <w:rFonts w:hint="eastAsia" w:ascii="仿宋" w:hAnsi="仿宋" w:eastAsia="仿宋" w:cs="仿宋"/>
          <w:kern w:val="0"/>
          <w:sz w:val="24"/>
          <w:lang w:bidi="ar"/>
        </w:rPr>
        <w:t>甲方有权通过《产品说明书》了解包括但不限于本理财产品的投资范围、投资资产种类和投资比例等内容。</w:t>
      </w:r>
    </w:p>
    <w:p>
      <w:pPr>
        <w:widowControl/>
        <w:spacing w:line="360" w:lineRule="auto"/>
        <w:ind w:firstLine="480" w:firstLineChars="200"/>
        <w:rPr>
          <w:rFonts w:hint="eastAsia" w:ascii="仿宋" w:hAnsi="仿宋" w:eastAsia="仿宋" w:cs="仿宋"/>
          <w:kern w:val="0"/>
          <w:sz w:val="24"/>
          <w:szCs w:val="22"/>
          <w:lang w:eastAsia="zh-CN" w:bidi="ar"/>
        </w:rPr>
      </w:pPr>
      <w:r>
        <w:rPr>
          <w:rFonts w:hint="eastAsia" w:ascii="仿宋" w:hAnsi="仿宋" w:eastAsia="仿宋" w:cs="仿宋"/>
          <w:kern w:val="0"/>
          <w:sz w:val="24"/>
          <w:szCs w:val="22"/>
          <w:lang w:val="en-US" w:eastAsia="zh-CN" w:bidi="ar"/>
        </w:rPr>
        <w:t>3</w:t>
      </w:r>
      <w:r>
        <w:rPr>
          <w:rFonts w:hint="eastAsia" w:ascii="仿宋" w:hAnsi="仿宋" w:eastAsia="仿宋" w:cs="仿宋"/>
          <w:kern w:val="0"/>
          <w:sz w:val="24"/>
          <w:szCs w:val="22"/>
          <w:lang w:bidi="ar"/>
        </w:rPr>
        <w:t>.甲方有权按照本合同、《产品说明书》的约定，购买或赎回本理财产品</w:t>
      </w:r>
      <w:r>
        <w:rPr>
          <w:rFonts w:hint="eastAsia" w:ascii="仿宋" w:hAnsi="仿宋" w:eastAsia="仿宋" w:cs="仿宋"/>
          <w:kern w:val="0"/>
          <w:sz w:val="24"/>
          <w:szCs w:val="22"/>
          <w:lang w:eastAsia="zh-CN" w:bidi="ar"/>
        </w:rPr>
        <w:t>。</w:t>
      </w:r>
    </w:p>
    <w:p>
      <w:pPr>
        <w:spacing w:line="360" w:lineRule="auto"/>
        <w:ind w:firstLine="480" w:firstLineChars="200"/>
        <w:rPr>
          <w:rFonts w:hint="eastAsia" w:ascii="仿宋" w:hAnsi="仿宋" w:eastAsia="仿宋" w:cs="仿宋"/>
          <w:kern w:val="0"/>
          <w:sz w:val="24"/>
          <w:lang w:eastAsia="zh-CN" w:bidi="ar"/>
        </w:rPr>
      </w:pPr>
      <w:r>
        <w:rPr>
          <w:rFonts w:hint="eastAsia" w:ascii="仿宋" w:hAnsi="仿宋" w:eastAsia="仿宋" w:cs="仿宋"/>
          <w:kern w:val="0"/>
          <w:sz w:val="24"/>
          <w:szCs w:val="22"/>
          <w:lang w:val="en-US" w:eastAsia="zh-CN" w:bidi="ar"/>
        </w:rPr>
        <w:t>4</w:t>
      </w:r>
      <w:r>
        <w:rPr>
          <w:rFonts w:hint="eastAsia" w:ascii="仿宋" w:hAnsi="仿宋" w:eastAsia="仿宋" w:cs="仿宋"/>
          <w:kern w:val="0"/>
          <w:sz w:val="24"/>
          <w:szCs w:val="22"/>
          <w:lang w:bidi="ar"/>
        </w:rPr>
        <w:t>.甲方有权取得与持有份额相对应的投资收益、分配清算后的剩余财产（如有）</w:t>
      </w:r>
      <w:r>
        <w:rPr>
          <w:rFonts w:hint="eastAsia" w:ascii="仿宋" w:hAnsi="仿宋" w:eastAsia="仿宋" w:cs="仿宋"/>
          <w:kern w:val="0"/>
          <w:sz w:val="24"/>
          <w:szCs w:val="22"/>
          <w:lang w:eastAsia="zh-CN" w:bidi="ar"/>
        </w:rPr>
        <w:t>。</w:t>
      </w:r>
    </w:p>
    <w:bookmarkEnd w:id="20"/>
    <w:p>
      <w:pPr>
        <w:widowControl/>
        <w:spacing w:line="360" w:lineRule="auto"/>
        <w:ind w:firstLine="480"/>
        <w:rPr>
          <w:rFonts w:hint="eastAsia" w:ascii="仿宋" w:hAnsi="仿宋" w:eastAsia="仿宋" w:cs="仿宋"/>
          <w:kern w:val="0"/>
          <w:sz w:val="24"/>
          <w:lang w:bidi="ar"/>
        </w:rPr>
      </w:pPr>
      <w:r>
        <w:rPr>
          <w:rFonts w:hint="eastAsia" w:ascii="仿宋" w:hAnsi="仿宋" w:eastAsia="仿宋" w:cs="仿宋"/>
          <w:kern w:val="0"/>
          <w:sz w:val="24"/>
          <w:lang w:val="en-US" w:eastAsia="zh-CN" w:bidi="ar"/>
        </w:rPr>
        <w:t>5</w:t>
      </w:r>
      <w:r>
        <w:rPr>
          <w:rFonts w:hint="eastAsia" w:ascii="仿宋" w:hAnsi="仿宋" w:eastAsia="仿宋" w:cs="仿宋"/>
          <w:kern w:val="0"/>
          <w:sz w:val="24"/>
          <w:lang w:bidi="ar"/>
        </w:rPr>
        <w:t>.甲方承诺其购买理财产品的资金为合法自有资金或合法募集资金，不存在使用贷款、发行债券等筹集的非自有资金投资资产管理产品的情形（合法募集资金除外），甲方承诺投资理财产品使用的资金来源合法合规，并且系为合法之目的投资本理财产品，而非为洗钱等违法犯罪之目的，甲方将配合乙方开展投资者身份识别及尽职调查等反洗钱活动，及时、真实、准确、完整提供身份信息及资金来源等信息。</w:t>
      </w:r>
    </w:p>
    <w:p>
      <w:pPr>
        <w:widowControl/>
        <w:spacing w:line="360" w:lineRule="auto"/>
        <w:ind w:firstLine="480"/>
        <w:rPr>
          <w:rFonts w:hint="eastAsia" w:ascii="仿宋" w:hAnsi="仿宋" w:eastAsia="仿宋" w:cs="仿宋"/>
          <w:kern w:val="0"/>
          <w:sz w:val="24"/>
          <w:lang w:eastAsia="zh-CN" w:bidi="ar"/>
        </w:rPr>
      </w:pPr>
      <w:r>
        <w:rPr>
          <w:rFonts w:hint="eastAsia" w:ascii="仿宋" w:hAnsi="仿宋" w:eastAsia="仿宋" w:cs="仿宋"/>
          <w:kern w:val="0"/>
          <w:sz w:val="24"/>
          <w:lang w:val="en-US" w:eastAsia="zh-CN" w:bidi="ar"/>
        </w:rPr>
        <w:t>6.</w:t>
      </w:r>
      <w:r>
        <w:rPr>
          <w:rFonts w:hint="eastAsia" w:ascii="仿宋" w:hAnsi="仿宋" w:eastAsia="仿宋" w:cs="仿宋"/>
          <w:kern w:val="0"/>
          <w:sz w:val="24"/>
          <w:lang w:bidi="ar"/>
        </w:rPr>
        <w:t>甲方承诺</w:t>
      </w:r>
      <w:r>
        <w:rPr>
          <w:rFonts w:hint="eastAsia" w:ascii="仿宋" w:hAnsi="仿宋" w:eastAsia="仿宋" w:cs="仿宋"/>
          <w:kern w:val="0"/>
          <w:sz w:val="24"/>
          <w:lang w:val="en-US" w:eastAsia="zh-CN" w:bidi="ar"/>
        </w:rPr>
        <w:t>其</w:t>
      </w:r>
      <w:r>
        <w:rPr>
          <w:rFonts w:hint="eastAsia" w:ascii="仿宋" w:hAnsi="仿宋" w:eastAsia="仿宋" w:cs="仿宋"/>
          <w:kern w:val="0"/>
          <w:sz w:val="24"/>
          <w:lang w:bidi="ar"/>
        </w:rPr>
        <w:t>投资理财产品不存在违反监管要求的产品嵌套，以及以投资本理财产品从事规避投资范围、杠杆约束等监管要求等的通道业务违法违规行为</w:t>
      </w:r>
      <w:r>
        <w:rPr>
          <w:rFonts w:hint="eastAsia" w:ascii="仿宋" w:hAnsi="仿宋" w:eastAsia="仿宋" w:cs="仿宋"/>
          <w:kern w:val="0"/>
          <w:sz w:val="24"/>
          <w:lang w:eastAsia="zh-CN" w:bidi="ar"/>
        </w:rPr>
        <w:t>；</w:t>
      </w:r>
      <w:r>
        <w:rPr>
          <w:rFonts w:hint="eastAsia" w:ascii="仿宋" w:hAnsi="仿宋" w:eastAsia="仿宋" w:cs="仿宋"/>
          <w:kern w:val="0"/>
          <w:sz w:val="24"/>
          <w:lang w:bidi="ar"/>
        </w:rPr>
        <w:t>甲方以其管理的私募资产管理产品投资于理财产品的，该私募资产管理产品的所有投资者为符合法律法规规定的合格投资者且委托财产来源合法合规</w:t>
      </w:r>
      <w:r>
        <w:rPr>
          <w:rFonts w:hint="eastAsia" w:ascii="仿宋" w:hAnsi="仿宋" w:eastAsia="仿宋" w:cs="仿宋"/>
          <w:kern w:val="0"/>
          <w:sz w:val="24"/>
          <w:lang w:eastAsia="zh-CN" w:bidi="ar"/>
        </w:rPr>
        <w:t>；</w:t>
      </w:r>
      <w:r>
        <w:rPr>
          <w:rFonts w:hint="eastAsia" w:ascii="仿宋" w:hAnsi="仿宋" w:eastAsia="仿宋" w:cs="仿宋"/>
          <w:kern w:val="0"/>
          <w:sz w:val="24"/>
          <w:lang w:val="en-US" w:eastAsia="zh-CN" w:bidi="ar"/>
        </w:rPr>
        <w:t>甲方应配合乙方为识别合格投资者等目的进行的尽职调查。</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7</w:t>
      </w:r>
      <w:r>
        <w:rPr>
          <w:rFonts w:hint="eastAsia" w:ascii="仿宋" w:hAnsi="仿宋" w:eastAsia="仿宋" w:cs="仿宋"/>
          <w:kern w:val="0"/>
          <w:sz w:val="24"/>
          <w:lang w:bidi="ar"/>
        </w:rPr>
        <w:t>.甲方承诺所提供的所有资料真实、完整、合法、有效，如有变更，甲方应及时通过理财产品文件约定的方式办理变更手续。若甲方未及时办理相关变更手续，由此导致的一切后果由甲方自行承担，乙方对此不承担任何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8</w:t>
      </w:r>
      <w:r>
        <w:rPr>
          <w:rFonts w:hint="eastAsia" w:ascii="仿宋" w:hAnsi="仿宋" w:eastAsia="仿宋" w:cs="仿宋"/>
          <w:kern w:val="0"/>
          <w:sz w:val="24"/>
          <w:lang w:bidi="ar"/>
        </w:rPr>
        <w:t>.在产品认/申购期内，如因甲方原因（包括但不限于甲方账户冻结、挂失、换卡、销户、长期不动户、变更等原因）导致投资本金不能从其约定账户足额划转导致甲方对相关理财产品的购买不成功的，乙方不承担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9</w:t>
      </w:r>
      <w:r>
        <w:rPr>
          <w:rFonts w:hint="eastAsia" w:ascii="仿宋" w:hAnsi="仿宋" w:eastAsia="仿宋" w:cs="仿宋"/>
          <w:kern w:val="0"/>
          <w:sz w:val="24"/>
          <w:lang w:bidi="ar"/>
        </w:rPr>
        <w:t>.甲方对本协议及其条款负有保密义务，未经乙方书面许可，甲方不得向任何组织、个人提供或泄露与乙方有关的业务资料及信息，法律、法规另有规定的除外。</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val="en-US" w:eastAsia="zh-CN" w:bidi="ar"/>
        </w:rPr>
        <w:t>10</w:t>
      </w:r>
      <w:r>
        <w:rPr>
          <w:rFonts w:hint="eastAsia" w:ascii="仿宋" w:hAnsi="仿宋" w:eastAsia="仿宋" w:cs="仿宋"/>
          <w:b/>
          <w:bCs/>
          <w:kern w:val="0"/>
          <w:sz w:val="24"/>
          <w:lang w:bidi="ar"/>
        </w:rPr>
        <w:t>.甲方签署本协议，即同意授权乙方在下述情形时均无须再通知甲方：</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（1）在甲方提交认/申购申请时；</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（2）从甲方约定账户冻结/预扣资金时；</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（3）于约定时间根据乙方确认的认/申购结果扣划相应资金至乙方指定账户时；</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（4）进行币种转换于境外投资时。</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11</w:t>
      </w:r>
      <w:r>
        <w:rPr>
          <w:rFonts w:hint="eastAsia" w:ascii="仿宋" w:hAnsi="仿宋" w:eastAsia="仿宋" w:cs="仿宋"/>
          <w:kern w:val="0"/>
          <w:sz w:val="24"/>
          <w:lang w:bidi="ar"/>
        </w:rPr>
        <w:t>.</w:t>
      </w:r>
      <w:r>
        <w:rPr>
          <w:rFonts w:hint="eastAsia" w:ascii="仿宋" w:hAnsi="仿宋" w:eastAsia="仿宋" w:cs="仿宋"/>
          <w:kern w:val="0"/>
          <w:sz w:val="24"/>
          <w:lang w:val="en-US" w:eastAsia="zh-CN" w:bidi="ar"/>
        </w:rPr>
        <w:t>甲方</w:t>
      </w:r>
      <w:r>
        <w:rPr>
          <w:rFonts w:hint="default" w:ascii="仿宋" w:hAnsi="仿宋" w:eastAsia="仿宋" w:cs="仿宋"/>
          <w:kern w:val="0"/>
          <w:sz w:val="24"/>
          <w:lang w:val="en-US" w:eastAsia="zh-CN" w:bidi="ar"/>
        </w:rPr>
        <w:t>保证熟悉理财产品类型特征及不同销售渠道的相关规定，了</w:t>
      </w:r>
      <w:r>
        <w:rPr>
          <w:rFonts w:hint="eastAsia" w:ascii="仿宋" w:hAnsi="仿宋" w:eastAsia="仿宋" w:cs="仿宋"/>
          <w:kern w:val="0"/>
          <w:sz w:val="24"/>
          <w:lang w:val="en-US" w:eastAsia="zh-CN" w:bidi="ar"/>
        </w:rPr>
        <w:t>解理财产品直销与代理销售的相关区别。</w:t>
      </w:r>
      <w:r>
        <w:rPr>
          <w:rFonts w:hint="eastAsia" w:ascii="仿宋" w:hAnsi="仿宋" w:eastAsia="仿宋" w:cs="仿宋"/>
          <w:kern w:val="0"/>
          <w:sz w:val="24"/>
          <w:lang w:bidi="ar"/>
        </w:rPr>
        <w:t>对于甲方通过</w:t>
      </w:r>
      <w:r>
        <w:rPr>
          <w:rFonts w:hint="eastAsia" w:ascii="仿宋" w:hAnsi="仿宋" w:eastAsia="仿宋" w:cs="仿宋"/>
          <w:kern w:val="0"/>
          <w:sz w:val="24"/>
          <w:lang w:val="en-US" w:eastAsia="zh-CN" w:bidi="ar"/>
        </w:rPr>
        <w:t>乙方或</w:t>
      </w:r>
      <w:r>
        <w:rPr>
          <w:rFonts w:hint="eastAsia" w:ascii="仿宋" w:hAnsi="仿宋" w:eastAsia="仿宋" w:cs="仿宋"/>
          <w:kern w:val="0"/>
          <w:sz w:val="24"/>
          <w:lang w:bidi="ar"/>
        </w:rPr>
        <w:t>代理销售机构的网上银行、手机银行等各渠道购买的由乙方管理的理财产品，甲方确认其在</w:t>
      </w:r>
      <w:r>
        <w:rPr>
          <w:rFonts w:hint="eastAsia" w:ascii="仿宋" w:hAnsi="仿宋" w:eastAsia="仿宋" w:cs="仿宋"/>
          <w:kern w:val="0"/>
          <w:sz w:val="24"/>
          <w:lang w:val="en-US" w:eastAsia="zh-CN" w:bidi="ar"/>
        </w:rPr>
        <w:t>乙方或</w:t>
      </w:r>
      <w:r>
        <w:rPr>
          <w:rFonts w:hint="eastAsia" w:ascii="仿宋" w:hAnsi="仿宋" w:eastAsia="仿宋" w:cs="仿宋"/>
          <w:kern w:val="0"/>
          <w:sz w:val="24"/>
          <w:lang w:bidi="ar"/>
        </w:rPr>
        <w:t>代理销售机构渠道系统点击确认的理财产品销售文件的合法有效性，与纸质签署具有同等效力，并确认记录以及录音、录像构成对甲方操作行为（包括但不限于购买、赎回、撤单等业务）的终局证据，并且在双方发生争议时可以作为合法有效的证据使用。</w:t>
      </w:r>
    </w:p>
    <w:p>
      <w:pPr>
        <w:widowControl/>
        <w:spacing w:line="360" w:lineRule="auto"/>
        <w:ind w:firstLine="480"/>
        <w:rPr>
          <w:rFonts w:ascii="仿宋" w:hAnsi="仿宋" w:eastAsia="仿宋" w:cs="仿宋"/>
          <w:sz w:val="24"/>
        </w:rPr>
      </w:pPr>
      <w:r>
        <w:rPr>
          <w:rFonts w:hint="eastAsia" w:ascii="仿宋" w:hAnsi="仿宋" w:eastAsia="仿宋" w:cs="仿宋"/>
          <w:b/>
          <w:bCs/>
          <w:kern w:val="0"/>
          <w:sz w:val="24"/>
          <w:lang w:val="en-US" w:eastAsia="zh-CN" w:bidi="ar"/>
        </w:rPr>
        <w:t>12</w:t>
      </w:r>
      <w:r>
        <w:rPr>
          <w:rFonts w:hint="eastAsia" w:ascii="仿宋" w:hAnsi="仿宋" w:eastAsia="仿宋" w:cs="仿宋"/>
          <w:b/>
          <w:bCs/>
          <w:kern w:val="0"/>
          <w:sz w:val="24"/>
          <w:lang w:bidi="ar"/>
        </w:rPr>
        <w:t>.如甲方投资的理财产品为私募理财产品，甲方自签署理财产品合同或提交认/申购申请时起可以享有24小时的投资冷静期。</w:t>
      </w:r>
      <w:r>
        <w:rPr>
          <w:rFonts w:hint="eastAsia" w:ascii="仿宋" w:hAnsi="仿宋" w:eastAsia="仿宋" w:cs="仿宋"/>
          <w:kern w:val="0"/>
          <w:sz w:val="24"/>
          <w:lang w:bidi="ar"/>
        </w:rPr>
        <w:t>在冷静期内，如甲方改变投资决定，应立即在投资冷静期内撤销认/申购的申请，并提出解除相应理财产品合同，乙方应当遵从甲方意愿，解除已签订的理财产品合同，并及时退还甲方的全部投资款项。</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13</w:t>
      </w:r>
      <w:r>
        <w:rPr>
          <w:rFonts w:hint="eastAsia" w:ascii="仿宋" w:hAnsi="仿宋" w:eastAsia="仿宋" w:cs="仿宋"/>
          <w:kern w:val="0"/>
          <w:sz w:val="24"/>
          <w:lang w:bidi="ar"/>
        </w:rPr>
        <w:t>.甲方签署本协议，即视为知晓并确认无论通过任何渠道购买本产品，均是基于对产品的特点、期限、流动性及相关风险的充分理解和评估所作出的独立判断，由此产生的一切后果，将由甲方自行独立承担。监管有最新规定的，从其规定。</w:t>
      </w:r>
    </w:p>
    <w:p>
      <w:pPr>
        <w:widowControl/>
        <w:spacing w:line="360" w:lineRule="auto"/>
        <w:ind w:firstLine="480"/>
        <w:rPr>
          <w:rFonts w:ascii="仿宋" w:hAnsi="仿宋" w:eastAsia="仿宋" w:cs="仿宋"/>
          <w:kern w:val="0"/>
          <w:sz w:val="24"/>
          <w:lang w:bidi="ar"/>
        </w:rPr>
      </w:pPr>
      <w:r>
        <w:rPr>
          <w:rFonts w:hint="eastAsia" w:ascii="仿宋" w:hAnsi="仿宋" w:eastAsia="仿宋" w:cs="仿宋"/>
          <w:kern w:val="0"/>
          <w:sz w:val="24"/>
          <w:lang w:val="en-US" w:eastAsia="zh-CN" w:bidi="ar"/>
        </w:rPr>
        <w:t>14</w:t>
      </w:r>
      <w:r>
        <w:rPr>
          <w:rFonts w:hint="eastAsia" w:ascii="仿宋" w:hAnsi="仿宋" w:eastAsia="仿宋" w:cs="仿宋"/>
          <w:kern w:val="0"/>
          <w:sz w:val="24"/>
          <w:lang w:bidi="ar"/>
        </w:rPr>
        <w:t>.甲方承诺在产品存续期内，除按照《产品说明书》约定的情形外，不得要求乙方退还已扣划款项或以任何形式清算其持有的理财产品份额，且不得将约定账户销户。</w:t>
      </w:r>
      <w:r>
        <w:rPr>
          <w:rFonts w:hint="eastAsia" w:ascii="仿宋" w:hAnsi="仿宋" w:eastAsia="仿宋" w:cs="仿宋"/>
          <w:kern w:val="0"/>
          <w:sz w:val="24"/>
          <w:szCs w:val="24"/>
          <w:lang w:bidi="ar"/>
        </w:rPr>
        <w:t>代理销售</w:t>
      </w:r>
      <w:r>
        <w:rPr>
          <w:rFonts w:hint="eastAsia" w:ascii="仿宋" w:hAnsi="仿宋" w:eastAsia="仿宋" w:cs="仿宋"/>
          <w:kern w:val="0"/>
          <w:sz w:val="24"/>
          <w:lang w:bidi="ar"/>
        </w:rPr>
        <w:t>机构即为甲方约定账户开户银行的，</w:t>
      </w:r>
      <w:r>
        <w:rPr>
          <w:rFonts w:hint="eastAsia" w:ascii="仿宋" w:hAnsi="仿宋" w:eastAsia="仿宋" w:cs="仿宋"/>
          <w:kern w:val="0"/>
          <w:sz w:val="24"/>
          <w:szCs w:val="24"/>
          <w:lang w:bidi="ar"/>
        </w:rPr>
        <w:t>代理销售</w:t>
      </w:r>
      <w:r>
        <w:rPr>
          <w:rFonts w:hint="eastAsia" w:ascii="仿宋" w:hAnsi="仿宋" w:eastAsia="仿宋" w:cs="仿宋"/>
          <w:kern w:val="0"/>
          <w:sz w:val="24"/>
          <w:lang w:bidi="ar"/>
        </w:rPr>
        <w:t>机构有权拒绝甲方的销户请求并及时告知乙方。</w:t>
      </w:r>
    </w:p>
    <w:p>
      <w:pPr>
        <w:widowControl/>
        <w:spacing w:line="360" w:lineRule="auto"/>
        <w:ind w:firstLine="480"/>
        <w:rPr>
          <w:rFonts w:ascii="仿宋" w:hAnsi="仿宋" w:eastAsia="仿宋" w:cs="仿宋"/>
          <w:kern w:val="0"/>
          <w:sz w:val="24"/>
          <w:lang w:bidi="ar"/>
        </w:rPr>
      </w:pPr>
      <w:r>
        <w:rPr>
          <w:rFonts w:hint="eastAsia" w:ascii="仿宋" w:hAnsi="仿宋" w:eastAsia="仿宋" w:cs="仿宋"/>
          <w:kern w:val="0"/>
          <w:sz w:val="24"/>
          <w:lang w:val="en-US" w:eastAsia="zh-CN" w:bidi="ar"/>
        </w:rPr>
        <w:t>15</w:t>
      </w:r>
      <w:r>
        <w:rPr>
          <w:rFonts w:hint="eastAsia" w:ascii="仿宋" w:hAnsi="仿宋" w:eastAsia="仿宋" w:cs="仿宋"/>
          <w:kern w:val="0"/>
          <w:sz w:val="24"/>
          <w:lang w:bidi="ar"/>
        </w:rPr>
        <w:t>.如因甲方的原因，导致乙方对其他第三方承担赔偿责任，甲方承诺对乙方承担相应的赔偿责任。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16</w:t>
      </w:r>
      <w:r>
        <w:rPr>
          <w:rFonts w:ascii="仿宋" w:hAnsi="仿宋" w:eastAsia="仿宋" w:cs="仿宋"/>
          <w:kern w:val="0"/>
          <w:sz w:val="24"/>
          <w:lang w:bidi="ar"/>
        </w:rPr>
        <w:t>.</w:t>
      </w:r>
      <w:r>
        <w:rPr>
          <w:rFonts w:hint="eastAsia" w:ascii="仿宋" w:hAnsi="仿宋" w:eastAsia="仿宋" w:cs="仿宋"/>
          <w:kern w:val="0"/>
          <w:sz w:val="24"/>
          <w:lang w:bidi="ar"/>
        </w:rPr>
        <w:t>根据《产品说明书》的相关约定，甲方所应享有的其他权利和应履行的其他义务。</w:t>
      </w:r>
    </w:p>
    <w:p>
      <w:pPr>
        <w:widowControl/>
        <w:spacing w:line="360" w:lineRule="auto"/>
        <w:rPr>
          <w:rFonts w:ascii="仿宋" w:hAnsi="仿宋" w:eastAsia="仿宋" w:cs="仿宋"/>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第四条 乙方权利和义务</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1.乙方有权向甲方收取理财产品的相关费用，具体收费项目、条件、标准和方式，在《产品说明书》中载明，</w:t>
      </w:r>
      <w:r>
        <w:rPr>
          <w:rFonts w:hint="eastAsia" w:ascii="仿宋" w:hAnsi="仿宋" w:eastAsia="仿宋" w:cs="仿宋"/>
          <w:b/>
          <w:bCs/>
          <w:kern w:val="0"/>
          <w:sz w:val="24"/>
          <w:lang w:bidi="ar"/>
        </w:rPr>
        <w:t>乙方有权根据《产品说明书》的约定通过信息披露的方式对具体收费项目、条件、标准和方式进行变更。乙方亦有权根据服务项目或服务内容，对服务价格、优惠措施及其生效和终止日期、与价格相关的例外条款和限制性条款、咨询（投诉）的联系方式等信息通过乙方</w:t>
      </w:r>
      <w:r>
        <w:rPr>
          <w:rFonts w:hint="eastAsia" w:ascii="仿宋" w:hAnsi="仿宋" w:eastAsia="仿宋" w:cs="仿宋"/>
          <w:b/>
          <w:bCs/>
          <w:kern w:val="0"/>
          <w:sz w:val="24"/>
          <w:lang w:val="en-US" w:eastAsia="zh-CN" w:bidi="ar"/>
        </w:rPr>
        <w:t>或</w:t>
      </w:r>
      <w:r>
        <w:rPr>
          <w:rFonts w:hint="eastAsia" w:ascii="仿宋" w:hAnsi="仿宋" w:eastAsia="仿宋" w:cs="仿宋"/>
          <w:b/>
          <w:bCs/>
          <w:kern w:val="0"/>
          <w:sz w:val="24"/>
          <w:lang w:bidi="ar"/>
        </w:rPr>
        <w:t>代理销售机构的网点、网站等渠道或乙方在《产品说明书》指定的信息披露场所向甲方进行信息披露。</w:t>
      </w:r>
      <w:r>
        <w:rPr>
          <w:rFonts w:hint="eastAsia" w:ascii="仿宋" w:hAnsi="仿宋" w:eastAsia="仿宋" w:cs="仿宋"/>
          <w:kern w:val="0"/>
          <w:sz w:val="24"/>
          <w:lang w:bidi="ar"/>
        </w:rPr>
        <w:t>该等乙方信息披露内容构成本协议不可分割的一部分，与本协议具有同等效力，甲方应在充分知晓、理解有关信息披露内容后签署本协议，并在签署本协议后持续关注。</w:t>
      </w:r>
    </w:p>
    <w:p>
      <w:pPr>
        <w:spacing w:line="360" w:lineRule="auto"/>
        <w:ind w:firstLine="482"/>
        <w:rPr>
          <w:rFonts w:ascii="仿宋" w:hAnsi="仿宋" w:eastAsia="仿宋" w:cs="仿宋"/>
          <w:b/>
          <w:bCs/>
          <w:sz w:val="24"/>
        </w:rPr>
      </w:pPr>
      <w:r>
        <w:rPr>
          <w:rFonts w:hint="eastAsia" w:ascii="仿宋" w:hAnsi="仿宋" w:eastAsia="仿宋" w:cs="仿宋"/>
          <w:kern w:val="0"/>
          <w:sz w:val="24"/>
          <w:lang w:bidi="ar"/>
        </w:rPr>
        <w:t>2.乙方及/或代理销售机构按照《产品说明书》约定向甲方进行理财产品份额的利益分配并将对应资金划入甲方约定账户后，即视为乙方已向甲方完成利益分配和资金的清算分配。</w:t>
      </w:r>
      <w:r>
        <w:rPr>
          <w:rFonts w:hint="eastAsia" w:ascii="仿宋" w:hAnsi="仿宋" w:eastAsia="仿宋" w:cs="仿宋"/>
          <w:b/>
          <w:bCs/>
          <w:kern w:val="0"/>
          <w:sz w:val="24"/>
          <w:lang w:bidi="ar"/>
        </w:rPr>
        <w:t>因甲方约定账户冻结、挂失、换卡、销户、长期不动户等原因造成账户变更或异常，甲方应及时到乙方</w:t>
      </w:r>
      <w:r>
        <w:rPr>
          <w:rFonts w:hint="eastAsia" w:ascii="仿宋" w:hAnsi="仿宋" w:eastAsia="仿宋" w:cs="仿宋"/>
          <w:b/>
          <w:bCs/>
          <w:kern w:val="0"/>
          <w:sz w:val="24"/>
          <w:lang w:val="en-US" w:eastAsia="zh-CN" w:bidi="ar"/>
        </w:rPr>
        <w:t>或代理销售</w:t>
      </w:r>
      <w:r>
        <w:rPr>
          <w:rFonts w:hint="eastAsia" w:ascii="仿宋" w:hAnsi="仿宋" w:eastAsia="仿宋" w:cs="仿宋"/>
          <w:b/>
          <w:bCs/>
          <w:kern w:val="0"/>
          <w:sz w:val="24"/>
          <w:lang w:bidi="ar"/>
        </w:rPr>
        <w:t>机构处办理变更手续，并经乙方和代理销售机构确认后生效。如因甲方未及时办理变更手续而造成乙方及/或代理销售机构无法向甲方进行正常收益分配和资金清算分配，由此导致甲方损失的由甲方自行承担，乙方不承担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3.乙方应按照《产品说明书》的约定披露产品相关信息。</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4.如果发生本理财产品所投资资产项下义务人违约等情形，</w:t>
      </w:r>
      <w:r>
        <w:rPr>
          <w:rFonts w:hint="eastAsia" w:ascii="仿宋" w:hAnsi="仿宋" w:eastAsia="仿宋" w:cs="仿宋"/>
          <w:b/>
          <w:bCs/>
          <w:kern w:val="0"/>
          <w:sz w:val="24"/>
          <w:lang w:bidi="ar"/>
        </w:rPr>
        <w:t>甲方同意，乙方有权向上述义务人进行追索，追索期间所发生的费用（包括但不限于诉讼费、仲裁费、律师费等全部费用）由理财产品承担，将从追索回来的款项中扣除。若管理人以其固有财产先行垫付的，乙方有权从追索回来的款项中优先扣除。</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5.乙方作为理财产品管理人，全权负责理财产品资金的运用和理财产品资产的管理，</w:t>
      </w:r>
      <w:r>
        <w:rPr>
          <w:rFonts w:hint="eastAsia" w:ascii="仿宋" w:hAnsi="仿宋" w:eastAsia="仿宋" w:cs="仿宋"/>
          <w:b/>
          <w:bCs/>
          <w:kern w:val="0"/>
          <w:sz w:val="24"/>
          <w:lang w:bidi="ar"/>
        </w:rPr>
        <w:t>有权参加与理财产品所投资资产相关的所有会议，并代表理财产品及其全部投资者对相关事项进行表决；乙方有权代表甲方利益，按照法律法规和监管部门相关规定以及与投资相关的法律文件的约定对理财产品投资产生的风险资产进行多种方式的处置，包括但不限于转让、重组、债转股、资产证券化、委外催收、抵债资产收取与处置、破产重整等。甲方对此充分理解并同意该等授权安排。</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6.乙方有权按照法律法规和监管要求，</w:t>
      </w:r>
      <w:r>
        <w:rPr>
          <w:rFonts w:hint="eastAsia" w:ascii="仿宋" w:hAnsi="仿宋" w:eastAsia="仿宋" w:cs="仿宋"/>
          <w:b/>
          <w:bCs/>
          <w:kern w:val="0"/>
          <w:sz w:val="24"/>
          <w:lang w:bidi="ar"/>
        </w:rPr>
        <w:t>报送甲方身份信息及其持有理财产品信息等；在乙方办理本协议项下相关事项所必需的情形下，甲方同意并授权乙方向乙方集团成员、服务机构及其他乙方认为必要的业务合作机构提供乙方获取的甲方信息，范围包括但不限于甲方的身份信息、账户信息等。</w:t>
      </w:r>
      <w:r>
        <w:rPr>
          <w:rFonts w:hint="eastAsia" w:ascii="仿宋" w:hAnsi="仿宋" w:eastAsia="仿宋" w:cs="仿宋"/>
          <w:kern w:val="0"/>
          <w:sz w:val="24"/>
          <w:lang w:bidi="ar"/>
        </w:rPr>
        <w:t>上述第三方将为处理本协议项下事务之目的接触并按照乙方的业务需要以及“最少必须”原则使用甲方信息。乙方承诺将向有关第三方明确其保护甲方信息的职责并要求第三方承担相应保密义务。</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7.除按《产品说明书》约定乙方或甲方享有的提前终止权外，甲方有违约行为时，乙方有权提前终止本协议。</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8.乙方或代理销售机构发现或有合理理由怀疑甲方或其资金存在洗钱、恐怖融资、逃税等嫌疑的，乙方有权提前终止本协议，造成甲方损失的，乙方不承担责任。</w:t>
      </w:r>
    </w:p>
    <w:p>
      <w:pPr>
        <w:spacing w:line="360" w:lineRule="auto"/>
        <w:ind w:firstLine="482"/>
        <w:rPr>
          <w:rFonts w:ascii="仿宋" w:hAnsi="仿宋" w:eastAsia="仿宋" w:cs="仿宋"/>
          <w:kern w:val="0"/>
          <w:sz w:val="24"/>
          <w:lang w:bidi="ar"/>
        </w:rPr>
      </w:pPr>
      <w:bookmarkStart w:id="21" w:name="_Hlk100085418"/>
      <w:r>
        <w:rPr>
          <w:rFonts w:hint="eastAsia" w:ascii="仿宋" w:hAnsi="仿宋" w:eastAsia="仿宋" w:cs="仿宋"/>
          <w:kern w:val="0"/>
          <w:sz w:val="24"/>
          <w:lang w:bidi="ar"/>
        </w:rPr>
        <w:t>9</w:t>
      </w:r>
      <w:r>
        <w:rPr>
          <w:rFonts w:ascii="仿宋" w:hAnsi="仿宋" w:eastAsia="仿宋" w:cs="仿宋"/>
          <w:kern w:val="0"/>
          <w:sz w:val="24"/>
          <w:lang w:bidi="ar"/>
        </w:rPr>
        <w:t>.</w:t>
      </w:r>
      <w:r>
        <w:rPr>
          <w:rFonts w:hint="eastAsia" w:ascii="仿宋" w:hAnsi="仿宋" w:eastAsia="仿宋" w:cs="仿宋"/>
          <w:kern w:val="0"/>
          <w:sz w:val="24"/>
          <w:lang w:bidi="ar"/>
        </w:rPr>
        <w:t>乙方应以诚实信用、勤勉尽责为原则，根据《产品说明书》所载要求管理和运用理财产品资产。</w:t>
      </w:r>
    </w:p>
    <w:bookmarkEnd w:id="21"/>
    <w:p>
      <w:pPr>
        <w:widowControl/>
        <w:spacing w:line="360" w:lineRule="auto"/>
        <w:ind w:firstLine="480"/>
        <w:rPr>
          <w:rFonts w:ascii="仿宋" w:hAnsi="仿宋" w:eastAsia="仿宋" w:cs="仿宋"/>
          <w:kern w:val="0"/>
          <w:sz w:val="24"/>
          <w:lang w:bidi="ar"/>
        </w:rPr>
      </w:pPr>
      <w:bookmarkStart w:id="22" w:name="_Hlk100071245"/>
      <w:r>
        <w:rPr>
          <w:rFonts w:ascii="仿宋" w:hAnsi="仿宋" w:eastAsia="仿宋" w:cs="仿宋"/>
          <w:kern w:val="0"/>
          <w:sz w:val="24"/>
          <w:lang w:bidi="ar"/>
        </w:rPr>
        <w:t>10.</w:t>
      </w:r>
      <w:r>
        <w:rPr>
          <w:rFonts w:hint="eastAsia" w:ascii="仿宋" w:hAnsi="仿宋" w:eastAsia="仿宋" w:cs="仿宋"/>
          <w:kern w:val="0"/>
          <w:sz w:val="24"/>
          <w:lang w:bidi="ar"/>
        </w:rPr>
        <w:t>乙方有义务根据《产品说明书》的相关规定进行理财产品的信息披露。</w:t>
      </w:r>
    </w:p>
    <w:p>
      <w:pPr>
        <w:widowControl/>
        <w:spacing w:line="360" w:lineRule="auto"/>
        <w:ind w:firstLine="480"/>
        <w:rPr>
          <w:rFonts w:ascii="仿宋" w:hAnsi="仿宋" w:eastAsia="仿宋" w:cs="仿宋"/>
          <w:sz w:val="24"/>
        </w:rPr>
      </w:pPr>
      <w:r>
        <w:rPr>
          <w:rFonts w:ascii="仿宋" w:hAnsi="仿宋" w:eastAsia="仿宋" w:cs="仿宋"/>
          <w:kern w:val="0"/>
          <w:sz w:val="24"/>
          <w:lang w:bidi="ar"/>
        </w:rPr>
        <w:t>11.</w:t>
      </w:r>
      <w:r>
        <w:rPr>
          <w:rFonts w:hint="eastAsia" w:ascii="仿宋" w:hAnsi="仿宋" w:eastAsia="仿宋" w:cs="仿宋"/>
          <w:kern w:val="0"/>
          <w:sz w:val="24"/>
          <w:lang w:bidi="ar"/>
        </w:rPr>
        <w:t>乙方有义务根据《产品说明书》的相关规定对甲方的重要信息进行保密。</w:t>
      </w:r>
    </w:p>
    <w:p>
      <w:pPr>
        <w:widowControl/>
        <w:spacing w:line="360" w:lineRule="auto"/>
        <w:ind w:firstLine="480"/>
        <w:rPr>
          <w:rFonts w:ascii="仿宋" w:hAnsi="仿宋" w:eastAsia="仿宋" w:cs="仿宋"/>
          <w:kern w:val="0"/>
          <w:sz w:val="24"/>
          <w:lang w:bidi="ar"/>
        </w:rPr>
      </w:pPr>
      <w:r>
        <w:rPr>
          <w:rFonts w:ascii="仿宋" w:hAnsi="仿宋" w:eastAsia="仿宋" w:cs="仿宋"/>
          <w:kern w:val="0"/>
          <w:sz w:val="24"/>
          <w:lang w:bidi="ar"/>
        </w:rPr>
        <w:t>12</w:t>
      </w:r>
      <w:r>
        <w:rPr>
          <w:rFonts w:hint="eastAsia" w:ascii="仿宋" w:hAnsi="仿宋" w:eastAsia="仿宋" w:cs="仿宋"/>
          <w:kern w:val="0"/>
          <w:sz w:val="24"/>
          <w:lang w:bidi="ar"/>
        </w:rPr>
        <w:t>.根据《产品说明书》的相关约定，乙方所应享有的其他权利和应履行的其他义务。</w:t>
      </w:r>
    </w:p>
    <w:bookmarkEnd w:id="22"/>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第五条 理财产品的投资管理</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1.甲方已清楚知悉并同意本协议项下理财产品的投资管理由乙方负责实施。</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2.乙方按照法律法规和产品说明书的约定诚实信用、谨慎勤勉地实施投资管理行为，以专业技能管理理财产品资产，依法维护理财产品全体投资者的利益。</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3.乙方不对任何理财产品的本金或收益做出任何承诺或保证。</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4.甲方同意乙方依据相关法律法规规定、产品说明书约定或产品投资管理需要选任或委托相关投资管理机构、托管机构等理财投资合作机构；同意乙方以自身名义或理财产品名义签署合同/协议等相关文件；承诺承担乙方履行合同/协议等相关文件产生的法律后果。</w:t>
      </w:r>
    </w:p>
    <w:p>
      <w:pPr>
        <w:widowControl/>
        <w:spacing w:line="360" w:lineRule="auto"/>
        <w:ind w:firstLine="480"/>
        <w:rPr>
          <w:rFonts w:ascii="仿宋" w:hAnsi="仿宋" w:eastAsia="仿宋" w:cs="仿宋"/>
          <w:kern w:val="0"/>
          <w:sz w:val="24"/>
          <w:lang w:bidi="ar"/>
        </w:rPr>
      </w:pPr>
      <w:r>
        <w:rPr>
          <w:rFonts w:hint="eastAsia" w:ascii="仿宋" w:hAnsi="仿宋" w:eastAsia="仿宋" w:cs="仿宋"/>
          <w:kern w:val="0"/>
          <w:sz w:val="24"/>
          <w:lang w:bidi="ar"/>
        </w:rPr>
        <w:t>5.为实现理财产品的投资目标及/或维护理财产品全体投资者的利益，乙方有权行使与投资相关的权利、履行相关义务，有权决定理财产品所投基础资产投资的管理、合同/文件条款变更、赎回、处置与披露等事宜，包括但不限于：有权处理基础资产抵质押、担保/增信等事宜、有权决定基础资产及其底层资产投放的先决条件是否放弃或延后、有权决定基础资产投资的相关罚息/违约金/损害赔偿金的降低或免除、利息的降低或免除、有权决定是否同意基础资产的债务人提前还款或立即还款（含全部及部分）或展期及展期条件、有权决定投后监管的执行等。当理财产品的资产安全受到侵害时或发生本理财产品基础资产项下义务人未按时足额付款等情形，乙方有权以自身名义代表理财产品全体投资者采取诉讼或其他权利救济措施。乙方采取上述行动所产生的费用（包括但不限于诉讼费、仲裁费、律师费等全部费用）和法律后果由理财产品承担，若管理人以其固有财产先行垫付的，乙方有权从追索回来的款项中优先扣除。</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6.甲方同意乙方在产品说明书约定的投资计划（包括但不限于投资范围、投资资产种类、投资比例等内容）内，依据自身的投资决策流程和风险管理机制做出和实施相关投资管理决定。</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7.出现市场情况变化等情况时，乙方可根据需要做出调整产品说明书约定投资计划的决定，并通过产品说明书约定的途径与方式进行披露。甲方应注意及时就所认购/申购产品的信息进行查询。乙方将本着维护理财产品全体投资者利益的原则依据相关法律法规进行投资计划调整。</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第六条 免责条款</w:t>
      </w:r>
    </w:p>
    <w:p>
      <w:pPr>
        <w:widowControl/>
        <w:spacing w:line="360" w:lineRule="auto"/>
        <w:ind w:firstLine="480"/>
        <w:rPr>
          <w:rFonts w:ascii="仿宋" w:hAnsi="仿宋" w:eastAsia="仿宋" w:cs="仿宋"/>
          <w:b/>
          <w:bCs/>
          <w:kern w:val="0"/>
          <w:sz w:val="24"/>
          <w:lang w:bidi="ar"/>
        </w:rPr>
      </w:pPr>
      <w:r>
        <w:rPr>
          <w:rFonts w:hint="eastAsia" w:ascii="仿宋" w:hAnsi="仿宋" w:eastAsia="仿宋" w:cs="仿宋"/>
          <w:b/>
          <w:bCs/>
          <w:kern w:val="0"/>
          <w:sz w:val="24"/>
          <w:lang w:bidi="ar"/>
        </w:rPr>
        <w:t>1.</w:t>
      </w:r>
      <w:r>
        <w:rPr>
          <w:rFonts w:hint="eastAsia" w:ascii="仿宋" w:hAnsi="仿宋" w:eastAsia="仿宋" w:cs="仿宋"/>
          <w:b/>
          <w:bCs/>
          <w:kern w:val="0"/>
          <w:sz w:val="24"/>
          <w:lang w:val="zh-CN" w:bidi="ar"/>
        </w:rPr>
        <w:t xml:space="preserve"> 如因法律颁布或修订、政策变化、监管要求等任一原因，致使乙方提供或维持本合同项下服务不合法、不合规的，乙方有权调整服务内容或不再提供服务，要求甲方提前赎回投资并终止协议。由此导致的甲方损失，乙方不承担责任。</w:t>
      </w:r>
    </w:p>
    <w:p>
      <w:pPr>
        <w:widowControl/>
        <w:spacing w:line="360" w:lineRule="auto"/>
        <w:ind w:firstLine="480"/>
        <w:rPr>
          <w:rFonts w:ascii="仿宋" w:hAnsi="仿宋" w:eastAsia="仿宋" w:cs="仿宋"/>
          <w:b/>
          <w:bCs/>
          <w:kern w:val="0"/>
          <w:sz w:val="24"/>
          <w:lang w:val="zh-CN" w:bidi="ar"/>
        </w:rPr>
      </w:pPr>
      <w:r>
        <w:rPr>
          <w:rFonts w:hint="eastAsia" w:ascii="仿宋" w:hAnsi="仿宋" w:eastAsia="仿宋" w:cs="仿宋"/>
          <w:b/>
          <w:bCs/>
          <w:kern w:val="0"/>
          <w:sz w:val="24"/>
          <w:lang w:bidi="ar"/>
        </w:rPr>
        <w:t xml:space="preserve">2. </w:t>
      </w:r>
      <w:r>
        <w:rPr>
          <w:rFonts w:hint="eastAsia" w:ascii="仿宋" w:hAnsi="仿宋" w:eastAsia="仿宋" w:cs="仿宋"/>
          <w:b/>
          <w:bCs/>
          <w:kern w:val="0"/>
          <w:sz w:val="24"/>
          <w:lang w:val="zh-CN" w:bidi="ar"/>
        </w:rPr>
        <w:t>乙方因不可抗力事件及不可归责于受托方的其他原因导致无法及时办理理财申购、赎回业务的，甲方免除乙方责任，但乙方应采取必要措施尽可能使业务恢复正常运行。协议所称不可抗力是指不能预见、不能避免、不能克服并对当事人造成重大影响的客观情况，包括但不限于自然灾害如洪水、地震、火灾和风暴等以及社会事件如战争、动乱、罢工、政府行为或法律规定及政策变化等。</w:t>
      </w:r>
    </w:p>
    <w:p>
      <w:pPr>
        <w:widowControl/>
        <w:spacing w:line="360" w:lineRule="auto"/>
        <w:ind w:firstLine="480"/>
        <w:rPr>
          <w:rFonts w:ascii="仿宋" w:hAnsi="仿宋" w:eastAsia="仿宋" w:cs="仿宋"/>
          <w:b/>
          <w:bCs/>
          <w:kern w:val="0"/>
          <w:sz w:val="24"/>
          <w:lang w:bidi="ar"/>
        </w:rPr>
      </w:pPr>
      <w:r>
        <w:rPr>
          <w:rFonts w:hint="eastAsia" w:ascii="仿宋" w:hAnsi="仿宋" w:eastAsia="仿宋" w:cs="仿宋"/>
          <w:b/>
          <w:bCs/>
          <w:kern w:val="0"/>
          <w:sz w:val="24"/>
          <w:lang w:val="zh-CN" w:bidi="ar"/>
        </w:rPr>
        <w:t>3. 因有权机关、银行、支付清算机构等依法对甲方理财份额及账户执行冻结或扣划等措施，账户被限制支付、状态异常等原因导致的交易失败及损失等，由甲方自行承担。</w:t>
      </w:r>
    </w:p>
    <w:p>
      <w:pPr>
        <w:widowControl/>
        <w:spacing w:line="360" w:lineRule="auto"/>
        <w:ind w:firstLine="480"/>
        <w:rPr>
          <w:rFonts w:ascii="仿宋" w:hAnsi="仿宋" w:eastAsia="仿宋" w:cs="仿宋"/>
          <w:b/>
          <w:bCs/>
          <w:kern w:val="0"/>
          <w:sz w:val="24"/>
          <w:lang w:val="zh-CN" w:bidi="ar"/>
        </w:rPr>
      </w:pPr>
      <w:r>
        <w:rPr>
          <w:rFonts w:hint="eastAsia" w:ascii="仿宋" w:hAnsi="仿宋" w:eastAsia="仿宋" w:cs="仿宋"/>
          <w:b/>
          <w:bCs/>
          <w:kern w:val="0"/>
          <w:sz w:val="24"/>
          <w:lang w:val="zh-CN" w:bidi="ar"/>
        </w:rPr>
        <w:t>发生前述情形时，乙方将在条件允许的情况下采取必要的、合理的补救措施，以尽力保护甲方利益，减少甲方损失，但乙方不保证甲方的损失因乙方的补救措施而必然减少，且乙方无义务必须采取前述补救措施。</w:t>
      </w:r>
    </w:p>
    <w:p>
      <w:pPr>
        <w:widowControl/>
        <w:spacing w:line="360" w:lineRule="auto"/>
        <w:rPr>
          <w:rFonts w:ascii="仿宋" w:hAnsi="仿宋" w:eastAsia="仿宋" w:cs="仿宋"/>
          <w:b/>
          <w:bCs/>
          <w:kern w:val="0"/>
          <w:sz w:val="24"/>
          <w:lang w:bidi="ar"/>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第七条 法律适用与争议处理</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 xml:space="preserve">1.本协议适用中华人民共和国大陆地区的法律。 </w:t>
      </w:r>
    </w:p>
    <w:p>
      <w:pPr>
        <w:widowControl/>
        <w:spacing w:line="360" w:lineRule="auto"/>
        <w:ind w:firstLine="482" w:firstLineChars="200"/>
        <w:rPr>
          <w:rFonts w:ascii="仿宋" w:hAnsi="仿宋" w:eastAsia="仿宋" w:cs="仿宋"/>
          <w:b/>
          <w:bCs/>
          <w:kern w:val="0"/>
          <w:sz w:val="24"/>
          <w:lang w:bidi="ar"/>
        </w:rPr>
      </w:pPr>
      <w:r>
        <w:rPr>
          <w:rFonts w:hint="eastAsia" w:ascii="仿宋" w:hAnsi="仿宋" w:eastAsia="仿宋" w:cs="仿宋"/>
          <w:b/>
          <w:bCs/>
          <w:kern w:val="0"/>
          <w:sz w:val="24"/>
          <w:lang w:bidi="ar"/>
        </w:rPr>
        <w:t>2.本协议项下及与之有关的一切争议，甲乙双方应首先友好协商解决。协商未达成一致的，任何一方可向乙方所在地法院提起诉讼。</w:t>
      </w:r>
    </w:p>
    <w:p>
      <w:pPr>
        <w:spacing w:line="360" w:lineRule="auto"/>
        <w:ind w:firstLine="482" w:firstLineChars="200"/>
        <w:rPr>
          <w:rFonts w:ascii="仿宋" w:hAnsi="仿宋" w:eastAsia="仿宋" w:cs="仿宋"/>
          <w:b/>
          <w:bCs/>
          <w:kern w:val="0"/>
          <w:sz w:val="24"/>
          <w:lang w:bidi="ar"/>
        </w:rPr>
      </w:pPr>
      <w:r>
        <w:rPr>
          <w:rFonts w:hint="eastAsia" w:ascii="仿宋" w:hAnsi="仿宋" w:eastAsia="仿宋" w:cs="仿宋"/>
          <w:b/>
          <w:bCs/>
          <w:kern w:val="0"/>
          <w:sz w:val="24"/>
          <w:lang w:bidi="ar"/>
        </w:rPr>
        <w:t>3.在协商或诉讼期间，对于本协议不涉及争议部分的条款，合同当事人仍须履行。</w:t>
      </w:r>
    </w:p>
    <w:p>
      <w:pPr>
        <w:spacing w:line="360" w:lineRule="auto"/>
        <w:ind w:firstLine="482" w:firstLineChars="200"/>
        <w:rPr>
          <w:rFonts w:ascii="仿宋" w:hAnsi="仿宋" w:eastAsia="仿宋" w:cs="仿宋"/>
          <w:b/>
          <w:bCs/>
          <w:sz w:val="24"/>
        </w:rPr>
      </w:pPr>
      <w:r>
        <w:rPr>
          <w:rFonts w:hint="eastAsia" w:ascii="仿宋" w:hAnsi="仿宋" w:eastAsia="仿宋" w:cs="仿宋"/>
          <w:b/>
          <w:bCs/>
          <w:sz w:val="24"/>
        </w:rPr>
        <w:t>4.甲方确认其向</w:t>
      </w:r>
      <w:r>
        <w:rPr>
          <w:rFonts w:hint="eastAsia" w:ascii="仿宋" w:hAnsi="仿宋" w:eastAsia="仿宋" w:cs="仿宋"/>
          <w:b/>
          <w:bCs/>
          <w:sz w:val="24"/>
          <w:lang w:val="en-US" w:eastAsia="zh-CN"/>
        </w:rPr>
        <w:t>乙方</w:t>
      </w:r>
      <w:r>
        <w:rPr>
          <w:rFonts w:hint="eastAsia" w:ascii="仿宋" w:hAnsi="仿宋" w:eastAsia="仿宋" w:cs="仿宋"/>
          <w:b/>
          <w:bCs/>
          <w:sz w:val="24"/>
        </w:rPr>
        <w:t>提供的通讯地址、联络方式及电子邮箱适用于本协议项下的通知及一审、二审、再审及执行程序。上述通知方式发生变化，甲方应当及时修改相关预留信息，未修改前，甲方按照原通知方式进行送达的，视为有效送达。未免歧义，双方确认本条款不够成对信息披露相关约定的修改。</w:t>
      </w:r>
    </w:p>
    <w:p>
      <w:pPr>
        <w:widowControl/>
        <w:spacing w:line="360" w:lineRule="auto"/>
        <w:rPr>
          <w:rFonts w:ascii="仿宋" w:hAnsi="仿宋" w:eastAsia="仿宋" w:cs="仿宋"/>
          <w:b/>
          <w:bCs/>
          <w:kern w:val="0"/>
          <w:sz w:val="24"/>
          <w:lang w:bidi="ar"/>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第八条 协议的生效和终止</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1.甲方通过乙方</w:t>
      </w:r>
      <w:r>
        <w:rPr>
          <w:rFonts w:hint="eastAsia" w:ascii="仿宋" w:hAnsi="仿宋" w:eastAsia="仿宋" w:cs="仿宋"/>
          <w:kern w:val="0"/>
          <w:sz w:val="24"/>
          <w:lang w:val="en-US" w:eastAsia="zh-CN" w:bidi="ar"/>
        </w:rPr>
        <w:t>或</w:t>
      </w:r>
      <w:r>
        <w:rPr>
          <w:rFonts w:hint="eastAsia" w:ascii="仿宋" w:hAnsi="仿宋" w:eastAsia="仿宋" w:cs="仿宋"/>
          <w:kern w:val="0"/>
          <w:sz w:val="24"/>
          <w:lang w:bidi="ar"/>
        </w:rPr>
        <w:t>代理销售机构营业网点柜面渠道购买理财产品的，本协议自甲方签署所购买产品对应的理财业务专用凭证、认缴认购或申购资金并经乙方</w:t>
      </w:r>
      <w:r>
        <w:rPr>
          <w:rFonts w:hint="eastAsia" w:ascii="仿宋" w:hAnsi="仿宋" w:eastAsia="仿宋" w:cs="仿宋"/>
          <w:kern w:val="0"/>
          <w:sz w:val="24"/>
          <w:lang w:val="en-US" w:eastAsia="zh-CN" w:bidi="ar"/>
        </w:rPr>
        <w:t>或</w:t>
      </w:r>
      <w:r>
        <w:rPr>
          <w:rFonts w:hint="eastAsia" w:ascii="仿宋" w:hAnsi="仿宋" w:eastAsia="仿宋" w:cs="仿宋"/>
          <w:kern w:val="0"/>
          <w:sz w:val="24"/>
          <w:lang w:bidi="ar"/>
        </w:rPr>
        <w:t>代理销售机构业务系统受理后生效。甲方在乙方</w:t>
      </w:r>
      <w:r>
        <w:rPr>
          <w:rFonts w:hint="eastAsia" w:ascii="仿宋" w:hAnsi="仿宋" w:eastAsia="仿宋" w:cs="仿宋"/>
          <w:kern w:val="0"/>
          <w:sz w:val="24"/>
          <w:lang w:val="en-US" w:eastAsia="zh-CN" w:bidi="ar"/>
        </w:rPr>
        <w:t>或</w:t>
      </w:r>
      <w:r>
        <w:rPr>
          <w:rFonts w:hint="eastAsia" w:ascii="仿宋" w:hAnsi="仿宋" w:eastAsia="仿宋" w:cs="仿宋"/>
          <w:kern w:val="0"/>
          <w:sz w:val="24"/>
          <w:lang w:bidi="ar"/>
        </w:rPr>
        <w:t>代理销售机构网上银行、手机银行、ITM等电子渠道购买理财产品的，本协议自甲方点击同意确认、完成验证手续并购买后生效。</w:t>
      </w:r>
      <w:r>
        <w:rPr>
          <w:rFonts w:hint="eastAsia" w:ascii="仿宋" w:hAnsi="仿宋" w:eastAsia="仿宋" w:cs="仿宋"/>
          <w:b/>
          <w:kern w:val="0"/>
          <w:sz w:val="24"/>
          <w:lang w:bidi="ar"/>
        </w:rPr>
        <w:t>甲方认可线上点击同意具有与书面签署同等的法律效力。</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2.甲方认/申购理财产品失败、乙方或甲方提前终止以及理财产品到期并结清后，本协议自动终止。</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3.除按《产品说明书》约定甲方或乙方享有的提前终止权外，</w:t>
      </w:r>
      <w:r>
        <w:rPr>
          <w:rFonts w:hint="eastAsia" w:ascii="仿宋" w:hAnsi="仿宋" w:eastAsia="仿宋" w:cs="仿宋"/>
          <w:b/>
          <w:bCs/>
          <w:kern w:val="0"/>
          <w:sz w:val="24"/>
          <w:lang w:bidi="ar"/>
        </w:rPr>
        <w:t>甲方有违约行为或交易资金被国家有权机关采取保全措施时，乙方有权提前终止本协议且无需承担任何责任。</w:t>
      </w:r>
    </w:p>
    <w:p>
      <w:pPr>
        <w:widowControl/>
        <w:spacing w:line="360" w:lineRule="auto"/>
        <w:ind w:firstLine="480"/>
        <w:rPr>
          <w:rFonts w:ascii="仿宋" w:hAnsi="仿宋" w:eastAsia="仿宋" w:cs="仿宋"/>
          <w:sz w:val="24"/>
        </w:rPr>
      </w:pPr>
      <w:r>
        <w:rPr>
          <w:rFonts w:hint="eastAsia" w:ascii="仿宋" w:hAnsi="仿宋" w:eastAsia="仿宋" w:cs="仿宋"/>
          <w:b/>
          <w:bCs/>
          <w:kern w:val="0"/>
          <w:sz w:val="24"/>
          <w:lang w:bidi="ar"/>
        </w:rPr>
        <w:t>4.乙方有权不定期对本协议进行更新，并</w:t>
      </w:r>
      <w:r>
        <w:rPr>
          <w:rFonts w:hint="eastAsia" w:ascii="仿宋" w:hAnsi="仿宋" w:eastAsia="仿宋" w:cs="仿宋"/>
          <w:b/>
          <w:bCs/>
          <w:kern w:val="0"/>
          <w:sz w:val="24"/>
          <w:lang w:val="en-US" w:eastAsia="zh-CN" w:bidi="ar"/>
        </w:rPr>
        <w:t>通过公告形式</w:t>
      </w:r>
      <w:r>
        <w:rPr>
          <w:rFonts w:hint="eastAsia" w:ascii="仿宋" w:hAnsi="仿宋" w:eastAsia="仿宋" w:cs="仿宋"/>
          <w:b/>
          <w:bCs/>
          <w:kern w:val="0"/>
          <w:sz w:val="24"/>
          <w:lang w:bidi="ar"/>
        </w:rPr>
        <w:t>在乙方</w:t>
      </w:r>
      <w:r>
        <w:rPr>
          <w:rFonts w:hint="eastAsia" w:ascii="仿宋" w:hAnsi="仿宋" w:eastAsia="仿宋" w:cs="仿宋"/>
          <w:b/>
          <w:bCs/>
          <w:kern w:val="0"/>
          <w:sz w:val="24"/>
          <w:lang w:val="en-US" w:eastAsia="zh-CN" w:bidi="ar"/>
        </w:rPr>
        <w:t>或代理销售</w:t>
      </w:r>
      <w:r>
        <w:rPr>
          <w:rFonts w:hint="eastAsia" w:ascii="仿宋" w:hAnsi="仿宋" w:eastAsia="仿宋" w:cs="仿宋"/>
          <w:b/>
          <w:bCs/>
          <w:kern w:val="0"/>
          <w:sz w:val="24"/>
          <w:lang w:bidi="ar"/>
        </w:rPr>
        <w:t>机构官方渠道</w:t>
      </w:r>
      <w:r>
        <w:rPr>
          <w:rFonts w:hint="eastAsia" w:ascii="仿宋" w:hAnsi="仿宋" w:eastAsia="仿宋" w:cs="仿宋"/>
          <w:b/>
          <w:bCs/>
          <w:sz w:val="24"/>
        </w:rPr>
        <w:t>进行披露。乙方更新本协议并进行披露后，如甲方新购买，或在乙方</w:t>
      </w:r>
      <w:r>
        <w:rPr>
          <w:rFonts w:hint="eastAsia" w:ascii="仿宋" w:hAnsi="仿宋" w:eastAsia="仿宋" w:cs="仿宋"/>
          <w:b/>
          <w:bCs/>
          <w:sz w:val="24"/>
          <w:lang w:val="en-US" w:eastAsia="zh-CN"/>
        </w:rPr>
        <w:t>公告的时间范围内</w:t>
      </w:r>
      <w:r>
        <w:rPr>
          <w:rFonts w:hint="eastAsia" w:ascii="仿宋" w:hAnsi="仿宋" w:eastAsia="仿宋" w:cs="仿宋"/>
          <w:b/>
          <w:bCs/>
          <w:kern w:val="0"/>
          <w:sz w:val="24"/>
          <w:lang w:bidi="ar"/>
        </w:rPr>
        <w:t>继续持有乙方理财产品，则视为甲方完全接受新协议的所有内容。</w:t>
      </w:r>
      <w:r>
        <w:rPr>
          <w:rFonts w:hint="eastAsia" w:ascii="仿宋" w:hAnsi="仿宋" w:eastAsia="仿宋" w:cs="仿宋"/>
          <w:kern w:val="0"/>
          <w:sz w:val="24"/>
          <w:lang w:bidi="ar"/>
        </w:rPr>
        <w:t>如甲方对新协议内容存在异议，应在</w:t>
      </w:r>
      <w:r>
        <w:rPr>
          <w:rFonts w:hint="eastAsia" w:ascii="仿宋" w:hAnsi="仿宋" w:eastAsia="仿宋" w:cs="仿宋"/>
          <w:kern w:val="0"/>
          <w:sz w:val="24"/>
          <w:lang w:val="en-US" w:eastAsia="zh-CN" w:bidi="ar"/>
        </w:rPr>
        <w:t>乙方公告的时间范围内</w:t>
      </w:r>
      <w:r>
        <w:rPr>
          <w:rFonts w:hint="eastAsia" w:ascii="仿宋" w:hAnsi="仿宋" w:eastAsia="仿宋" w:cs="仿宋"/>
          <w:kern w:val="0"/>
          <w:sz w:val="24"/>
          <w:lang w:bidi="ar"/>
        </w:rPr>
        <w:t>全额赎回所持有的该理财产品的全部份额，且不新购买相应的理财产品，此种情况下新协议对甲方不发生效力。</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特别提示：如甲方对乙方产品或服务有任何疑问、意见或建议，可通过拨打乙方</w:t>
      </w:r>
      <w:r>
        <w:rPr>
          <w:rFonts w:hint="eastAsia" w:ascii="仿宋" w:hAnsi="仿宋" w:eastAsia="仿宋" w:cs="仿宋"/>
          <w:b/>
          <w:bCs/>
          <w:kern w:val="0"/>
          <w:sz w:val="24"/>
          <w:lang w:val="en-US" w:eastAsia="zh-CN" w:bidi="ar"/>
        </w:rPr>
        <w:t>或</w:t>
      </w:r>
      <w:r>
        <w:rPr>
          <w:rFonts w:hint="eastAsia" w:ascii="仿宋" w:hAnsi="仿宋" w:eastAsia="仿宋" w:cs="仿宋"/>
          <w:b/>
          <w:bCs/>
          <w:kern w:val="0"/>
          <w:sz w:val="24"/>
          <w:lang w:bidi="ar"/>
        </w:rPr>
        <w:t>代理销售机构客户服务与投诉热线或向乙方</w:t>
      </w:r>
      <w:r>
        <w:rPr>
          <w:rFonts w:hint="eastAsia" w:ascii="仿宋" w:hAnsi="仿宋" w:eastAsia="仿宋" w:cs="仿宋"/>
          <w:b/>
          <w:bCs/>
          <w:kern w:val="0"/>
          <w:sz w:val="24"/>
          <w:lang w:val="en-US" w:eastAsia="zh-CN" w:bidi="ar"/>
        </w:rPr>
        <w:t>或</w:t>
      </w:r>
      <w:r>
        <w:rPr>
          <w:rFonts w:hint="eastAsia" w:ascii="仿宋" w:hAnsi="仿宋" w:eastAsia="仿宋" w:cs="仿宋"/>
          <w:b/>
          <w:bCs/>
          <w:kern w:val="0"/>
          <w:sz w:val="24"/>
          <w:lang w:bidi="ar"/>
        </w:rPr>
        <w:t>代理销售机构的营业网点咨询与反馈。</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甲方承诺：我方已仔细阅读上述所有条款，并已特别注意字体加粗的内容。上银理财有限责任公司已应我方要求对相关条款予以明确说明，我方对所有条款的含义及相应的法律后果已全部通晓并充分理解。我方以合法自有资金自愿购买本理财产品，充分理解产品要素，完全知晓产品风险，愿意并能够承担风险。我方做出的投资决策出于我方自己的判定，乙方不承担责任。</w:t>
      </w:r>
    </w:p>
    <w:p>
      <w:pPr>
        <w:widowControl/>
        <w:spacing w:line="360" w:lineRule="auto"/>
        <w:ind w:firstLine="0"/>
        <w:rPr>
          <w:rFonts w:ascii="仿宋" w:hAnsi="仿宋" w:eastAsia="仿宋" w:cs="仿宋"/>
          <w:sz w:val="24"/>
        </w:rPr>
      </w:pPr>
    </w:p>
    <w:p>
      <w:pPr>
        <w:widowControl/>
        <w:spacing w:line="360" w:lineRule="auto"/>
        <w:rPr>
          <w:rFonts w:ascii="仿宋" w:hAnsi="仿宋" w:eastAsia="仿宋" w:cs="仿宋"/>
          <w:kern w:val="0"/>
          <w:sz w:val="24"/>
          <w:lang w:bidi="ar"/>
        </w:rPr>
      </w:pPr>
      <w:r>
        <w:rPr>
          <w:rFonts w:hint="eastAsia" w:ascii="仿宋" w:hAnsi="仿宋" w:eastAsia="仿宋" w:cs="仿宋"/>
          <w:kern w:val="0"/>
          <w:sz w:val="24"/>
          <w:lang w:bidi="ar"/>
        </w:rPr>
        <w:t>甲方：</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（签字/签章/线上点击确认）</w:t>
      </w:r>
      <w:r>
        <w:rPr>
          <w:rFonts w:hint="eastAsia" w:ascii="仿宋" w:hAnsi="仿宋" w:eastAsia="仿宋" w:cs="仿宋"/>
          <w:kern w:val="0"/>
          <w:sz w:val="24"/>
          <w:lang w:val="en-US" w:eastAsia="zh-CN" w:bidi="ar"/>
        </w:rPr>
        <w:t xml:space="preserve">    </w:t>
      </w:r>
      <w:r>
        <w:rPr>
          <w:rFonts w:hint="eastAsia" w:ascii="仿宋" w:hAnsi="仿宋" w:eastAsia="仿宋" w:cs="仿宋"/>
          <w:kern w:val="0"/>
          <w:sz w:val="24"/>
          <w:lang w:bidi="ar"/>
        </w:rPr>
        <w:t> 乙方：上银理财有限责任公司</w:t>
      </w:r>
    </w:p>
    <w:p>
      <w:pPr>
        <w:widowControl/>
        <w:spacing w:line="360" w:lineRule="auto"/>
        <w:jc w:val="left"/>
        <w:rPr>
          <w:rFonts w:ascii="楷体_GB2312" w:hAnsi="宋体" w:eastAsia="楷体_GB2312"/>
          <w:b/>
          <w:bCs/>
          <w:szCs w:val="21"/>
        </w:rPr>
      </w:pPr>
      <w:r>
        <w:rPr>
          <w:rFonts w:hint="eastAsia" w:ascii="仿宋" w:hAnsi="仿宋" w:eastAsia="仿宋" w:cs="仿宋"/>
          <w:kern w:val="0"/>
          <w:sz w:val="24"/>
          <w:lang w:bidi="ar"/>
        </w:rPr>
        <w:t>签署日期：</w:t>
      </w:r>
      <w:r>
        <w:rPr>
          <w:rFonts w:hint="eastAsia" w:ascii="仿宋" w:hAnsi="仿宋" w:eastAsia="仿宋" w:cs="仿宋"/>
          <w:kern w:val="0"/>
          <w:sz w:val="24"/>
          <w:u w:val="single"/>
          <w:lang w:bidi="ar"/>
        </w:rPr>
        <w:t>  </w:t>
      </w:r>
      <w:r>
        <w:rPr>
          <w:rFonts w:hint="eastAsia" w:ascii="仿宋" w:hAnsi="仿宋" w:eastAsia="仿宋" w:cs="仿宋"/>
          <w:kern w:val="0"/>
          <w:sz w:val="24"/>
          <w:u w:val="single"/>
          <w:lang w:val="en-US" w:eastAsia="zh-CN" w:bidi="ar"/>
        </w:rPr>
        <w:t xml:space="preserve">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年</w:t>
      </w:r>
      <w:r>
        <w:rPr>
          <w:rFonts w:hint="eastAsia" w:ascii="仿宋" w:hAnsi="仿宋" w:eastAsia="仿宋" w:cs="仿宋"/>
          <w:kern w:val="0"/>
          <w:sz w:val="24"/>
          <w:u w:val="single"/>
          <w:lang w:bidi="ar"/>
        </w:rPr>
        <w:t> </w:t>
      </w:r>
      <w:r>
        <w:rPr>
          <w:rFonts w:hint="eastAsia" w:ascii="仿宋" w:hAnsi="仿宋" w:eastAsia="仿宋" w:cs="仿宋"/>
          <w:kern w:val="0"/>
          <w:sz w:val="24"/>
          <w:u w:val="single"/>
          <w:lang w:val="en-US" w:eastAsia="zh-CN" w:bidi="ar"/>
        </w:rPr>
        <w:t xml:space="preserve">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月</w:t>
      </w:r>
      <w:r>
        <w:rPr>
          <w:rFonts w:hint="eastAsia" w:ascii="仿宋" w:hAnsi="仿宋" w:eastAsia="仿宋" w:cs="仿宋"/>
          <w:kern w:val="0"/>
          <w:sz w:val="24"/>
          <w:u w:val="single"/>
          <w:lang w:bidi="ar"/>
        </w:rPr>
        <w:t> </w:t>
      </w:r>
      <w:r>
        <w:rPr>
          <w:rFonts w:hint="eastAsia" w:ascii="仿宋" w:hAnsi="仿宋" w:eastAsia="仿宋" w:cs="仿宋"/>
          <w:kern w:val="0"/>
          <w:sz w:val="24"/>
          <w:u w:val="single"/>
          <w:lang w:val="en-US" w:eastAsia="zh-CN" w:bidi="ar"/>
        </w:rPr>
        <w:t xml:space="preserve">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日</w:t>
      </w:r>
    </w:p>
    <w:p>
      <w:r>
        <w:br w:type="page"/>
      </w:r>
    </w:p>
    <w:p>
      <w:pPr>
        <w:spacing w:line="460" w:lineRule="exact"/>
        <w:outlineLvl w:val="1"/>
        <w:rPr>
          <w:rFonts w:ascii="宋体" w:hAnsi="宋体"/>
          <w:sz w:val="24"/>
          <w:highlight w:val="none"/>
        </w:rPr>
      </w:pPr>
      <w:r>
        <w:rPr>
          <w:rFonts w:hint="eastAsia" w:ascii="宋体" w:hAnsi="宋体"/>
          <w:sz w:val="24"/>
          <w:highlight w:val="none"/>
        </w:rPr>
        <w:t>附件</w:t>
      </w:r>
      <w:r>
        <w:rPr>
          <w:rFonts w:ascii="宋体" w:hAnsi="宋体"/>
          <w:sz w:val="24"/>
          <w:highlight w:val="none"/>
        </w:rPr>
        <w:t>：</w:t>
      </w:r>
    </w:p>
    <w:p>
      <w:pPr>
        <w:keepNext w:val="0"/>
        <w:keepLines w:val="0"/>
        <w:pageBreakBefore w:val="0"/>
        <w:widowControl/>
        <w:kinsoku/>
        <w:wordWrap/>
        <w:overflowPunct/>
        <w:topLinePunct w:val="0"/>
        <w:autoSpaceDE/>
        <w:autoSpaceDN/>
        <w:bidi w:val="0"/>
        <w:adjustRightInd/>
        <w:snapToGrid/>
        <w:spacing w:line="460" w:lineRule="exact"/>
        <w:ind w:firstLine="0" w:firstLineChars="0"/>
        <w:jc w:val="center"/>
        <w:textAlignment w:val="auto"/>
        <w:outlineLvl w:val="0"/>
        <w:rPr>
          <w:rFonts w:ascii="仿宋_GB2312" w:eastAsia="仿宋_GB2312"/>
          <w:b/>
          <w:color w:val="000000"/>
          <w:sz w:val="28"/>
          <w:szCs w:val="28"/>
          <w:highlight w:val="none"/>
        </w:rPr>
      </w:pPr>
      <w:r>
        <w:rPr>
          <w:rFonts w:hint="eastAsia" w:ascii="黑体" w:eastAsia="黑体"/>
          <w:b/>
          <w:sz w:val="32"/>
          <w:szCs w:val="32"/>
          <w:highlight w:val="none"/>
        </w:rPr>
        <w:t>投 资 者 权 益 须 知</w:t>
      </w:r>
    </w:p>
    <w:p>
      <w:pPr>
        <w:spacing w:line="460" w:lineRule="exact"/>
        <w:ind w:firstLine="562" w:firstLineChars="200"/>
        <w:rPr>
          <w:rFonts w:ascii="仿宋_GB2312" w:eastAsia="仿宋_GB2312"/>
          <w:b/>
          <w:color w:val="000000"/>
          <w:sz w:val="28"/>
          <w:szCs w:val="28"/>
          <w:highlight w:val="none"/>
        </w:rPr>
      </w:pPr>
    </w:p>
    <w:p>
      <w:pPr>
        <w:spacing w:line="460" w:lineRule="exact"/>
        <w:ind w:firstLine="562" w:firstLineChars="200"/>
        <w:outlineLvl w:val="0"/>
        <w:rPr>
          <w:rFonts w:ascii="仿宋_GB2312" w:eastAsia="仿宋_GB2312"/>
          <w:b/>
          <w:color w:val="000000"/>
          <w:sz w:val="28"/>
          <w:szCs w:val="28"/>
          <w:highlight w:val="none"/>
        </w:rPr>
      </w:pPr>
      <w:r>
        <w:rPr>
          <w:rFonts w:hint="eastAsia" w:ascii="仿宋_GB2312" w:eastAsia="仿宋_GB2312"/>
          <w:b/>
          <w:color w:val="000000"/>
          <w:sz w:val="28"/>
          <w:szCs w:val="28"/>
          <w:highlight w:val="none"/>
        </w:rPr>
        <w:t>一、</w:t>
      </w:r>
      <w:r>
        <w:rPr>
          <w:rFonts w:hint="eastAsia" w:ascii="仿宋_GB2312" w:eastAsia="仿宋_GB2312"/>
          <w:b/>
          <w:color w:val="000000"/>
          <w:sz w:val="28"/>
          <w:szCs w:val="28"/>
          <w:highlight w:val="none"/>
          <w:lang w:val="en-US" w:eastAsia="zh-CN"/>
        </w:rPr>
        <w:t>办理理财产品的</w:t>
      </w:r>
      <w:r>
        <w:rPr>
          <w:rFonts w:hint="eastAsia" w:ascii="仿宋_GB2312" w:eastAsia="仿宋_GB2312"/>
          <w:b/>
          <w:color w:val="000000"/>
          <w:sz w:val="28"/>
          <w:szCs w:val="28"/>
          <w:highlight w:val="none"/>
        </w:rPr>
        <w:t>流程</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lang w:val="en-US" w:eastAsia="zh-CN"/>
        </w:rPr>
        <w:t>一）</w:t>
      </w:r>
      <w:r>
        <w:rPr>
          <w:rFonts w:hint="eastAsia" w:ascii="仿宋_GB2312" w:eastAsia="仿宋_GB2312"/>
          <w:color w:val="000000"/>
          <w:sz w:val="28"/>
          <w:szCs w:val="28"/>
          <w:highlight w:val="none"/>
        </w:rPr>
        <w:t>提供与有效身份证件户名一致的本人</w:t>
      </w:r>
      <w:r>
        <w:rPr>
          <w:rFonts w:hint="eastAsia" w:ascii="仿宋_GB2312" w:eastAsia="仿宋_GB2312"/>
          <w:color w:val="000000"/>
          <w:sz w:val="28"/>
          <w:szCs w:val="28"/>
          <w:highlight w:val="none"/>
          <w:lang w:val="en-US" w:eastAsia="zh-CN"/>
        </w:rPr>
        <w:t>银行储蓄</w:t>
      </w:r>
      <w:r>
        <w:rPr>
          <w:rFonts w:hint="eastAsia" w:ascii="仿宋_GB2312" w:eastAsia="仿宋_GB2312"/>
          <w:color w:val="000000"/>
          <w:sz w:val="28"/>
          <w:szCs w:val="28"/>
          <w:highlight w:val="none"/>
        </w:rPr>
        <w:t>卡，作为“授权指定账户”用于</w:t>
      </w:r>
      <w:r>
        <w:rPr>
          <w:rFonts w:hint="eastAsia" w:ascii="仿宋_GB2312" w:eastAsia="仿宋_GB2312"/>
          <w:color w:val="000000"/>
          <w:sz w:val="28"/>
          <w:szCs w:val="28"/>
          <w:highlight w:val="none"/>
          <w:lang w:val="en-US" w:eastAsia="zh-CN"/>
        </w:rPr>
        <w:t>本</w:t>
      </w:r>
      <w:r>
        <w:rPr>
          <w:rFonts w:hint="eastAsia" w:ascii="仿宋_GB2312" w:eastAsia="仿宋_GB2312"/>
          <w:color w:val="000000"/>
          <w:sz w:val="28"/>
          <w:szCs w:val="28"/>
          <w:highlight w:val="none"/>
        </w:rPr>
        <w:t>理财产品</w:t>
      </w:r>
      <w:r>
        <w:rPr>
          <w:rFonts w:hint="eastAsia" w:ascii="仿宋_GB2312" w:eastAsia="仿宋_GB2312"/>
          <w:color w:val="000000"/>
          <w:sz w:val="28"/>
          <w:szCs w:val="28"/>
          <w:highlight w:val="none"/>
          <w:lang w:val="en-US" w:eastAsia="zh-CN"/>
        </w:rPr>
        <w:t>的</w:t>
      </w:r>
      <w:r>
        <w:rPr>
          <w:rFonts w:hint="eastAsia" w:ascii="仿宋_GB2312" w:eastAsia="仿宋_GB2312"/>
          <w:color w:val="000000"/>
          <w:sz w:val="28"/>
          <w:szCs w:val="28"/>
          <w:highlight w:val="none"/>
        </w:rPr>
        <w:t>资金的</w:t>
      </w:r>
      <w:r>
        <w:rPr>
          <w:rFonts w:hint="eastAsia" w:ascii="仿宋_GB2312" w:eastAsia="仿宋_GB2312"/>
          <w:color w:val="000000"/>
          <w:sz w:val="28"/>
          <w:szCs w:val="28"/>
          <w:highlight w:val="none"/>
          <w:lang w:val="en-US" w:eastAsia="zh-CN"/>
        </w:rPr>
        <w:t>划转及兑付</w:t>
      </w:r>
      <w:r>
        <w:rPr>
          <w:rFonts w:hint="eastAsia" w:ascii="仿宋_GB2312" w:eastAsia="仿宋_GB2312"/>
          <w:color w:val="000000"/>
          <w:sz w:val="28"/>
          <w:szCs w:val="28"/>
          <w:highlight w:val="none"/>
        </w:rPr>
        <w:t>；</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lang w:val="en-US" w:eastAsia="zh-CN"/>
        </w:rPr>
        <w:t>二）接受并完成代销机构对您的风险承受能力评估，并根据风险评估结果选择合适的理财产品</w:t>
      </w:r>
      <w:r>
        <w:rPr>
          <w:rFonts w:hint="eastAsia" w:ascii="仿宋_GB2312" w:eastAsia="仿宋_GB2312"/>
          <w:color w:val="000000"/>
          <w:sz w:val="28"/>
          <w:szCs w:val="28"/>
          <w:highlight w:val="none"/>
        </w:rPr>
        <w:t>；</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lang w:val="en-US" w:eastAsia="zh-CN"/>
        </w:rPr>
        <w:t>三）仔细</w:t>
      </w:r>
      <w:r>
        <w:rPr>
          <w:rFonts w:hint="eastAsia" w:ascii="仿宋_GB2312" w:eastAsia="仿宋_GB2312"/>
          <w:color w:val="000000"/>
          <w:sz w:val="28"/>
          <w:szCs w:val="28"/>
          <w:highlight w:val="none"/>
        </w:rPr>
        <w:t>阅读并确认产品说明书、风险揭示书、投资者权益须知、</w:t>
      </w:r>
      <w:r>
        <w:rPr>
          <w:rFonts w:hint="eastAsia" w:ascii="仿宋_GB2312" w:eastAsia="仿宋_GB2312"/>
          <w:color w:val="000000"/>
          <w:sz w:val="28"/>
          <w:szCs w:val="28"/>
          <w:highlight w:val="none"/>
          <w:lang w:val="en-US" w:eastAsia="zh-CN"/>
        </w:rPr>
        <w:t>投资协议书、代理销售</w:t>
      </w:r>
      <w:r>
        <w:rPr>
          <w:rFonts w:hint="eastAsia" w:ascii="仿宋_GB2312" w:eastAsia="仿宋_GB2312"/>
          <w:color w:val="000000"/>
          <w:sz w:val="28"/>
          <w:szCs w:val="28"/>
          <w:highlight w:val="none"/>
        </w:rPr>
        <w:t>协议书</w:t>
      </w:r>
      <w:r>
        <w:rPr>
          <w:rFonts w:hint="eastAsia" w:ascii="仿宋_GB2312" w:eastAsia="仿宋_GB2312"/>
          <w:color w:val="000000"/>
          <w:sz w:val="28"/>
          <w:szCs w:val="28"/>
          <w:highlight w:val="none"/>
          <w:lang w:val="en-US" w:eastAsia="zh-CN"/>
        </w:rPr>
        <w:t>以及其他有关文件（如有），签署相关销售文件，并办理购买手续。</w:t>
      </w:r>
    </w:p>
    <w:p>
      <w:pPr>
        <w:spacing w:line="460" w:lineRule="exact"/>
        <w:ind w:firstLine="562" w:firstLineChars="200"/>
        <w:outlineLvl w:val="9"/>
        <w:rPr>
          <w:rFonts w:ascii="仿宋_GB2312" w:eastAsia="仿宋_GB2312"/>
          <w:b/>
          <w:color w:val="000000"/>
          <w:sz w:val="28"/>
          <w:szCs w:val="28"/>
          <w:highlight w:val="none"/>
        </w:rPr>
      </w:pPr>
      <w:r>
        <w:rPr>
          <w:rFonts w:hint="eastAsia" w:ascii="仿宋_GB2312" w:eastAsia="仿宋_GB2312"/>
          <w:b/>
          <w:color w:val="000000"/>
          <w:sz w:val="28"/>
          <w:szCs w:val="28"/>
          <w:highlight w:val="none"/>
          <w:lang w:val="en-US" w:eastAsia="zh-CN"/>
        </w:rPr>
        <w:t>二</w:t>
      </w:r>
      <w:r>
        <w:rPr>
          <w:rFonts w:hint="eastAsia" w:ascii="仿宋_GB2312" w:eastAsia="仿宋_GB2312"/>
          <w:b/>
          <w:color w:val="000000"/>
          <w:sz w:val="28"/>
          <w:szCs w:val="28"/>
          <w:highlight w:val="none"/>
        </w:rPr>
        <w:t>、风险承受能力评估流程、评级具体含义以及适合购买的理财产品</w:t>
      </w:r>
    </w:p>
    <w:p>
      <w:pPr>
        <w:spacing w:line="460" w:lineRule="exact"/>
        <w:ind w:firstLine="560" w:firstLineChars="200"/>
        <w:outlineLvl w:val="1"/>
        <w:rPr>
          <w:rFonts w:ascii="仿宋_GB2312" w:eastAsia="仿宋_GB2312"/>
          <w:color w:val="000000"/>
          <w:sz w:val="28"/>
          <w:szCs w:val="28"/>
          <w:highlight w:val="none"/>
        </w:rPr>
      </w:pPr>
      <w:r>
        <w:rPr>
          <w:rFonts w:hint="eastAsia" w:ascii="仿宋_GB2312" w:eastAsia="仿宋_GB2312"/>
          <w:color w:val="000000"/>
          <w:sz w:val="28"/>
          <w:szCs w:val="28"/>
          <w:highlight w:val="none"/>
        </w:rPr>
        <w:t>（一）风险承受能力评估流程</w:t>
      </w:r>
    </w:p>
    <w:p>
      <w:pPr>
        <w:spacing w:line="460" w:lineRule="exact"/>
        <w:ind w:firstLine="560" w:firstLineChars="200"/>
        <w:outlineLvl w:val="2"/>
        <w:rPr>
          <w:rFonts w:ascii="仿宋_GB2312" w:eastAsia="仿宋_GB2312"/>
          <w:color w:val="000000"/>
          <w:sz w:val="28"/>
          <w:szCs w:val="28"/>
          <w:highlight w:val="none"/>
        </w:rPr>
      </w:pPr>
      <w:r>
        <w:rPr>
          <w:rFonts w:hint="eastAsia" w:ascii="仿宋_GB2312" w:eastAsia="仿宋_GB2312"/>
          <w:color w:val="000000"/>
          <w:sz w:val="28"/>
          <w:szCs w:val="28"/>
          <w:highlight w:val="none"/>
        </w:rPr>
        <w:t>1、您首次购买理财产品时风险评估流程</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rPr>
        <w:t>（1）填写</w:t>
      </w:r>
      <w:r>
        <w:rPr>
          <w:rFonts w:hint="eastAsia" w:ascii="仿宋_GB2312" w:eastAsia="仿宋_GB2312"/>
          <w:color w:val="000000"/>
          <w:sz w:val="28"/>
          <w:szCs w:val="28"/>
          <w:highlight w:val="none"/>
          <w:lang w:val="en-US" w:eastAsia="zh-CN"/>
        </w:rPr>
        <w:t>代销机构</w:t>
      </w:r>
      <w:r>
        <w:rPr>
          <w:rFonts w:hint="eastAsia" w:ascii="仿宋_GB2312" w:eastAsia="仿宋_GB2312"/>
          <w:color w:val="000000"/>
          <w:sz w:val="28"/>
          <w:szCs w:val="28"/>
          <w:highlight w:val="none"/>
        </w:rPr>
        <w:t>个人客户风险评估问卷，得出投资风险评估结果（即客户类型）及适合度匹配结果。</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rPr>
        <w:t>（2）对</w:t>
      </w:r>
      <w:r>
        <w:rPr>
          <w:rFonts w:hint="eastAsia" w:ascii="仿宋_GB2312" w:eastAsia="仿宋_GB2312"/>
          <w:color w:val="000000"/>
          <w:sz w:val="28"/>
          <w:szCs w:val="28"/>
          <w:highlight w:val="none"/>
          <w:lang w:val="en-US" w:eastAsia="zh-CN"/>
        </w:rPr>
        <w:t>代销机构</w:t>
      </w:r>
      <w:r>
        <w:rPr>
          <w:rFonts w:hint="eastAsia" w:ascii="仿宋_GB2312" w:eastAsia="仿宋_GB2312"/>
          <w:color w:val="000000"/>
          <w:sz w:val="28"/>
          <w:szCs w:val="28"/>
          <w:highlight w:val="none"/>
        </w:rPr>
        <w:t>个人客户风险评估结果确认书进行确认。</w:t>
      </w:r>
    </w:p>
    <w:p>
      <w:pPr>
        <w:spacing w:line="460" w:lineRule="exact"/>
        <w:ind w:firstLine="560" w:firstLineChars="200"/>
        <w:outlineLvl w:val="2"/>
        <w:rPr>
          <w:rFonts w:ascii="仿宋_GB2312" w:eastAsia="仿宋_GB2312"/>
          <w:color w:val="000000"/>
          <w:sz w:val="28"/>
          <w:szCs w:val="28"/>
          <w:highlight w:val="none"/>
        </w:rPr>
      </w:pPr>
      <w:r>
        <w:rPr>
          <w:rFonts w:hint="eastAsia" w:ascii="仿宋_GB2312" w:eastAsia="仿宋_GB2312"/>
          <w:color w:val="000000"/>
          <w:sz w:val="28"/>
          <w:szCs w:val="28"/>
          <w:highlight w:val="none"/>
        </w:rPr>
        <w:t>2、风险评估有效期内再次评估流程</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rPr>
        <w:t>在风险评估有效期内（风险评估后一年以内），若您再次购买理财产品，如您的财务状况无变化无需重新进行风险评估，仅需在</w:t>
      </w:r>
      <w:r>
        <w:rPr>
          <w:rFonts w:hint="eastAsia" w:ascii="仿宋_GB2312" w:eastAsia="仿宋_GB2312"/>
          <w:color w:val="000000"/>
          <w:sz w:val="28"/>
          <w:szCs w:val="28"/>
          <w:highlight w:val="none"/>
          <w:lang w:val="en-US" w:eastAsia="zh-CN"/>
        </w:rPr>
        <w:t>代销机构线下营业场所/电子渠道</w:t>
      </w:r>
      <w:r>
        <w:rPr>
          <w:rFonts w:hint="eastAsia" w:ascii="仿宋_GB2312" w:eastAsia="仿宋_GB2312"/>
          <w:color w:val="000000"/>
          <w:sz w:val="28"/>
          <w:szCs w:val="28"/>
          <w:highlight w:val="none"/>
        </w:rPr>
        <w:t>对风险评估结果与产品适合度匹配进行确认即可；如您的财务状况发生变化需要重新进行风险评估，则需重新填写</w:t>
      </w:r>
      <w:r>
        <w:rPr>
          <w:rFonts w:hint="eastAsia" w:ascii="仿宋_GB2312" w:eastAsia="仿宋_GB2312"/>
          <w:color w:val="000000"/>
          <w:sz w:val="28"/>
          <w:szCs w:val="28"/>
          <w:highlight w:val="none"/>
          <w:lang w:val="en-US" w:eastAsia="zh-CN"/>
        </w:rPr>
        <w:t>代销机构</w:t>
      </w:r>
      <w:r>
        <w:rPr>
          <w:rFonts w:hint="eastAsia" w:ascii="仿宋_GB2312" w:eastAsia="仿宋_GB2312"/>
          <w:color w:val="000000"/>
          <w:sz w:val="28"/>
          <w:szCs w:val="28"/>
          <w:highlight w:val="none"/>
        </w:rPr>
        <w:t>个人客户风险评估问卷，得出投资风险评估结果（即客户类型）及适合度匹配结果，并对</w:t>
      </w:r>
      <w:r>
        <w:rPr>
          <w:rFonts w:hint="eastAsia" w:ascii="仿宋_GB2312" w:eastAsia="仿宋_GB2312"/>
          <w:color w:val="000000"/>
          <w:sz w:val="28"/>
          <w:szCs w:val="28"/>
          <w:highlight w:val="none"/>
          <w:lang w:val="en-US" w:eastAsia="zh-CN"/>
        </w:rPr>
        <w:t>代销机构</w:t>
      </w:r>
      <w:r>
        <w:rPr>
          <w:rFonts w:hint="eastAsia" w:ascii="仿宋_GB2312" w:eastAsia="仿宋_GB2312"/>
          <w:color w:val="000000"/>
          <w:sz w:val="28"/>
          <w:szCs w:val="28"/>
          <w:highlight w:val="none"/>
        </w:rPr>
        <w:t>个人客户风险评估结果确认书进行确认。</w:t>
      </w:r>
    </w:p>
    <w:p>
      <w:pPr>
        <w:spacing w:line="460" w:lineRule="exact"/>
        <w:ind w:firstLine="560" w:firstLineChars="200"/>
        <w:outlineLvl w:val="2"/>
        <w:rPr>
          <w:rFonts w:ascii="仿宋_GB2312" w:eastAsia="仿宋_GB2312"/>
          <w:color w:val="000000"/>
          <w:sz w:val="28"/>
          <w:szCs w:val="28"/>
          <w:highlight w:val="none"/>
        </w:rPr>
      </w:pPr>
      <w:r>
        <w:rPr>
          <w:rFonts w:hint="eastAsia" w:ascii="仿宋_GB2312" w:eastAsia="仿宋_GB2312"/>
          <w:color w:val="000000"/>
          <w:sz w:val="28"/>
          <w:szCs w:val="28"/>
          <w:highlight w:val="none"/>
        </w:rPr>
        <w:t>3、风险评估有效期过后再次评估流程</w:t>
      </w:r>
    </w:p>
    <w:p>
      <w:pPr>
        <w:spacing w:line="460" w:lineRule="exact"/>
        <w:ind w:firstLine="562" w:firstLineChars="200"/>
        <w:rPr>
          <w:rFonts w:ascii="仿宋_GB2312" w:eastAsia="仿宋_GB2312"/>
          <w:b/>
          <w:bCs/>
          <w:color w:val="000000"/>
          <w:sz w:val="28"/>
          <w:szCs w:val="28"/>
          <w:highlight w:val="none"/>
        </w:rPr>
      </w:pPr>
      <w:r>
        <w:rPr>
          <w:rFonts w:hint="eastAsia" w:ascii="仿宋_GB2312" w:eastAsia="仿宋_GB2312"/>
          <w:b/>
          <w:bCs/>
          <w:color w:val="000000"/>
          <w:sz w:val="28"/>
          <w:szCs w:val="28"/>
          <w:highlight w:val="none"/>
        </w:rPr>
        <w:t>在风险评估有效期过后（风险评估一年以后），若您再次购买理财产品，需填写</w:t>
      </w:r>
      <w:r>
        <w:rPr>
          <w:rFonts w:hint="eastAsia" w:ascii="仿宋_GB2312" w:eastAsia="仿宋_GB2312"/>
          <w:b/>
          <w:bCs/>
          <w:color w:val="000000"/>
          <w:sz w:val="28"/>
          <w:szCs w:val="28"/>
          <w:highlight w:val="none"/>
          <w:lang w:val="en-US" w:eastAsia="zh-CN"/>
        </w:rPr>
        <w:t>代销机构</w:t>
      </w:r>
      <w:r>
        <w:rPr>
          <w:rFonts w:hint="eastAsia" w:ascii="仿宋_GB2312" w:eastAsia="仿宋_GB2312"/>
          <w:b/>
          <w:bCs/>
          <w:color w:val="000000"/>
          <w:sz w:val="28"/>
          <w:szCs w:val="28"/>
          <w:highlight w:val="none"/>
        </w:rPr>
        <w:t>个人客户风险评估问卷，得出投资风险评估结果（即客户类型）及适合度匹配结果并对</w:t>
      </w:r>
      <w:r>
        <w:rPr>
          <w:rFonts w:hint="eastAsia" w:ascii="仿宋_GB2312" w:eastAsia="仿宋_GB2312"/>
          <w:b/>
          <w:bCs/>
          <w:color w:val="000000"/>
          <w:sz w:val="28"/>
          <w:szCs w:val="28"/>
          <w:highlight w:val="none"/>
          <w:lang w:val="en-US" w:eastAsia="zh-CN"/>
        </w:rPr>
        <w:t>代销机构</w:t>
      </w:r>
      <w:r>
        <w:rPr>
          <w:rFonts w:hint="eastAsia" w:ascii="仿宋_GB2312" w:eastAsia="仿宋_GB2312"/>
          <w:b/>
          <w:bCs/>
          <w:color w:val="000000"/>
          <w:sz w:val="28"/>
          <w:szCs w:val="28"/>
          <w:highlight w:val="none"/>
        </w:rPr>
        <w:t>个人客户风险评估结果确认书进行确认。</w:t>
      </w:r>
    </w:p>
    <w:p>
      <w:pPr>
        <w:spacing w:line="460" w:lineRule="exact"/>
        <w:ind w:firstLine="560" w:firstLineChars="200"/>
        <w:outlineLvl w:val="1"/>
        <w:rPr>
          <w:rFonts w:ascii="仿宋_GB2312" w:eastAsia="仿宋_GB2312"/>
          <w:color w:val="000000"/>
          <w:sz w:val="28"/>
          <w:szCs w:val="28"/>
          <w:highlight w:val="none"/>
        </w:rPr>
      </w:pPr>
      <w:r>
        <w:rPr>
          <w:rFonts w:hint="eastAsia" w:ascii="仿宋_GB2312" w:eastAsia="仿宋_GB2312"/>
          <w:color w:val="000000"/>
          <w:sz w:val="28"/>
          <w:szCs w:val="28"/>
          <w:highlight w:val="none"/>
        </w:rPr>
        <w:t>（二）评级具体含义以及适合购买的理财产品</w:t>
      </w:r>
    </w:p>
    <w:p>
      <w:pPr>
        <w:spacing w:line="460" w:lineRule="exact"/>
        <w:ind w:firstLine="560" w:firstLineChars="200"/>
        <w:rPr>
          <w:rFonts w:hint="eastAsia" w:ascii="仿宋_GB2312" w:eastAsia="仿宋_GB2312"/>
          <w:sz w:val="28"/>
          <w:szCs w:val="28"/>
          <w:highlight w:val="none"/>
        </w:rPr>
      </w:pPr>
      <w:r>
        <w:rPr>
          <w:rFonts w:hint="eastAsia" w:ascii="仿宋_GB2312" w:eastAsia="仿宋_GB2312"/>
          <w:color w:val="000000"/>
          <w:sz w:val="28"/>
          <w:szCs w:val="28"/>
          <w:highlight w:val="none"/>
          <w:lang w:val="en-US" w:eastAsia="zh-CN"/>
        </w:rPr>
        <w:t>代销机构</w:t>
      </w:r>
      <w:r>
        <w:rPr>
          <w:rFonts w:hint="eastAsia" w:ascii="仿宋_GB2312" w:eastAsia="仿宋_GB2312"/>
          <w:color w:val="000000"/>
          <w:sz w:val="28"/>
          <w:szCs w:val="28"/>
          <w:highlight w:val="none"/>
        </w:rPr>
        <w:t>对客户类型及可以购买的产品类型分为以下</w:t>
      </w:r>
      <w:r>
        <w:rPr>
          <w:rFonts w:hint="eastAsia" w:ascii="仿宋_GB2312" w:eastAsia="仿宋_GB2312"/>
          <w:color w:val="000000"/>
          <w:sz w:val="28"/>
          <w:szCs w:val="28"/>
          <w:highlight w:val="none"/>
          <w:lang w:val="en-US" w:eastAsia="zh-CN"/>
        </w:rPr>
        <w:t>五</w:t>
      </w:r>
      <w:r>
        <w:rPr>
          <w:rFonts w:hint="eastAsia" w:ascii="仿宋_GB2312" w:eastAsia="仿宋_GB2312"/>
          <w:color w:val="000000"/>
          <w:sz w:val="28"/>
          <w:szCs w:val="28"/>
          <w:highlight w:val="none"/>
        </w:rPr>
        <w:t>类</w:t>
      </w:r>
      <w:r>
        <w:rPr>
          <w:rFonts w:hint="eastAsia" w:ascii="仿宋_GB2312" w:eastAsia="仿宋_GB2312"/>
          <w:sz w:val="28"/>
          <w:szCs w:val="28"/>
          <w:highlight w:val="none"/>
        </w:rPr>
        <w:t>：</w:t>
      </w:r>
    </w:p>
    <w:p>
      <w:pPr>
        <w:spacing w:line="460" w:lineRule="exact"/>
        <w:ind w:firstLine="560" w:firstLineChars="200"/>
        <w:rPr>
          <w:rFonts w:hint="eastAsia" w:ascii="仿宋_GB2312" w:eastAsia="仿宋_GB2312"/>
          <w:sz w:val="28"/>
          <w:szCs w:val="28"/>
          <w:highlight w:val="none"/>
        </w:rPr>
      </w:pPr>
    </w:p>
    <w:tbl>
      <w:tblPr>
        <w:tblStyle w:val="10"/>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5"/>
        <w:gridCol w:w="1492"/>
        <w:gridCol w:w="1624"/>
        <w:gridCol w:w="1620"/>
        <w:gridCol w:w="1620"/>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1905" w:type="dxa"/>
            <w:tcBorders>
              <w:tl2br w:val="single" w:color="auto" w:sz="4" w:space="0"/>
            </w:tcBorders>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right"/>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产品风险等级</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投资者</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sz w:val="21"/>
                <w:szCs w:val="21"/>
                <w:highlight w:val="none"/>
              </w:rPr>
            </w:pPr>
            <w:r>
              <w:rPr>
                <w:rFonts w:hint="eastAsia" w:ascii="仿宋" w:hAnsi="仿宋" w:eastAsia="仿宋" w:cs="仿宋"/>
                <w:b/>
                <w:sz w:val="21"/>
                <w:szCs w:val="21"/>
                <w:highlight w:val="none"/>
              </w:rPr>
              <w:t>风险类型</w:t>
            </w:r>
          </w:p>
        </w:tc>
        <w:tc>
          <w:tcPr>
            <w:tcW w:w="1492" w:type="dxa"/>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低风险</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（一级风险，R1）</w:t>
            </w:r>
          </w:p>
        </w:tc>
        <w:tc>
          <w:tcPr>
            <w:tcW w:w="1624" w:type="dxa"/>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lang w:val="en-US" w:eastAsia="zh-CN"/>
              </w:rPr>
              <w:t>较</w:t>
            </w:r>
            <w:r>
              <w:rPr>
                <w:rFonts w:hint="eastAsia" w:ascii="仿宋" w:hAnsi="仿宋" w:eastAsia="仿宋" w:cs="仿宋"/>
                <w:b/>
                <w:sz w:val="21"/>
                <w:szCs w:val="21"/>
                <w:highlight w:val="none"/>
              </w:rPr>
              <w:t>低风险</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（二级风险，R2）</w:t>
            </w:r>
          </w:p>
        </w:tc>
        <w:tc>
          <w:tcPr>
            <w:tcW w:w="1620" w:type="dxa"/>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lang w:val="en-US" w:eastAsia="zh-CN"/>
              </w:rPr>
              <w:t>中等</w:t>
            </w:r>
            <w:r>
              <w:rPr>
                <w:rFonts w:hint="eastAsia" w:ascii="仿宋" w:hAnsi="仿宋" w:eastAsia="仿宋" w:cs="仿宋"/>
                <w:b/>
                <w:sz w:val="21"/>
                <w:szCs w:val="21"/>
                <w:highlight w:val="none"/>
              </w:rPr>
              <w:t>风险</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（三级风险，R3）</w:t>
            </w:r>
          </w:p>
        </w:tc>
        <w:tc>
          <w:tcPr>
            <w:tcW w:w="1620" w:type="dxa"/>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较高风险</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（四级风险，R4）</w:t>
            </w:r>
          </w:p>
        </w:tc>
        <w:tc>
          <w:tcPr>
            <w:tcW w:w="1515" w:type="dxa"/>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高风险</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（五级风险，R5）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905" w:type="dxa"/>
            <w:vAlign w:val="center"/>
          </w:tcPr>
          <w:p>
            <w:pPr>
              <w:keepNext w:val="0"/>
              <w:keepLines w:val="0"/>
              <w:pageBreakBefore w:val="0"/>
              <w:widowControl w:val="0"/>
              <w:kinsoku/>
              <w:wordWrap/>
              <w:overflowPunct/>
              <w:topLinePunct w:val="0"/>
              <w:autoSpaceDE/>
              <w:autoSpaceDN/>
              <w:bidi w:val="0"/>
              <w:adjustRightInd w:val="0"/>
              <w:spacing w:line="360" w:lineRule="auto"/>
              <w:jc w:val="center"/>
              <w:textAlignment w:val="baseline"/>
              <w:outlineLvl w:val="0"/>
              <w:rPr>
                <w:rFonts w:hint="eastAsia" w:ascii="仿宋" w:hAnsi="仿宋" w:eastAsia="仿宋" w:cs="仿宋"/>
                <w:b/>
                <w:kern w:val="2"/>
                <w:sz w:val="21"/>
                <w:szCs w:val="21"/>
                <w:highlight w:val="none"/>
                <w:lang w:val="en-US" w:eastAsia="zh-CN" w:bidi="ar-SA"/>
              </w:rPr>
            </w:pPr>
            <w:r>
              <w:rPr>
                <w:rFonts w:hint="eastAsia" w:ascii="仿宋" w:hAnsi="仿宋" w:eastAsia="仿宋" w:cs="仿宋"/>
                <w:b/>
                <w:kern w:val="2"/>
                <w:sz w:val="21"/>
                <w:szCs w:val="21"/>
                <w:highlight w:val="none"/>
                <w:lang w:val="en-US" w:eastAsia="zh-CN" w:bidi="ar-SA"/>
              </w:rPr>
              <w:t>进取型</w:t>
            </w:r>
          </w:p>
        </w:tc>
        <w:tc>
          <w:tcPr>
            <w:tcW w:w="1492" w:type="dxa"/>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szCs w:val="21"/>
                <w:highlight w:val="none"/>
              </w:rPr>
            </w:pPr>
            <w:r>
              <w:rPr>
                <w:rFonts w:hint="eastAsia" w:ascii="仿宋" w:hAnsi="仿宋" w:eastAsia="仿宋" w:cs="仿宋"/>
                <w:kern w:val="0"/>
                <w:szCs w:val="21"/>
                <w:highlight w:val="none"/>
              </w:rPr>
              <w:t>适合</w:t>
            </w:r>
          </w:p>
        </w:tc>
        <w:tc>
          <w:tcPr>
            <w:tcW w:w="1624" w:type="dxa"/>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szCs w:val="21"/>
                <w:highlight w:val="none"/>
              </w:rPr>
            </w:pPr>
            <w:r>
              <w:rPr>
                <w:rFonts w:hint="eastAsia" w:ascii="仿宋" w:hAnsi="仿宋" w:eastAsia="仿宋" w:cs="仿宋"/>
                <w:kern w:val="0"/>
                <w:szCs w:val="21"/>
                <w:highlight w:val="none"/>
              </w:rPr>
              <w:t>适合</w:t>
            </w:r>
          </w:p>
        </w:tc>
        <w:tc>
          <w:tcPr>
            <w:tcW w:w="1620" w:type="dxa"/>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szCs w:val="21"/>
                <w:highlight w:val="none"/>
              </w:rPr>
            </w:pPr>
            <w:r>
              <w:rPr>
                <w:rFonts w:hint="eastAsia" w:ascii="仿宋" w:hAnsi="仿宋" w:eastAsia="仿宋" w:cs="仿宋"/>
                <w:kern w:val="0"/>
                <w:szCs w:val="21"/>
                <w:highlight w:val="none"/>
              </w:rPr>
              <w:t>适合</w:t>
            </w:r>
          </w:p>
        </w:tc>
        <w:tc>
          <w:tcPr>
            <w:tcW w:w="1620" w:type="dxa"/>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szCs w:val="21"/>
                <w:highlight w:val="none"/>
              </w:rPr>
            </w:pPr>
            <w:r>
              <w:rPr>
                <w:rFonts w:hint="eastAsia" w:ascii="仿宋" w:hAnsi="仿宋" w:eastAsia="仿宋" w:cs="仿宋"/>
                <w:kern w:val="0"/>
                <w:szCs w:val="21"/>
                <w:highlight w:val="none"/>
              </w:rPr>
              <w:t>适合</w:t>
            </w:r>
          </w:p>
        </w:tc>
        <w:tc>
          <w:tcPr>
            <w:tcW w:w="1515" w:type="dxa"/>
            <w:tcBorders>
              <w:bottom w:val="single" w:color="auto" w:sz="4" w:space="0"/>
            </w:tcBorders>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center"/>
              <w:textAlignment w:val="auto"/>
              <w:rPr>
                <w:rFonts w:hint="eastAsia" w:ascii="仿宋" w:hAnsi="仿宋" w:eastAsia="仿宋" w:cs="仿宋"/>
                <w:sz w:val="21"/>
                <w:szCs w:val="21"/>
                <w:highlight w:val="none"/>
              </w:rPr>
            </w:pPr>
            <w:r>
              <w:rPr>
                <w:rFonts w:hint="eastAsia" w:ascii="仿宋" w:hAnsi="仿宋" w:eastAsia="仿宋" w:cs="仿宋"/>
                <w:kern w:val="0"/>
                <w:sz w:val="21"/>
                <w:szCs w:val="21"/>
                <w:highlight w:val="none"/>
                <w:lang w:val="en-US" w:eastAsia="zh-CN" w:bidi="ar-SA"/>
              </w:rPr>
              <w:t>适合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5" w:type="dxa"/>
            <w:shd w:val="clear" w:color="auto" w:fill="auto"/>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kern w:val="2"/>
                <w:sz w:val="21"/>
                <w:szCs w:val="21"/>
                <w:highlight w:val="none"/>
                <w:lang w:val="en-US" w:eastAsia="zh-CN" w:bidi="ar-SA"/>
              </w:rPr>
            </w:pPr>
            <w:r>
              <w:rPr>
                <w:rFonts w:hint="eastAsia" w:ascii="仿宋" w:hAnsi="仿宋" w:eastAsia="仿宋" w:cs="仿宋"/>
                <w:b/>
                <w:kern w:val="2"/>
                <w:sz w:val="21"/>
                <w:szCs w:val="21"/>
                <w:highlight w:val="none"/>
                <w:lang w:val="en-US" w:eastAsia="zh-CN" w:bidi="ar-SA"/>
              </w:rPr>
              <w:t>成长型</w:t>
            </w:r>
          </w:p>
        </w:tc>
        <w:tc>
          <w:tcPr>
            <w:tcW w:w="1492"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4"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0"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0" w:type="dxa"/>
            <w:tcBorders>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515" w:type="dxa"/>
            <w:tcBorders>
              <w:bottom w:val="single" w:color="auto" w:sz="4" w:space="0"/>
            </w:tcBorders>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5" w:type="dxa"/>
            <w:shd w:val="clear" w:color="auto" w:fill="auto"/>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kern w:val="2"/>
                <w:sz w:val="21"/>
                <w:szCs w:val="21"/>
                <w:highlight w:val="none"/>
                <w:lang w:val="en-US" w:eastAsia="zh-CN" w:bidi="ar-SA"/>
              </w:rPr>
            </w:pPr>
            <w:r>
              <w:rPr>
                <w:rFonts w:hint="eastAsia" w:ascii="仿宋" w:hAnsi="仿宋" w:eastAsia="仿宋" w:cs="仿宋"/>
                <w:b/>
                <w:kern w:val="2"/>
                <w:sz w:val="21"/>
                <w:szCs w:val="21"/>
                <w:highlight w:val="none"/>
                <w:lang w:val="en-US" w:eastAsia="zh-CN" w:bidi="ar-SA"/>
              </w:rPr>
              <w:t>平衡型</w:t>
            </w:r>
          </w:p>
        </w:tc>
        <w:tc>
          <w:tcPr>
            <w:tcW w:w="1492"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4"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0" w:type="dxa"/>
            <w:tcBorders>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0"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515"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5" w:type="dxa"/>
            <w:shd w:val="clear" w:color="auto" w:fill="auto"/>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kern w:val="2"/>
                <w:sz w:val="21"/>
                <w:szCs w:val="21"/>
                <w:highlight w:val="none"/>
                <w:lang w:val="en-US" w:eastAsia="zh-CN" w:bidi="ar-SA"/>
              </w:rPr>
            </w:pPr>
            <w:r>
              <w:rPr>
                <w:rFonts w:hint="eastAsia" w:ascii="仿宋" w:hAnsi="仿宋" w:eastAsia="仿宋" w:cs="仿宋"/>
                <w:b/>
                <w:kern w:val="2"/>
                <w:sz w:val="21"/>
                <w:szCs w:val="21"/>
                <w:highlight w:val="none"/>
                <w:lang w:val="en-US" w:eastAsia="zh-CN" w:bidi="ar-SA"/>
              </w:rPr>
              <w:t>稳健型</w:t>
            </w:r>
          </w:p>
        </w:tc>
        <w:tc>
          <w:tcPr>
            <w:tcW w:w="1492"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4" w:type="dxa"/>
            <w:tcBorders>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0"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620"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515"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5" w:type="dxa"/>
            <w:shd w:val="clear" w:color="auto" w:fill="auto"/>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kern w:val="2"/>
                <w:sz w:val="21"/>
                <w:szCs w:val="21"/>
                <w:highlight w:val="none"/>
                <w:lang w:val="en-US" w:eastAsia="zh-CN" w:bidi="ar-SA"/>
              </w:rPr>
            </w:pPr>
            <w:r>
              <w:rPr>
                <w:rFonts w:hint="eastAsia" w:ascii="仿宋" w:hAnsi="仿宋" w:eastAsia="仿宋" w:cs="仿宋"/>
                <w:b/>
                <w:kern w:val="2"/>
                <w:sz w:val="21"/>
                <w:szCs w:val="21"/>
                <w:highlight w:val="none"/>
                <w:lang w:val="en-US" w:eastAsia="zh-CN" w:bidi="ar-SA"/>
              </w:rPr>
              <w:t>保守型</w:t>
            </w:r>
          </w:p>
        </w:tc>
        <w:tc>
          <w:tcPr>
            <w:tcW w:w="1492"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4"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620"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620"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515"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r>
    </w:tbl>
    <w:p>
      <w:pPr>
        <w:spacing w:before="156" w:beforeLines="50" w:line="460" w:lineRule="exact"/>
        <w:ind w:firstLine="562" w:firstLineChars="200"/>
        <w:outlineLvl w:val="0"/>
        <w:rPr>
          <w:rFonts w:ascii="仿宋_GB2312" w:eastAsia="仿宋_GB2312"/>
          <w:b/>
          <w:color w:val="000000"/>
          <w:sz w:val="28"/>
          <w:szCs w:val="28"/>
          <w:highlight w:val="none"/>
        </w:rPr>
      </w:pPr>
      <w:r>
        <w:rPr>
          <w:rFonts w:hint="eastAsia" w:ascii="仿宋_GB2312" w:eastAsia="仿宋_GB2312"/>
          <w:b/>
          <w:color w:val="000000"/>
          <w:sz w:val="28"/>
          <w:szCs w:val="28"/>
          <w:highlight w:val="none"/>
        </w:rPr>
        <w:t>四、信息披露</w:t>
      </w:r>
    </w:p>
    <w:p>
      <w:pPr>
        <w:adjustRightInd w:val="0"/>
        <w:snapToGrid w:val="0"/>
        <w:spacing w:line="460" w:lineRule="exact"/>
        <w:ind w:firstLine="560" w:firstLineChars="200"/>
        <w:rPr>
          <w:rFonts w:hint="eastAsia" w:ascii="仿宋_GB2312" w:eastAsia="仿宋_GB2312"/>
          <w:b w:val="0"/>
          <w:bCs w:val="0"/>
          <w:color w:val="000000"/>
          <w:sz w:val="28"/>
          <w:szCs w:val="28"/>
          <w:highlight w:val="none"/>
        </w:rPr>
      </w:pPr>
      <w:r>
        <w:rPr>
          <w:rFonts w:hint="eastAsia" w:ascii="仿宋_GB2312" w:eastAsia="仿宋_GB2312"/>
          <w:b w:val="0"/>
          <w:bCs w:val="0"/>
          <w:color w:val="000000"/>
          <w:sz w:val="28"/>
          <w:szCs w:val="28"/>
          <w:highlight w:val="none"/>
          <w:lang w:val="en-US" w:eastAsia="zh-CN"/>
        </w:rPr>
        <w:t>本理财产品信息披露将通过代理销售机构、上银理财的信息披露渠道（包括但不限于代理销售机构官方网站、电子销售渠道及上银理财官方网站等）进行。</w:t>
      </w:r>
      <w:r>
        <w:rPr>
          <w:rFonts w:hint="eastAsia" w:ascii="仿宋_GB2312" w:eastAsia="仿宋_GB2312"/>
          <w:b w:val="0"/>
          <w:bCs w:val="0"/>
          <w:color w:val="000000"/>
          <w:sz w:val="28"/>
          <w:szCs w:val="28"/>
          <w:highlight w:val="none"/>
        </w:rPr>
        <w:t>理财产品相关信息的</w:t>
      </w:r>
      <w:r>
        <w:rPr>
          <w:rFonts w:hint="eastAsia" w:ascii="仿宋_GB2312" w:eastAsia="仿宋_GB2312"/>
          <w:b w:val="0"/>
          <w:bCs w:val="0"/>
          <w:color w:val="000000"/>
          <w:sz w:val="28"/>
          <w:szCs w:val="28"/>
          <w:highlight w:val="none"/>
          <w:lang w:val="en-US" w:eastAsia="zh-CN"/>
        </w:rPr>
        <w:t>具体</w:t>
      </w:r>
      <w:r>
        <w:rPr>
          <w:rFonts w:hint="eastAsia" w:ascii="仿宋_GB2312" w:eastAsia="仿宋_GB2312"/>
          <w:b w:val="0"/>
          <w:bCs w:val="0"/>
          <w:color w:val="000000"/>
          <w:sz w:val="28"/>
          <w:szCs w:val="28"/>
          <w:highlight w:val="none"/>
        </w:rPr>
        <w:t>披露方式、渠道和频率，</w:t>
      </w:r>
      <w:r>
        <w:rPr>
          <w:rFonts w:hint="eastAsia" w:ascii="仿宋_GB2312" w:eastAsia="仿宋_GB2312"/>
          <w:b w:val="0"/>
          <w:bCs w:val="0"/>
          <w:color w:val="000000"/>
          <w:sz w:val="28"/>
          <w:szCs w:val="28"/>
          <w:highlight w:val="none"/>
          <w:lang w:val="en-US" w:eastAsia="zh-CN"/>
        </w:rPr>
        <w:t>以</w:t>
      </w:r>
      <w:r>
        <w:rPr>
          <w:rFonts w:hint="eastAsia" w:ascii="仿宋_GB2312" w:eastAsia="仿宋_GB2312"/>
          <w:b w:val="0"/>
          <w:bCs w:val="0"/>
          <w:color w:val="000000"/>
          <w:sz w:val="28"/>
          <w:szCs w:val="28"/>
          <w:highlight w:val="none"/>
          <w:lang w:eastAsia="zh-CN"/>
        </w:rPr>
        <w:t>上银理财</w:t>
      </w:r>
      <w:r>
        <w:rPr>
          <w:rFonts w:hint="eastAsia" w:ascii="仿宋_GB2312" w:eastAsia="仿宋_GB2312"/>
          <w:b w:val="0"/>
          <w:bCs w:val="0"/>
          <w:color w:val="000000"/>
          <w:sz w:val="28"/>
          <w:szCs w:val="28"/>
          <w:highlight w:val="none"/>
        </w:rPr>
        <w:t>提供的产品说明书中相关“信息披露”约定</w:t>
      </w:r>
      <w:r>
        <w:rPr>
          <w:rFonts w:hint="eastAsia" w:ascii="仿宋_GB2312" w:eastAsia="仿宋_GB2312"/>
          <w:b w:val="0"/>
          <w:bCs w:val="0"/>
          <w:color w:val="000000"/>
          <w:sz w:val="28"/>
          <w:szCs w:val="28"/>
          <w:highlight w:val="none"/>
          <w:lang w:val="en-US" w:eastAsia="zh-CN"/>
        </w:rPr>
        <w:t>为准</w:t>
      </w:r>
      <w:r>
        <w:rPr>
          <w:rFonts w:hint="eastAsia" w:ascii="仿宋_GB2312" w:eastAsia="仿宋_GB2312"/>
          <w:b w:val="0"/>
          <w:bCs w:val="0"/>
          <w:color w:val="000000"/>
          <w:sz w:val="28"/>
          <w:szCs w:val="28"/>
          <w:highlight w:val="none"/>
        </w:rPr>
        <w:t>。</w:t>
      </w:r>
    </w:p>
    <w:p>
      <w:pPr>
        <w:numPr>
          <w:ilvl w:val="0"/>
          <w:numId w:val="6"/>
        </w:numPr>
        <w:adjustRightInd w:val="0"/>
        <w:snapToGrid w:val="0"/>
        <w:spacing w:line="460" w:lineRule="exact"/>
        <w:ind w:firstLine="562" w:firstLineChars="200"/>
        <w:rPr>
          <w:rFonts w:hint="eastAsia" w:ascii="仿宋_GB2312" w:eastAsia="仿宋_GB2312"/>
          <w:b/>
          <w:bCs/>
          <w:color w:val="000000"/>
          <w:sz w:val="28"/>
          <w:szCs w:val="28"/>
          <w:highlight w:val="none"/>
          <w:lang w:val="en-US" w:eastAsia="zh-CN"/>
        </w:rPr>
      </w:pPr>
      <w:r>
        <w:rPr>
          <w:rFonts w:hint="eastAsia" w:ascii="仿宋_GB2312" w:eastAsia="仿宋_GB2312"/>
          <w:b/>
          <w:bCs/>
          <w:color w:val="000000"/>
          <w:sz w:val="28"/>
          <w:szCs w:val="28"/>
          <w:highlight w:val="none"/>
          <w:lang w:val="en-US" w:eastAsia="zh-CN"/>
        </w:rPr>
        <w:t>投诉与建议</w:t>
      </w:r>
    </w:p>
    <w:p>
      <w:pPr>
        <w:numPr>
          <w:ilvl w:val="0"/>
          <w:numId w:val="0"/>
        </w:numPr>
        <w:adjustRightInd w:val="0"/>
        <w:snapToGrid w:val="0"/>
        <w:spacing w:line="460" w:lineRule="exact"/>
        <w:rPr>
          <w:rFonts w:hint="default" w:ascii="仿宋_GB2312" w:eastAsia="仿宋_GB2312"/>
          <w:b w:val="0"/>
          <w:bCs w:val="0"/>
          <w:color w:val="000000"/>
          <w:sz w:val="28"/>
          <w:szCs w:val="28"/>
          <w:highlight w:val="none"/>
          <w:lang w:val="en-US" w:eastAsia="zh-CN"/>
        </w:rPr>
      </w:pPr>
      <w:r>
        <w:rPr>
          <w:rFonts w:hint="eastAsia" w:ascii="仿宋_GB2312" w:eastAsia="仿宋_GB2312"/>
          <w:b/>
          <w:bCs/>
          <w:color w:val="000000"/>
          <w:sz w:val="28"/>
          <w:szCs w:val="28"/>
          <w:highlight w:val="none"/>
          <w:lang w:val="en-US" w:eastAsia="zh-CN"/>
        </w:rPr>
        <w:t xml:space="preserve">    </w:t>
      </w:r>
      <w:r>
        <w:rPr>
          <w:rFonts w:hint="eastAsia" w:ascii="仿宋_GB2312" w:eastAsia="仿宋_GB2312"/>
          <w:b w:val="0"/>
          <w:bCs w:val="0"/>
          <w:color w:val="000000"/>
          <w:sz w:val="28"/>
          <w:szCs w:val="28"/>
          <w:highlight w:val="none"/>
          <w:lang w:val="en-US" w:eastAsia="zh-CN"/>
        </w:rPr>
        <w:t>如您对本产品有任何意见或建议，可通过代理销售机构营业网点工作人员，拨打客户服务热线以及代理销售机构官方网站进行反映，将由专人接听、记录您的意见或建议，并由各方协商共同解决。</w:t>
      </w:r>
    </w:p>
    <w:p>
      <w:pPr>
        <w:adjustRightInd w:val="0"/>
        <w:snapToGrid w:val="0"/>
        <w:spacing w:line="460" w:lineRule="exact"/>
        <w:ind w:firstLine="562" w:firstLineChars="200"/>
        <w:rPr>
          <w:rFonts w:hint="default" w:ascii="仿宋_GB2312" w:eastAsia="仿宋_GB2312"/>
          <w:b/>
          <w:bCs/>
          <w:color w:val="000000"/>
          <w:sz w:val="28"/>
          <w:szCs w:val="28"/>
          <w:highlight w:val="none"/>
          <w:lang w:val="en-US" w:eastAsia="zh-CN"/>
        </w:rPr>
      </w:pPr>
      <w:r>
        <w:rPr>
          <w:rFonts w:hint="eastAsia" w:ascii="仿宋_GB2312" w:eastAsia="仿宋_GB2312"/>
          <w:b/>
          <w:bCs/>
          <w:color w:val="000000"/>
          <w:sz w:val="28"/>
          <w:szCs w:val="28"/>
          <w:highlight w:val="none"/>
          <w:lang w:val="en-US" w:eastAsia="zh-CN"/>
        </w:rPr>
        <w:t>六、联络方式</w:t>
      </w:r>
    </w:p>
    <w:p>
      <w:pPr>
        <w:adjustRightInd w:val="0"/>
        <w:snapToGrid w:val="0"/>
        <w:spacing w:line="460" w:lineRule="exact"/>
        <w:ind w:firstLine="562" w:firstLineChars="200"/>
        <w:rPr>
          <w:rFonts w:hint="eastAsia" w:ascii="仿宋_GB2312" w:hAnsi="宋体" w:eastAsia="仿宋_GB2312" w:cs="宋体"/>
          <w:b/>
          <w:bCs/>
          <w:color w:val="000000"/>
          <w:sz w:val="28"/>
          <w:szCs w:val="28"/>
          <w:highlight w:val="none"/>
          <w:lang w:val="en-US" w:eastAsia="zh-CN"/>
        </w:rPr>
      </w:pPr>
      <w:r>
        <w:rPr>
          <w:rFonts w:hint="eastAsia" w:ascii="仿宋_GB2312" w:hAnsi="宋体" w:eastAsia="仿宋_GB2312" w:cs="宋体"/>
          <w:b/>
          <w:bCs/>
          <w:color w:val="000000"/>
          <w:sz w:val="28"/>
          <w:szCs w:val="28"/>
          <w:highlight w:val="none"/>
          <w:lang w:val="en-US" w:eastAsia="zh-CN"/>
        </w:rPr>
        <w:t>（一）代销机构的联络方式</w:t>
      </w:r>
    </w:p>
    <w:p>
      <w:pPr>
        <w:keepNext w:val="0"/>
        <w:keepLines w:val="0"/>
        <w:pageBreakBefore w:val="0"/>
        <w:widowControl w:val="0"/>
        <w:numPr>
          <w:ilvl w:val="0"/>
          <w:numId w:val="0"/>
        </w:numPr>
        <w:kinsoku/>
        <w:wordWrap w:val="0"/>
        <w:overflowPunct/>
        <w:topLinePunct w:val="0"/>
        <w:autoSpaceDE w:val="0"/>
        <w:autoSpaceDN/>
        <w:bidi w:val="0"/>
        <w:adjustRightInd w:val="0"/>
        <w:snapToGrid w:val="0"/>
        <w:spacing w:line="460" w:lineRule="exact"/>
        <w:textAlignment w:val="auto"/>
        <w:rPr>
          <w:rFonts w:hint="default" w:ascii="仿宋_GB2312" w:hAnsi="宋体" w:eastAsia="仿宋_GB2312" w:cs="宋体"/>
          <w:b w:val="0"/>
          <w:bCs w:val="0"/>
          <w:color w:val="000000"/>
          <w:sz w:val="28"/>
          <w:szCs w:val="28"/>
          <w:highlight w:val="none"/>
          <w:lang w:val="en-US" w:eastAsia="zh-CN"/>
        </w:rPr>
      </w:pPr>
      <w:r>
        <w:rPr>
          <w:rFonts w:hint="eastAsia" w:ascii="仿宋_GB2312" w:hAnsi="宋体" w:eastAsia="仿宋_GB2312" w:cs="宋体"/>
          <w:b w:val="0"/>
          <w:bCs w:val="0"/>
          <w:color w:val="000000"/>
          <w:sz w:val="28"/>
          <w:szCs w:val="28"/>
          <w:highlight w:val="none"/>
          <w:lang w:val="en-US" w:eastAsia="zh-CN"/>
        </w:rPr>
        <w:t>代销机构联络方式详见代销机构提供的相关协议。</w:t>
      </w:r>
    </w:p>
    <w:p>
      <w:pPr>
        <w:adjustRightInd w:val="0"/>
        <w:snapToGrid w:val="0"/>
        <w:spacing w:line="460" w:lineRule="exact"/>
        <w:ind w:firstLine="562" w:firstLineChars="200"/>
        <w:rPr>
          <w:rFonts w:hint="eastAsia" w:ascii="仿宋_GB2312" w:hAnsi="宋体" w:eastAsia="仿宋_GB2312" w:cs="宋体"/>
          <w:b/>
          <w:bCs/>
          <w:color w:val="000000"/>
          <w:sz w:val="28"/>
          <w:szCs w:val="28"/>
          <w:highlight w:val="none"/>
          <w:lang w:val="en-US" w:eastAsia="zh-CN"/>
        </w:rPr>
      </w:pPr>
      <w:r>
        <w:rPr>
          <w:rFonts w:hint="eastAsia" w:ascii="仿宋_GB2312" w:hAnsi="宋体" w:eastAsia="仿宋_GB2312" w:cs="宋体"/>
          <w:b/>
          <w:bCs/>
          <w:color w:val="000000"/>
          <w:sz w:val="28"/>
          <w:szCs w:val="28"/>
          <w:highlight w:val="none"/>
          <w:lang w:val="en-US" w:eastAsia="zh-CN"/>
        </w:rPr>
        <w:t>（二）上银理财的联络方式</w:t>
      </w:r>
    </w:p>
    <w:p>
      <w:pPr>
        <w:adjustRightInd w:val="0"/>
        <w:snapToGrid w:val="0"/>
        <w:spacing w:line="460" w:lineRule="exact"/>
        <w:ind w:firstLine="560" w:firstLineChars="200"/>
        <w:rPr>
          <w:rFonts w:hint="default" w:ascii="仿宋_GB2312" w:hAnsi="宋体" w:eastAsia="仿宋_GB2312" w:cs="宋体"/>
          <w:b w:val="0"/>
          <w:bCs w:val="0"/>
          <w:color w:val="000000"/>
          <w:sz w:val="28"/>
          <w:szCs w:val="28"/>
          <w:highlight w:val="none"/>
          <w:lang w:val="en-US" w:eastAsia="zh-CN"/>
        </w:rPr>
      </w:pPr>
      <w:r>
        <w:rPr>
          <w:rFonts w:hint="eastAsia" w:ascii="仿宋_GB2312" w:hAnsi="宋体" w:eastAsia="仿宋_GB2312" w:cs="宋体"/>
          <w:b w:val="0"/>
          <w:bCs w:val="0"/>
          <w:color w:val="000000"/>
          <w:sz w:val="28"/>
          <w:szCs w:val="28"/>
          <w:highlight w:val="none"/>
          <w:lang w:val="en-US" w:eastAsia="zh-CN"/>
        </w:rPr>
        <w:t>1、上银理财地址：中国上海市黄浦区中山南路666号2幢2号实际楼层2层、3层</w:t>
      </w:r>
    </w:p>
    <w:p>
      <w:pPr>
        <w:ind w:firstLine="560" w:firstLineChars="200"/>
        <w:rPr>
          <w:rFonts w:hint="eastAsia" w:ascii="仿宋_GB2312" w:hAnsi="宋体" w:eastAsia="仿宋_GB2312" w:cs="宋体"/>
          <w:b w:val="0"/>
          <w:bCs w:val="0"/>
          <w:color w:val="000000"/>
          <w:sz w:val="28"/>
          <w:szCs w:val="28"/>
          <w:highlight w:val="none"/>
          <w:lang w:val="en-US" w:eastAsia="zh-CN"/>
        </w:rPr>
      </w:pPr>
      <w:r>
        <w:rPr>
          <w:rFonts w:hint="eastAsia" w:ascii="仿宋_GB2312" w:hAnsi="宋体" w:eastAsia="仿宋_GB2312" w:cs="宋体"/>
          <w:b w:val="0"/>
          <w:bCs w:val="0"/>
          <w:color w:val="000000"/>
          <w:sz w:val="28"/>
          <w:szCs w:val="28"/>
          <w:highlight w:val="none"/>
          <w:lang w:val="en-US" w:eastAsia="zh-CN"/>
        </w:rPr>
        <w:t>2、上银理财官方网站：【https://www.boscwm.cn/】</w:t>
      </w:r>
    </w:p>
    <w:p>
      <w:pPr>
        <w:rPr>
          <w:rFonts w:hint="eastAsia" w:ascii="仿宋_GB2312" w:hAnsi="宋体" w:eastAsia="仿宋_GB2312" w:cs="宋体"/>
          <w:b w:val="0"/>
          <w:bCs w:val="0"/>
          <w:color w:val="000000"/>
          <w:sz w:val="28"/>
          <w:szCs w:val="28"/>
          <w:highlight w:val="none"/>
          <w:lang w:val="en-US" w:eastAsia="zh-CN"/>
        </w:rPr>
      </w:pPr>
      <w:r>
        <w:rPr>
          <w:rFonts w:hint="eastAsia" w:ascii="仿宋_GB2312" w:hAnsi="宋体" w:eastAsia="仿宋_GB2312" w:cs="宋体"/>
          <w:b w:val="0"/>
          <w:bCs w:val="0"/>
          <w:color w:val="000000"/>
          <w:sz w:val="28"/>
          <w:szCs w:val="28"/>
          <w:highlight w:val="none"/>
          <w:lang w:val="en-US" w:eastAsia="zh-CN"/>
        </w:rPr>
        <w:br w:type="page"/>
      </w:r>
    </w:p>
    <w:p>
      <w:pPr>
        <w:jc w:val="center"/>
        <w:rPr>
          <w:rFonts w:hint="eastAsia" w:asciiTheme="minorEastAsia" w:hAnsiTheme="minorEastAsia" w:cstheme="minorEastAsia"/>
          <w:b w:val="0"/>
          <w:bCs/>
          <w:sz w:val="24"/>
          <w:szCs w:val="21"/>
        </w:rPr>
      </w:pPr>
      <w:r>
        <w:rPr>
          <w:rFonts w:hint="eastAsia" w:ascii="黑体" w:hAnsi="黑体" w:eastAsia="黑体" w:cs="黑体"/>
          <w:b/>
          <w:bCs w:val="0"/>
          <w:sz w:val="40"/>
          <w:szCs w:val="40"/>
        </w:rPr>
        <w:t>投资者权益须知</w:t>
      </w:r>
    </w:p>
    <w:p>
      <w:pPr>
        <w:jc w:val="center"/>
        <w:rPr>
          <w:rFonts w:hint="default" w:asciiTheme="minorEastAsia" w:hAnsiTheme="minorEastAsia" w:eastAsiaTheme="minorEastAsia" w:cstheme="minorEastAsia"/>
          <w:b/>
          <w:sz w:val="28"/>
          <w:lang w:val="en-US" w:eastAsia="zh-CN"/>
        </w:rPr>
      </w:pPr>
      <w:r>
        <w:rPr>
          <w:rFonts w:hint="eastAsia" w:asciiTheme="minorEastAsia" w:hAnsiTheme="minorEastAsia" w:cstheme="minorEastAsia"/>
          <w:b/>
          <w:sz w:val="28"/>
          <w:lang w:val="en-US" w:eastAsia="zh-CN"/>
        </w:rPr>
        <w:t>（适用于机构客户）</w:t>
      </w:r>
    </w:p>
    <w:p>
      <w:pPr>
        <w:spacing w:line="360" w:lineRule="auto"/>
        <w:rPr>
          <w:rFonts w:asciiTheme="minorEastAsia" w:hAnsiTheme="minorEastAsia" w:cstheme="minorEastAsia"/>
          <w:szCs w:val="21"/>
        </w:rPr>
      </w:pPr>
      <w:r>
        <w:rPr>
          <w:rFonts w:hint="eastAsia" w:asciiTheme="minorEastAsia" w:hAnsiTheme="minorEastAsia" w:cstheme="minorEastAsia"/>
          <w:szCs w:val="21"/>
        </w:rPr>
        <w:t>尊敬的投资者：</w:t>
      </w:r>
    </w:p>
    <w:p>
      <w:pPr>
        <w:autoSpaceDE w:val="0"/>
        <w:autoSpaceDN w:val="0"/>
        <w:adjustRightInd w:val="0"/>
        <w:spacing w:before="156" w:line="360" w:lineRule="auto"/>
        <w:ind w:firstLine="560"/>
        <w:rPr>
          <w:rFonts w:asciiTheme="minorEastAsia" w:hAnsiTheme="minorEastAsia" w:cstheme="minorEastAsia"/>
          <w:b/>
          <w:color w:val="000000"/>
          <w:kern w:val="0"/>
          <w:szCs w:val="21"/>
        </w:rPr>
      </w:pPr>
      <w:r>
        <w:rPr>
          <w:rFonts w:hint="eastAsia" w:asciiTheme="minorEastAsia" w:hAnsiTheme="minorEastAsia" w:cstheme="minorEastAsia"/>
          <w:b/>
          <w:color w:val="000000"/>
          <w:kern w:val="0"/>
          <w:szCs w:val="21"/>
        </w:rPr>
        <w:t>理财非存款、产品有风险、投资须谨慎。</w:t>
      </w:r>
      <w:r>
        <w:rPr>
          <w:rFonts w:hint="eastAsia" w:asciiTheme="minorEastAsia" w:hAnsiTheme="minorEastAsia" w:cstheme="minorEastAsia"/>
          <w:color w:val="000000"/>
          <w:kern w:val="0"/>
          <w:szCs w:val="21"/>
        </w:rPr>
        <w:t>感谢贵方购买【</w:t>
      </w:r>
      <w:r>
        <w:rPr>
          <w:rFonts w:hint="eastAsia" w:asciiTheme="minorEastAsia" w:hAnsiTheme="minorEastAsia" w:cstheme="minorEastAsia"/>
          <w:color w:val="000000"/>
          <w:kern w:val="0"/>
          <w:szCs w:val="21"/>
          <w:lang w:val="en-US" w:eastAsia="zh-CN"/>
        </w:rPr>
        <w:t>上银理财</w:t>
      </w:r>
      <w:r>
        <w:rPr>
          <w:rFonts w:hint="eastAsia" w:asciiTheme="minorEastAsia" w:hAnsiTheme="minorEastAsia" w:cstheme="minorEastAsia"/>
          <w:color w:val="000000"/>
          <w:kern w:val="0"/>
          <w:szCs w:val="21"/>
        </w:rPr>
        <w:t>】作为产品发行人的理财产品，请贵方仔细阅读本《投资者权益须知》，行使贵方在本业务项下的权益。对理财产品销售文件或购买流程等有疑问的，请及时与</w:t>
      </w:r>
      <w:r>
        <w:rPr>
          <w:rFonts w:hint="eastAsia" w:asciiTheme="minorEastAsia" w:hAnsiTheme="minorEastAsia" w:cstheme="minorEastAsia"/>
          <w:color w:val="000000"/>
          <w:kern w:val="0"/>
          <w:szCs w:val="21"/>
          <w:lang w:val="en-US" w:eastAsia="zh-CN"/>
        </w:rPr>
        <w:t>代销机构</w:t>
      </w:r>
      <w:r>
        <w:rPr>
          <w:rFonts w:hint="eastAsia" w:asciiTheme="minorEastAsia" w:hAnsiTheme="minorEastAsia" w:cstheme="minorEastAsia"/>
          <w:color w:val="000000"/>
          <w:kern w:val="0"/>
          <w:szCs w:val="21"/>
        </w:rPr>
        <w:t>相关销售人员咨询。在购买理财产品后，请关注理财产品的信息披露情况，及时获取相关信息；如对理财产品有任何意见或建议，请关注产品发行人及</w:t>
      </w:r>
      <w:r>
        <w:rPr>
          <w:rFonts w:hint="eastAsia" w:asciiTheme="minorEastAsia" w:hAnsiTheme="minorEastAsia" w:cstheme="minorEastAsia"/>
          <w:color w:val="000000"/>
          <w:kern w:val="0"/>
          <w:szCs w:val="21"/>
          <w:lang w:val="en-US" w:eastAsia="zh-CN"/>
        </w:rPr>
        <w:t>代销机构</w:t>
      </w:r>
      <w:r>
        <w:rPr>
          <w:rFonts w:hint="eastAsia" w:asciiTheme="minorEastAsia" w:hAnsiTheme="minorEastAsia" w:cstheme="minorEastAsia"/>
          <w:color w:val="000000"/>
          <w:kern w:val="0"/>
          <w:szCs w:val="21"/>
        </w:rPr>
        <w:t>联络方式并予以反馈。</w:t>
      </w:r>
    </w:p>
    <w:p>
      <w:pPr>
        <w:autoSpaceDE w:val="0"/>
        <w:autoSpaceDN w:val="0"/>
        <w:adjustRightInd w:val="0"/>
        <w:spacing w:before="156" w:line="360" w:lineRule="auto"/>
        <w:ind w:firstLine="422" w:firstLineChars="200"/>
        <w:rPr>
          <w:rFonts w:asciiTheme="minorEastAsia" w:hAnsiTheme="minorEastAsia" w:cstheme="minorEastAsia"/>
          <w:b/>
          <w:color w:val="000000"/>
          <w:kern w:val="0"/>
          <w:szCs w:val="21"/>
        </w:rPr>
      </w:pPr>
      <w:r>
        <w:rPr>
          <w:rFonts w:hint="eastAsia" w:asciiTheme="minorEastAsia" w:hAnsiTheme="minorEastAsia" w:cstheme="minorEastAsia"/>
          <w:b/>
          <w:color w:val="000000"/>
          <w:kern w:val="0"/>
          <w:szCs w:val="21"/>
        </w:rPr>
        <w:t>一、理财产品认购</w:t>
      </w:r>
    </w:p>
    <w:p>
      <w:pPr>
        <w:pStyle w:val="15"/>
        <w:spacing w:line="360" w:lineRule="auto"/>
        <w:ind w:firstLine="315" w:firstLineChars="150"/>
        <w:jc w:val="both"/>
        <w:rPr>
          <w:rFonts w:asciiTheme="minorEastAsia" w:hAnsiTheme="minorEastAsia" w:eastAsiaTheme="minorEastAsia" w:cstheme="minorEastAsia"/>
          <w:szCs w:val="21"/>
        </w:rPr>
      </w:pPr>
      <w:r>
        <w:rPr>
          <w:rFonts w:hint="eastAsia" w:asciiTheme="minorEastAsia" w:hAnsiTheme="minorEastAsia" w:eastAsiaTheme="minorEastAsia" w:cstheme="minorEastAsia"/>
          <w:sz w:val="21"/>
          <w:szCs w:val="21"/>
        </w:rPr>
        <w:t xml:space="preserve">（一）了解贵方的投资目标、风险承受能力和产品需求 </w:t>
      </w:r>
    </w:p>
    <w:p>
      <w:pPr>
        <w:spacing w:line="360" w:lineRule="auto"/>
        <w:ind w:firstLine="420"/>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lang w:val="en-US" w:eastAsia="zh-CN"/>
        </w:rPr>
        <w:t>代销机构</w:t>
      </w:r>
      <w:r>
        <w:rPr>
          <w:rFonts w:hint="eastAsia" w:asciiTheme="minorEastAsia" w:hAnsiTheme="minorEastAsia" w:cstheme="minorEastAsia"/>
          <w:color w:val="000000"/>
          <w:kern w:val="0"/>
          <w:szCs w:val="21"/>
        </w:rPr>
        <w:t>根据理财产品的投资范围、风险收益特点、流动性等不同因素，对理财产品分为极低风险产品R1、低风险产品R2、中等风险产品R3、较高风险产品R4、高风险产品R5五种风险等级不同的产品。请贵方根据自身财务状况、投资经验、投资目的、收益预期、风险偏好、流动性要求、风险认识、风险损失承受程度、投资需求等情况，</w:t>
      </w:r>
      <w:r>
        <w:rPr>
          <w:rFonts w:hint="eastAsia" w:asciiTheme="minorEastAsia" w:hAnsiTheme="minorEastAsia" w:cstheme="minorEastAsia"/>
          <w:color w:val="000000"/>
          <w:kern w:val="0"/>
          <w:szCs w:val="21"/>
          <w:lang w:val="en-US" w:eastAsia="zh-CN"/>
        </w:rPr>
        <w:t>评估贵方自身的投资需求和风险承受能力，选择适合贵方投资需求和风险承受能力的理财产品。</w:t>
      </w:r>
    </w:p>
    <w:p>
      <w:pPr>
        <w:pStyle w:val="15"/>
        <w:spacing w:line="360" w:lineRule="auto"/>
        <w:ind w:firstLine="420" w:firstLineChars="200"/>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（二）购买适合贵方的理财产品</w:t>
      </w:r>
    </w:p>
    <w:p>
      <w:pPr>
        <w:autoSpaceDE w:val="0"/>
        <w:autoSpaceDN w:val="0"/>
        <w:adjustRightInd w:val="0"/>
        <w:spacing w:line="360" w:lineRule="auto"/>
        <w:ind w:firstLine="480"/>
        <w:rPr>
          <w:rFonts w:asciiTheme="minorEastAsia" w:hAnsiTheme="minorEastAsia" w:cstheme="minorEastAsia"/>
          <w:color w:val="000000"/>
          <w:kern w:val="0"/>
          <w:szCs w:val="21"/>
        </w:rPr>
      </w:pPr>
      <w:r>
        <w:rPr>
          <w:rFonts w:hint="eastAsia" w:asciiTheme="minorEastAsia" w:hAnsiTheme="minorEastAsia" w:cstheme="minorEastAsia"/>
          <w:szCs w:val="21"/>
        </w:rPr>
        <w:t>贵方在首次认购</w:t>
      </w:r>
      <w:r>
        <w:rPr>
          <w:rFonts w:hint="eastAsia" w:asciiTheme="minorEastAsia" w:hAnsiTheme="minorEastAsia" w:cstheme="minorEastAsia"/>
          <w:szCs w:val="21"/>
          <w:lang w:val="en-US" w:eastAsia="zh-CN"/>
        </w:rPr>
        <w:t>代销机构</w:t>
      </w:r>
      <w:r>
        <w:rPr>
          <w:rFonts w:hint="eastAsia" w:asciiTheme="minorEastAsia" w:hAnsiTheme="minorEastAsia" w:cstheme="minorEastAsia"/>
          <w:szCs w:val="21"/>
        </w:rPr>
        <w:t>销售的理财产品前，需在</w:t>
      </w:r>
      <w:r>
        <w:rPr>
          <w:rFonts w:hint="eastAsia" w:asciiTheme="minorEastAsia" w:hAnsiTheme="minorEastAsia" w:cstheme="minorEastAsia"/>
          <w:szCs w:val="21"/>
          <w:lang w:val="en-US" w:eastAsia="zh-CN"/>
        </w:rPr>
        <w:t>代销机构</w:t>
      </w:r>
      <w:r>
        <w:rPr>
          <w:rFonts w:hint="eastAsia" w:asciiTheme="minorEastAsia" w:hAnsiTheme="minorEastAsia" w:cstheme="minorEastAsia"/>
          <w:szCs w:val="21"/>
        </w:rPr>
        <w:t>开立授权指定账户，</w:t>
      </w:r>
      <w:r>
        <w:rPr>
          <w:rFonts w:hint="eastAsia" w:asciiTheme="minorEastAsia" w:hAnsiTheme="minorEastAsia" w:cstheme="minorEastAsia"/>
          <w:szCs w:val="21"/>
          <w:lang w:val="en-US" w:eastAsia="zh-CN"/>
        </w:rPr>
        <w:t>无需</w:t>
      </w:r>
      <w:r>
        <w:rPr>
          <w:rFonts w:hint="eastAsia" w:asciiTheme="minorEastAsia" w:hAnsiTheme="minorEastAsia" w:cstheme="minorEastAsia"/>
          <w:szCs w:val="21"/>
        </w:rPr>
        <w:t>进行风险承受能力评估</w:t>
      </w: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具体以代销机构的要求为准）</w:t>
      </w:r>
      <w:r>
        <w:rPr>
          <w:rFonts w:hint="eastAsia" w:asciiTheme="minorEastAsia" w:hAnsiTheme="minorEastAsia" w:cstheme="minorEastAsia"/>
          <w:szCs w:val="21"/>
        </w:rPr>
        <w:t>，并认真阅读、签署理财产品投资协议书、销售（代理销售）协议书、理财产品说明书、《风险揭示书》、《投资者权益须知》等销售文件</w:t>
      </w:r>
      <w:r>
        <w:rPr>
          <w:rFonts w:hint="eastAsia" w:asciiTheme="minorEastAsia" w:hAnsiTheme="minorEastAsia" w:cstheme="minorEastAsia"/>
          <w:color w:val="000000"/>
          <w:kern w:val="0"/>
          <w:szCs w:val="21"/>
        </w:rPr>
        <w:t>。贵方可根据理财产品销售文件关于产品购买渠道的相关约定，选择通过</w:t>
      </w:r>
      <w:r>
        <w:rPr>
          <w:rFonts w:hint="eastAsia" w:asciiTheme="minorEastAsia" w:hAnsiTheme="minorEastAsia" w:cstheme="minorEastAsia"/>
          <w:color w:val="000000"/>
          <w:kern w:val="0"/>
          <w:szCs w:val="21"/>
          <w:lang w:val="en-US" w:eastAsia="zh-CN"/>
        </w:rPr>
        <w:t>代销机构</w:t>
      </w:r>
      <w:r>
        <w:rPr>
          <w:rFonts w:hint="eastAsia" w:asciiTheme="minorEastAsia" w:hAnsiTheme="minorEastAsia" w:cstheme="minorEastAsia"/>
          <w:color w:val="000000"/>
          <w:kern w:val="0"/>
          <w:szCs w:val="21"/>
        </w:rPr>
        <w:t>营业网点、企业网上银行、企业手机银行、现金管理平台等渠道购买理财产品。</w:t>
      </w:r>
    </w:p>
    <w:p>
      <w:pPr>
        <w:pStyle w:val="15"/>
        <w:spacing w:line="360" w:lineRule="auto"/>
        <w:ind w:firstLine="420" w:firstLineChars="200"/>
        <w:jc w:val="both"/>
        <w:rPr>
          <w:rFonts w:asciiTheme="minorEastAsia" w:hAnsiTheme="minorEastAsia" w:eastAsiaTheme="minorEastAsia" w:cstheme="minorEastAsia"/>
          <w:szCs w:val="21"/>
        </w:rPr>
      </w:pPr>
      <w:r>
        <w:rPr>
          <w:rFonts w:hint="eastAsia" w:asciiTheme="minorEastAsia" w:hAnsiTheme="minorEastAsia" w:eastAsiaTheme="minorEastAsia" w:cstheme="minorEastAsia"/>
          <w:sz w:val="21"/>
          <w:szCs w:val="21"/>
        </w:rPr>
        <w:t>具体认购流程如下：</w:t>
      </w:r>
    </w:p>
    <w:p>
      <w:pPr>
        <w:pStyle w:val="15"/>
        <w:numPr>
          <w:ilvl w:val="0"/>
          <w:numId w:val="7"/>
        </w:numPr>
        <w:spacing w:line="360" w:lineRule="auto"/>
        <w:ind w:firstLine="420" w:firstLineChars="200"/>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首次认购前，贵方应在</w:t>
      </w:r>
      <w:r>
        <w:rPr>
          <w:rFonts w:hint="eastAsia" w:asciiTheme="minorEastAsia" w:hAnsiTheme="minorEastAsia" w:eastAsiaTheme="minorEastAsia" w:cstheme="minorEastAsia"/>
          <w:sz w:val="21"/>
          <w:szCs w:val="21"/>
          <w:lang w:val="en-US" w:eastAsia="zh-CN"/>
        </w:rPr>
        <w:t>代销机构</w:t>
      </w:r>
      <w:r>
        <w:rPr>
          <w:rFonts w:hint="eastAsia" w:asciiTheme="minorEastAsia" w:hAnsiTheme="minorEastAsia" w:eastAsiaTheme="minorEastAsia" w:cstheme="minorEastAsia"/>
          <w:sz w:val="21"/>
          <w:szCs w:val="21"/>
        </w:rPr>
        <w:t>及/或其分支机构开立人民币结算账户，并指定其为购买理财产品的授权指定账户</w:t>
      </w:r>
      <w:r>
        <w:rPr>
          <w:rFonts w:hint="eastAsia" w:asciiTheme="minorEastAsia" w:hAnsiTheme="minorEastAsia" w:eastAsiaTheme="minorEastAsia" w:cstheme="minorEastAsia"/>
          <w:sz w:val="21"/>
          <w:szCs w:val="21"/>
          <w:lang w:eastAsia="zh-CN"/>
        </w:rPr>
        <w:t>。</w:t>
      </w:r>
    </w:p>
    <w:p>
      <w:pPr>
        <w:pStyle w:val="15"/>
        <w:numPr>
          <w:ilvl w:val="0"/>
          <w:numId w:val="7"/>
        </w:numPr>
        <w:spacing w:line="360" w:lineRule="auto"/>
        <w:ind w:firstLine="420" w:firstLineChars="200"/>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首次认购时，如在代销机构营业网点进行</w:t>
      </w:r>
      <w:r>
        <w:rPr>
          <w:rFonts w:hint="eastAsia" w:asciiTheme="minorEastAsia" w:hAnsiTheme="minorEastAsia" w:eastAsiaTheme="minorEastAsia" w:cstheme="minorEastAsia"/>
          <w:sz w:val="21"/>
          <w:szCs w:val="21"/>
          <w:lang w:val="en-US" w:eastAsia="zh-CN"/>
        </w:rPr>
        <w:t>签约</w:t>
      </w:r>
      <w:r>
        <w:rPr>
          <w:rFonts w:hint="eastAsia" w:asciiTheme="minorEastAsia" w:hAnsiTheme="minorEastAsia" w:eastAsiaTheme="minorEastAsia" w:cstheme="minorEastAsia"/>
          <w:sz w:val="21"/>
          <w:szCs w:val="21"/>
          <w:lang w:eastAsia="zh-CN"/>
        </w:rPr>
        <w:t>的，贵方需持《企业（法人）营业执照》原件及加盖公章的复印件、《组织机构代码证》原件及加盖公章的复印件（三证合一的客户仅需携带营业执照）、企业经办人员有效身份证件原件及复印件，企业经办人员不是企业法定代表人本人的，还应提供企业法定代表人出具并加盖企业公章的《授权委托书》等材料至代销机构营业网点，并在仔细阅读相关销售文件后签署，完成理财产品的签约，具体以代销机构的要求为准。</w:t>
      </w:r>
    </w:p>
    <w:p>
      <w:pPr>
        <w:pStyle w:val="15"/>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、贵方完成认购后，</w:t>
      </w:r>
      <w:r>
        <w:rPr>
          <w:rFonts w:hint="eastAsia" w:asciiTheme="minorEastAsia" w:hAnsiTheme="minorEastAsia" w:eastAsiaTheme="minorEastAsia" w:cstheme="minorEastAsia"/>
          <w:sz w:val="21"/>
          <w:szCs w:val="21"/>
          <w:lang w:val="en-US" w:eastAsia="zh-CN"/>
        </w:rPr>
        <w:t>代销机构</w:t>
      </w:r>
      <w:r>
        <w:rPr>
          <w:rFonts w:hint="eastAsia" w:asciiTheme="minorEastAsia" w:hAnsiTheme="minorEastAsia" w:eastAsiaTheme="minorEastAsia" w:cstheme="minorEastAsia"/>
          <w:sz w:val="21"/>
          <w:szCs w:val="21"/>
        </w:rPr>
        <w:t>实时冻结客户授权指定账户内的认购金额，并按照产品说明书约定划至指定账户，实际划款金额为贵方认购产品的本金金额。认购资金成功扣款且产品成立后，贵方可通过理财产品说明书约定的渠道查询理财产品份额。如理财产品募集失败，贵方相应冻结资金由</w:t>
      </w:r>
      <w:r>
        <w:rPr>
          <w:rFonts w:hint="eastAsia" w:asciiTheme="minorEastAsia" w:hAnsiTheme="minorEastAsia" w:eastAsiaTheme="minorEastAsia" w:cstheme="minorEastAsia"/>
          <w:sz w:val="21"/>
          <w:szCs w:val="21"/>
          <w:lang w:val="en-US" w:eastAsia="zh-CN"/>
        </w:rPr>
        <w:t>代销机构</w:t>
      </w:r>
      <w:r>
        <w:rPr>
          <w:rFonts w:hint="eastAsia" w:asciiTheme="minorEastAsia" w:hAnsiTheme="minorEastAsia" w:eastAsiaTheme="minorEastAsia" w:cstheme="minorEastAsia"/>
          <w:sz w:val="21"/>
          <w:szCs w:val="21"/>
        </w:rPr>
        <w:t>予以解冻，并按</w:t>
      </w:r>
      <w:r>
        <w:rPr>
          <w:rFonts w:hint="eastAsia" w:asciiTheme="minorEastAsia" w:hAnsiTheme="minorEastAsia" w:eastAsiaTheme="minorEastAsia" w:cstheme="minorEastAsia"/>
          <w:sz w:val="21"/>
          <w:szCs w:val="21"/>
          <w:lang w:val="en-US" w:eastAsia="zh-CN"/>
        </w:rPr>
        <w:t>代销机构</w:t>
      </w:r>
      <w:r>
        <w:rPr>
          <w:rFonts w:hint="eastAsia" w:asciiTheme="minorEastAsia" w:hAnsiTheme="minorEastAsia" w:eastAsiaTheme="minorEastAsia" w:cstheme="minorEastAsia"/>
          <w:sz w:val="21"/>
          <w:szCs w:val="21"/>
        </w:rPr>
        <w:t>公布的活期存款利率计付相应利息。</w:t>
      </w:r>
    </w:p>
    <w:p>
      <w:pPr>
        <w:pStyle w:val="15"/>
        <w:spacing w:line="360" w:lineRule="auto"/>
        <w:ind w:firstLine="422" w:firstLineChars="200"/>
        <w:jc w:val="both"/>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重要提示：请贵方认真阅读《风险揭示书》中的风险提示部分，并充分知晓产品风险。贵方一旦做出投资决策，应自行承担产品运营过程中产生的风险。</w:t>
      </w:r>
    </w:p>
    <w:p>
      <w:pPr>
        <w:pStyle w:val="15"/>
        <w:spacing w:line="360" w:lineRule="auto"/>
        <w:ind w:firstLine="422" w:firstLineChars="200"/>
        <w:jc w:val="both"/>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重要提示：贵方在发行期内购买理财产品时，</w:t>
      </w:r>
      <w:r>
        <w:rPr>
          <w:rFonts w:hint="eastAsia" w:asciiTheme="minorEastAsia" w:hAnsiTheme="minorEastAsia" w:eastAsiaTheme="minorEastAsia" w:cstheme="minorEastAsia"/>
          <w:b/>
          <w:bCs/>
          <w:sz w:val="21"/>
          <w:szCs w:val="21"/>
          <w:lang w:val="en-US" w:eastAsia="zh-CN"/>
        </w:rPr>
        <w:t>代销机构</w:t>
      </w:r>
      <w:r>
        <w:rPr>
          <w:rFonts w:hint="eastAsia" w:asciiTheme="minorEastAsia" w:hAnsiTheme="minorEastAsia" w:eastAsiaTheme="minorEastAsia" w:cstheme="minorEastAsia"/>
          <w:b/>
          <w:bCs/>
          <w:sz w:val="21"/>
          <w:szCs w:val="21"/>
        </w:rPr>
        <w:t>将冻结贵方“授权指定账户”内的购买金额，并按照约定时间划转至产品发行人指定账户。自购买日至划款日（不含）之间贵方购买产品的本金金额产生的活期利息将留存在贵方“授权指定账户”内。</w:t>
      </w:r>
    </w:p>
    <w:p>
      <w:pPr>
        <w:pStyle w:val="15"/>
        <w:spacing w:line="360" w:lineRule="auto"/>
        <w:ind w:firstLine="422" w:firstLineChars="200"/>
        <w:jc w:val="both"/>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如贵方购买的产品为私募理财，则产品设有投资冷静期。在投资冷静期内，如贵方改变决定，</w:t>
      </w:r>
      <w:r>
        <w:rPr>
          <w:rFonts w:hint="eastAsia" w:asciiTheme="minorEastAsia" w:hAnsiTheme="minorEastAsia" w:eastAsiaTheme="minorEastAsia" w:cstheme="minorEastAsia"/>
          <w:b/>
          <w:bCs/>
          <w:sz w:val="21"/>
          <w:szCs w:val="21"/>
          <w:lang w:val="en-US" w:eastAsia="zh-CN"/>
        </w:rPr>
        <w:t>代销机构</w:t>
      </w:r>
      <w:r>
        <w:rPr>
          <w:rFonts w:hint="eastAsia" w:asciiTheme="minorEastAsia" w:hAnsiTheme="minorEastAsia" w:eastAsiaTheme="minorEastAsia" w:cstheme="minorEastAsia"/>
          <w:b/>
          <w:bCs/>
          <w:sz w:val="21"/>
          <w:szCs w:val="21"/>
        </w:rPr>
        <w:t>将遵从贵方的意愿，解除已签订的销售文件，并按照产品说明书的约定退还贵方的全部投资款项，投资冷静期具体期限在理财产品对应期次的风险揭示书和产品说明书中载明。</w:t>
      </w:r>
    </w:p>
    <w:p>
      <w:pPr>
        <w:autoSpaceDE w:val="0"/>
        <w:autoSpaceDN w:val="0"/>
        <w:adjustRightInd w:val="0"/>
        <w:spacing w:before="156" w:line="360" w:lineRule="auto"/>
        <w:ind w:firstLine="422" w:firstLineChars="200"/>
        <w:rPr>
          <w:rFonts w:asciiTheme="minorEastAsia" w:hAnsiTheme="minorEastAsia" w:cstheme="minorEastAsia"/>
          <w:b/>
          <w:color w:val="000000"/>
          <w:kern w:val="0"/>
          <w:szCs w:val="21"/>
        </w:rPr>
      </w:pPr>
      <w:r>
        <w:rPr>
          <w:rFonts w:hint="eastAsia" w:asciiTheme="minorEastAsia" w:hAnsiTheme="minorEastAsia" w:cstheme="minorEastAsia"/>
          <w:b/>
          <w:color w:val="000000"/>
          <w:kern w:val="0"/>
          <w:szCs w:val="21"/>
        </w:rPr>
        <w:t>二、理财产品兑付/赎回</w:t>
      </w:r>
    </w:p>
    <w:p>
      <w:pPr>
        <w:pStyle w:val="15"/>
        <w:spacing w:line="360" w:lineRule="auto"/>
        <w:ind w:firstLine="420" w:firstLineChars="200"/>
        <w:jc w:val="both"/>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理财产品到期可兑付金额由产品发行人按照产品说明书的约定，在理财产品清算日通过</w:t>
      </w:r>
      <w:r>
        <w:rPr>
          <w:rFonts w:hint="eastAsia" w:asciiTheme="minorEastAsia" w:hAnsiTheme="minorEastAsia" w:eastAsiaTheme="minorEastAsia" w:cstheme="minorEastAsia"/>
          <w:color w:val="auto"/>
          <w:sz w:val="21"/>
          <w:szCs w:val="21"/>
          <w:lang w:val="en-US" w:eastAsia="zh-CN"/>
        </w:rPr>
        <w:t>代销机构</w:t>
      </w:r>
      <w:r>
        <w:rPr>
          <w:rFonts w:hint="eastAsia" w:asciiTheme="minorEastAsia" w:hAnsiTheme="minorEastAsia" w:eastAsiaTheme="minorEastAsia" w:cstheme="minorEastAsia"/>
          <w:color w:val="auto"/>
          <w:sz w:val="21"/>
          <w:szCs w:val="21"/>
        </w:rPr>
        <w:t>分配至贵方的授权指定账户内。在理财产品实际到期日至清算日期间贵方的理财本金不计付收益。</w:t>
      </w:r>
    </w:p>
    <w:p>
      <w:pPr>
        <w:pStyle w:val="15"/>
        <w:spacing w:line="360" w:lineRule="auto"/>
        <w:ind w:firstLine="420" w:firstLineChars="200"/>
        <w:jc w:val="both"/>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理财产品是否可赎回及赎回规则按照理财产品销售文件的约定执行。贵方可在理财产品销售文件约定的赎回条件下，通过</w:t>
      </w:r>
      <w:r>
        <w:rPr>
          <w:rFonts w:hint="eastAsia" w:asciiTheme="minorEastAsia" w:hAnsiTheme="minorEastAsia" w:eastAsiaTheme="minorEastAsia" w:cstheme="minorEastAsia"/>
          <w:color w:val="auto"/>
          <w:sz w:val="21"/>
          <w:szCs w:val="21"/>
          <w:lang w:val="en-US" w:eastAsia="zh-CN"/>
        </w:rPr>
        <w:t>代销机构</w:t>
      </w:r>
      <w:r>
        <w:rPr>
          <w:rFonts w:hint="eastAsia" w:asciiTheme="minorEastAsia" w:hAnsiTheme="minorEastAsia" w:eastAsiaTheme="minorEastAsia" w:cstheme="minorEastAsia"/>
          <w:color w:val="auto"/>
          <w:sz w:val="21"/>
          <w:szCs w:val="21"/>
        </w:rPr>
        <w:t>营业网点及理财产品销售文件中约定的其它渠道，赎回理财产品。</w:t>
      </w:r>
    </w:p>
    <w:p>
      <w:pPr>
        <w:autoSpaceDE w:val="0"/>
        <w:autoSpaceDN w:val="0"/>
        <w:adjustRightInd w:val="0"/>
        <w:spacing w:before="156" w:line="360" w:lineRule="auto"/>
        <w:ind w:firstLine="422" w:firstLineChars="200"/>
        <w:rPr>
          <w:rFonts w:asciiTheme="minorEastAsia" w:hAnsiTheme="minorEastAsia" w:cstheme="minorEastAsia"/>
          <w:b/>
          <w:color w:val="000000"/>
          <w:kern w:val="0"/>
          <w:szCs w:val="21"/>
        </w:rPr>
      </w:pPr>
      <w:r>
        <w:rPr>
          <w:rFonts w:hint="eastAsia" w:asciiTheme="minorEastAsia" w:hAnsiTheme="minorEastAsia" w:cstheme="minorEastAsia"/>
          <w:b/>
          <w:color w:val="000000"/>
          <w:kern w:val="0"/>
          <w:szCs w:val="21"/>
        </w:rPr>
        <w:t xml:space="preserve">三、信息披露的方式、渠道和频率 </w:t>
      </w:r>
    </w:p>
    <w:p>
      <w:pPr>
        <w:autoSpaceDE w:val="0"/>
        <w:autoSpaceDN w:val="0"/>
        <w:adjustRightInd w:val="0"/>
        <w:spacing w:before="156" w:line="360" w:lineRule="auto"/>
        <w:ind w:firstLine="420" w:firstLineChars="200"/>
        <w:rPr>
          <w:rFonts w:asciiTheme="minorEastAsia" w:hAnsiTheme="minorEastAsia" w:cstheme="minorEastAsia"/>
          <w:color w:val="000000"/>
          <w:kern w:val="0"/>
          <w:szCs w:val="21"/>
        </w:rPr>
      </w:pPr>
      <w:r>
        <w:rPr>
          <w:rFonts w:hint="eastAsia" w:asciiTheme="minorEastAsia" w:hAnsiTheme="minorEastAsia" w:cstheme="minorEastAsia"/>
          <w:szCs w:val="21"/>
        </w:rPr>
        <w:t>产品相关信息的披露方式、渠道和频率，贵方可根据产品说明书中所载明的“信息披露”相关约定，拨打产品发行人客户服务热线、拨打</w:t>
      </w:r>
      <w:r>
        <w:rPr>
          <w:rFonts w:hint="eastAsia" w:asciiTheme="minorEastAsia" w:hAnsiTheme="minorEastAsia" w:cstheme="minorEastAsia"/>
          <w:szCs w:val="21"/>
          <w:lang w:val="en-US" w:eastAsia="zh-CN"/>
        </w:rPr>
        <w:t>代销机构</w:t>
      </w:r>
      <w:r>
        <w:rPr>
          <w:rFonts w:hint="eastAsia" w:asciiTheme="minorEastAsia" w:hAnsiTheme="minorEastAsia" w:cstheme="minorEastAsia"/>
          <w:szCs w:val="21"/>
        </w:rPr>
        <w:t>客户服务热线、登录产品发行人网站、登录</w:t>
      </w:r>
      <w:r>
        <w:rPr>
          <w:rFonts w:hint="eastAsia" w:asciiTheme="minorEastAsia" w:hAnsiTheme="minorEastAsia" w:cstheme="minorEastAsia"/>
          <w:szCs w:val="21"/>
          <w:lang w:val="en-US" w:eastAsia="zh-CN"/>
        </w:rPr>
        <w:t>代销机构</w:t>
      </w:r>
      <w:r>
        <w:rPr>
          <w:rFonts w:hint="eastAsia" w:asciiTheme="minorEastAsia" w:hAnsiTheme="minorEastAsia" w:cstheme="minorEastAsia"/>
          <w:szCs w:val="21"/>
        </w:rPr>
        <w:t>网站或到</w:t>
      </w:r>
      <w:r>
        <w:rPr>
          <w:rFonts w:hint="eastAsia" w:asciiTheme="minorEastAsia" w:hAnsiTheme="minorEastAsia" w:cstheme="minorEastAsia"/>
          <w:szCs w:val="21"/>
          <w:lang w:val="en-US" w:eastAsia="zh-CN"/>
        </w:rPr>
        <w:t>代销机构</w:t>
      </w:r>
      <w:r>
        <w:rPr>
          <w:rFonts w:hint="eastAsia" w:asciiTheme="minorEastAsia" w:hAnsiTheme="minorEastAsia" w:cstheme="minorEastAsia"/>
          <w:szCs w:val="21"/>
        </w:rPr>
        <w:t>营业网点进行查询。持有人因自身原因或不可抗</w:t>
      </w:r>
      <w:r>
        <w:rPr>
          <w:rFonts w:hint="eastAsia" w:asciiTheme="minorEastAsia" w:hAnsiTheme="minorEastAsia" w:cstheme="minorEastAsia"/>
          <w:color w:val="000000"/>
          <w:kern w:val="0"/>
          <w:szCs w:val="21"/>
        </w:rPr>
        <w:t>力导致未及时获知理财产品的相关信息，</w:t>
      </w:r>
      <w:r>
        <w:rPr>
          <w:rFonts w:hint="eastAsia" w:asciiTheme="minorEastAsia" w:hAnsiTheme="minorEastAsia" w:cstheme="minorEastAsia"/>
          <w:color w:val="000000"/>
          <w:kern w:val="0"/>
          <w:szCs w:val="21"/>
          <w:lang w:val="en-US" w:eastAsia="zh-CN"/>
        </w:rPr>
        <w:t>代销机构</w:t>
      </w:r>
      <w:r>
        <w:rPr>
          <w:rFonts w:hint="eastAsia" w:asciiTheme="minorEastAsia" w:hAnsiTheme="minorEastAsia" w:cstheme="minorEastAsia"/>
          <w:color w:val="000000"/>
          <w:kern w:val="0"/>
          <w:szCs w:val="21"/>
        </w:rPr>
        <w:t>不承担责任。</w:t>
      </w:r>
    </w:p>
    <w:p>
      <w:pPr>
        <w:autoSpaceDE w:val="0"/>
        <w:autoSpaceDN w:val="0"/>
        <w:adjustRightInd w:val="0"/>
        <w:spacing w:before="156" w:line="360" w:lineRule="auto"/>
        <w:ind w:firstLine="422" w:firstLineChars="200"/>
        <w:rPr>
          <w:rFonts w:asciiTheme="minorEastAsia" w:hAnsiTheme="minorEastAsia" w:cstheme="minorEastAsia"/>
          <w:b/>
          <w:color w:val="000000"/>
          <w:kern w:val="0"/>
          <w:szCs w:val="21"/>
        </w:rPr>
      </w:pPr>
      <w:r>
        <w:rPr>
          <w:rFonts w:hint="eastAsia" w:asciiTheme="minorEastAsia" w:hAnsiTheme="minorEastAsia" w:cstheme="minorEastAsia"/>
          <w:b/>
          <w:color w:val="000000"/>
          <w:kern w:val="0"/>
          <w:szCs w:val="21"/>
        </w:rPr>
        <w:t xml:space="preserve">四、投诉的方式和程序 </w:t>
      </w:r>
    </w:p>
    <w:p>
      <w:pPr>
        <w:autoSpaceDE w:val="0"/>
        <w:autoSpaceDN w:val="0"/>
        <w:adjustRightInd w:val="0"/>
        <w:spacing w:before="156" w:line="360" w:lineRule="auto"/>
        <w:ind w:firstLine="420" w:firstLineChars="0"/>
        <w:rPr>
          <w:rFonts w:hint="eastAsia" w:asciiTheme="minorEastAsia" w:hAnsiTheme="minorEastAsia" w:cstheme="minorEastAsia"/>
          <w:szCs w:val="21"/>
        </w:rPr>
      </w:pPr>
      <w:r>
        <w:rPr>
          <w:rFonts w:hint="eastAsia" w:asciiTheme="minorEastAsia" w:hAnsiTheme="minorEastAsia" w:cstheme="minorEastAsia"/>
          <w:szCs w:val="21"/>
        </w:rPr>
        <w:t>如</w:t>
      </w:r>
      <w:r>
        <w:rPr>
          <w:rFonts w:hint="eastAsia" w:asciiTheme="minorEastAsia" w:hAnsiTheme="minorEastAsia" w:cstheme="minorEastAsia"/>
          <w:szCs w:val="21"/>
          <w:lang w:val="en-US" w:eastAsia="zh-CN"/>
        </w:rPr>
        <w:t>贵方</w:t>
      </w:r>
      <w:r>
        <w:rPr>
          <w:rFonts w:hint="eastAsia" w:asciiTheme="minorEastAsia" w:hAnsiTheme="minorEastAsia" w:cstheme="minorEastAsia"/>
          <w:szCs w:val="21"/>
        </w:rPr>
        <w:t>对本产品有任何意见或建议，可通过</w:t>
      </w:r>
      <w:r>
        <w:rPr>
          <w:rFonts w:hint="eastAsia" w:asciiTheme="minorEastAsia" w:hAnsiTheme="minorEastAsia" w:cstheme="minorEastAsia"/>
          <w:szCs w:val="21"/>
          <w:lang w:val="en-US" w:eastAsia="zh-CN"/>
        </w:rPr>
        <w:t>代销机构</w:t>
      </w:r>
      <w:r>
        <w:rPr>
          <w:rFonts w:hint="eastAsia" w:asciiTheme="minorEastAsia" w:hAnsiTheme="minorEastAsia" w:cstheme="minorEastAsia"/>
          <w:szCs w:val="21"/>
        </w:rPr>
        <w:t>营业网点工作人员，拨打客户服务热线以及</w:t>
      </w:r>
      <w:r>
        <w:rPr>
          <w:rFonts w:hint="eastAsia" w:asciiTheme="minorEastAsia" w:hAnsiTheme="minorEastAsia" w:cstheme="minorEastAsia"/>
          <w:szCs w:val="21"/>
          <w:lang w:val="en-US" w:eastAsia="zh-CN"/>
        </w:rPr>
        <w:t>代销</w:t>
      </w:r>
      <w:r>
        <w:rPr>
          <w:rFonts w:hint="eastAsia" w:asciiTheme="minorEastAsia" w:hAnsiTheme="minorEastAsia" w:cstheme="minorEastAsia"/>
          <w:szCs w:val="21"/>
        </w:rPr>
        <w:t>机构官方网站进行反映，将由专人接听、记录您的意见或建议，并由各方协商共同解决。</w:t>
      </w:r>
    </w:p>
    <w:p>
      <w:pPr>
        <w:autoSpaceDE w:val="0"/>
        <w:autoSpaceDN w:val="0"/>
        <w:adjustRightInd w:val="0"/>
        <w:spacing w:before="156" w:line="360" w:lineRule="auto"/>
        <w:ind w:firstLine="422" w:firstLineChars="200"/>
        <w:rPr>
          <w:rFonts w:asciiTheme="minorEastAsia" w:hAnsiTheme="minorEastAsia" w:cstheme="minorEastAsia"/>
          <w:b/>
          <w:color w:val="000000"/>
          <w:kern w:val="0"/>
          <w:szCs w:val="21"/>
        </w:rPr>
      </w:pPr>
      <w:r>
        <w:rPr>
          <w:rFonts w:hint="eastAsia" w:asciiTheme="minorEastAsia" w:hAnsiTheme="minorEastAsia" w:cstheme="minorEastAsia"/>
          <w:b/>
          <w:color w:val="000000"/>
          <w:kern w:val="0"/>
          <w:szCs w:val="21"/>
        </w:rPr>
        <w:t>五、</w:t>
      </w:r>
      <w:r>
        <w:rPr>
          <w:rFonts w:hint="eastAsia" w:asciiTheme="minorEastAsia" w:hAnsiTheme="minorEastAsia" w:cstheme="minorEastAsia"/>
          <w:b/>
          <w:color w:val="000000"/>
          <w:kern w:val="0"/>
          <w:szCs w:val="21"/>
          <w:lang w:val="en-US" w:eastAsia="zh-CN"/>
        </w:rPr>
        <w:t>代销机构</w:t>
      </w:r>
      <w:r>
        <w:rPr>
          <w:rFonts w:hint="eastAsia" w:asciiTheme="minorEastAsia" w:hAnsiTheme="minorEastAsia" w:cstheme="minorEastAsia"/>
          <w:b/>
          <w:color w:val="000000"/>
          <w:kern w:val="0"/>
          <w:szCs w:val="21"/>
        </w:rPr>
        <w:t xml:space="preserve">联络方式 </w:t>
      </w:r>
    </w:p>
    <w:p>
      <w:pPr>
        <w:autoSpaceDE w:val="0"/>
        <w:autoSpaceDN w:val="0"/>
        <w:adjustRightInd w:val="0"/>
        <w:spacing w:before="156" w:line="360" w:lineRule="auto"/>
        <w:ind w:firstLine="420" w:firstLineChars="200"/>
        <w:rPr>
          <w:rFonts w:hint="eastAsia" w:asciiTheme="minorEastAsia" w:hAnsiTheme="minorEastAsia" w:cstheme="minorEastAsia"/>
          <w:color w:val="000000"/>
          <w:kern w:val="0"/>
          <w:szCs w:val="21"/>
        </w:rPr>
      </w:pPr>
      <w:r>
        <w:rPr>
          <w:rFonts w:hint="eastAsia" w:asciiTheme="minorEastAsia" w:hAnsiTheme="minorEastAsia" w:cstheme="minorEastAsia"/>
          <w:color w:val="000000"/>
          <w:kern w:val="0"/>
          <w:szCs w:val="21"/>
          <w:lang w:val="en-US" w:eastAsia="zh-CN"/>
        </w:rPr>
        <w:t>代销</w:t>
      </w:r>
      <w:r>
        <w:rPr>
          <w:rFonts w:hint="eastAsia" w:asciiTheme="minorEastAsia" w:hAnsiTheme="minorEastAsia" w:cstheme="minorEastAsia"/>
          <w:color w:val="000000"/>
          <w:kern w:val="0"/>
          <w:szCs w:val="21"/>
        </w:rPr>
        <w:t>机构联络方式详见</w:t>
      </w:r>
      <w:r>
        <w:rPr>
          <w:rFonts w:hint="eastAsia" w:asciiTheme="minorEastAsia" w:hAnsiTheme="minorEastAsia" w:cstheme="minorEastAsia"/>
          <w:color w:val="000000"/>
          <w:kern w:val="0"/>
          <w:szCs w:val="21"/>
          <w:lang w:val="en-US" w:eastAsia="zh-CN"/>
        </w:rPr>
        <w:t>代销</w:t>
      </w:r>
      <w:r>
        <w:rPr>
          <w:rFonts w:hint="eastAsia" w:asciiTheme="minorEastAsia" w:hAnsiTheme="minorEastAsia" w:cstheme="minorEastAsia"/>
          <w:color w:val="000000"/>
          <w:kern w:val="0"/>
          <w:szCs w:val="21"/>
        </w:rPr>
        <w:t>机构提供的相关协议。</w:t>
      </w:r>
    </w:p>
    <w:p>
      <w:pPr>
        <w:autoSpaceDE w:val="0"/>
        <w:autoSpaceDN w:val="0"/>
        <w:adjustRightInd w:val="0"/>
        <w:spacing w:before="156" w:line="360" w:lineRule="auto"/>
        <w:ind w:firstLine="422" w:firstLineChars="200"/>
        <w:rPr>
          <w:rFonts w:hint="eastAsia" w:asciiTheme="minorEastAsia" w:hAnsiTheme="minorEastAsia" w:cstheme="minorEastAsia"/>
          <w:b/>
          <w:color w:val="000000"/>
          <w:kern w:val="0"/>
          <w:szCs w:val="21"/>
          <w:lang w:val="en-US" w:eastAsia="zh-CN"/>
        </w:rPr>
      </w:pPr>
      <w:r>
        <w:rPr>
          <w:rFonts w:hint="eastAsia" w:asciiTheme="minorEastAsia" w:hAnsiTheme="minorEastAsia" w:cstheme="minorEastAsia"/>
          <w:b/>
          <w:color w:val="000000"/>
          <w:kern w:val="0"/>
          <w:szCs w:val="21"/>
          <w:lang w:val="en-US" w:eastAsia="zh-CN"/>
        </w:rPr>
        <w:t>六、【上银理财】联络方式</w:t>
      </w:r>
    </w:p>
    <w:p>
      <w:pPr>
        <w:spacing w:line="360" w:lineRule="auto"/>
        <w:ind w:firstLine="315" w:firstLineChars="150"/>
        <w:rPr>
          <w:rFonts w:hint="default" w:asciiTheme="minorEastAsia" w:hAnsiTheme="minorEastAsia" w:cstheme="minorEastAsia"/>
          <w:color w:val="000000"/>
          <w:kern w:val="0"/>
          <w:szCs w:val="21"/>
          <w:lang w:val="en-US" w:eastAsia="zh-CN"/>
        </w:rPr>
      </w:pPr>
      <w:r>
        <w:rPr>
          <w:rFonts w:hint="eastAsia" w:asciiTheme="minorEastAsia" w:hAnsiTheme="minorEastAsia" w:cstheme="minorEastAsia"/>
          <w:color w:val="000000"/>
          <w:kern w:val="0"/>
          <w:szCs w:val="21"/>
          <w:lang w:val="en-US" w:eastAsia="zh-CN"/>
        </w:rPr>
        <w:t>（一）【</w:t>
      </w:r>
      <w:r>
        <w:rPr>
          <w:rFonts w:hint="default" w:asciiTheme="minorEastAsia" w:hAnsiTheme="minorEastAsia" w:cstheme="minorEastAsia"/>
          <w:color w:val="000000"/>
          <w:kern w:val="0"/>
          <w:szCs w:val="21"/>
          <w:lang w:val="en-US" w:eastAsia="zh-CN"/>
        </w:rPr>
        <w:t>上银理财</w:t>
      </w:r>
      <w:r>
        <w:rPr>
          <w:rFonts w:hint="eastAsia" w:asciiTheme="minorEastAsia" w:hAnsiTheme="minorEastAsia" w:cstheme="minorEastAsia"/>
          <w:color w:val="000000"/>
          <w:kern w:val="0"/>
          <w:szCs w:val="21"/>
          <w:lang w:val="en-US" w:eastAsia="zh-CN"/>
        </w:rPr>
        <w:t>】</w:t>
      </w:r>
      <w:r>
        <w:rPr>
          <w:rFonts w:hint="default" w:asciiTheme="minorEastAsia" w:hAnsiTheme="minorEastAsia" w:cstheme="minorEastAsia"/>
          <w:color w:val="000000"/>
          <w:kern w:val="0"/>
          <w:szCs w:val="21"/>
          <w:lang w:val="en-US" w:eastAsia="zh-CN"/>
        </w:rPr>
        <w:t>地址：中国上海市黄浦区中山南路666号2幢2号实际楼层2层、3层</w:t>
      </w:r>
    </w:p>
    <w:p>
      <w:pPr>
        <w:spacing w:line="360" w:lineRule="auto"/>
        <w:ind w:firstLine="315" w:firstLineChars="150"/>
        <w:rPr>
          <w:rFonts w:hint="default" w:asciiTheme="minorEastAsia" w:hAnsiTheme="minorEastAsia" w:cstheme="minorEastAsia"/>
          <w:color w:val="000000"/>
          <w:kern w:val="0"/>
          <w:szCs w:val="21"/>
          <w:lang w:val="en-US" w:eastAsia="zh-CN"/>
        </w:rPr>
      </w:pPr>
      <w:r>
        <w:rPr>
          <w:rFonts w:hint="eastAsia" w:asciiTheme="minorEastAsia" w:hAnsiTheme="minorEastAsia" w:cstheme="minorEastAsia"/>
          <w:color w:val="000000"/>
          <w:kern w:val="0"/>
          <w:szCs w:val="21"/>
          <w:lang w:val="en-US" w:eastAsia="zh-CN"/>
        </w:rPr>
        <w:t>（二）【</w:t>
      </w:r>
      <w:r>
        <w:rPr>
          <w:rFonts w:hint="default" w:asciiTheme="minorEastAsia" w:hAnsiTheme="minorEastAsia" w:cstheme="minorEastAsia"/>
          <w:color w:val="000000"/>
          <w:kern w:val="0"/>
          <w:szCs w:val="21"/>
          <w:lang w:val="en-US" w:eastAsia="zh-CN"/>
        </w:rPr>
        <w:t>上银理财</w:t>
      </w:r>
      <w:r>
        <w:rPr>
          <w:rFonts w:hint="eastAsia" w:asciiTheme="minorEastAsia" w:hAnsiTheme="minorEastAsia" w:cstheme="minorEastAsia"/>
          <w:color w:val="000000"/>
          <w:kern w:val="0"/>
          <w:szCs w:val="21"/>
          <w:lang w:val="en-US" w:eastAsia="zh-CN"/>
        </w:rPr>
        <w:t>】门户</w:t>
      </w:r>
      <w:r>
        <w:rPr>
          <w:rFonts w:hint="default" w:asciiTheme="minorEastAsia" w:hAnsiTheme="minorEastAsia" w:cstheme="minorEastAsia"/>
          <w:color w:val="000000"/>
          <w:kern w:val="0"/>
          <w:szCs w:val="21"/>
          <w:lang w:val="en-US" w:eastAsia="zh-CN"/>
        </w:rPr>
        <w:t>网站：【https://www.boscwm.cn/】</w:t>
      </w:r>
    </w:p>
    <w:p>
      <w:pPr>
        <w:spacing w:line="470" w:lineRule="exact"/>
        <w:ind w:firstLine="360" w:firstLineChars="150"/>
        <w:jc w:val="right"/>
        <w:rPr>
          <w:rFonts w:asciiTheme="minorEastAsia" w:hAnsiTheme="minorEastAsia" w:cstheme="minorEastAsia"/>
          <w:color w:val="000000"/>
          <w:kern w:val="0"/>
          <w:sz w:val="24"/>
          <w:szCs w:val="24"/>
        </w:rPr>
      </w:pPr>
    </w:p>
    <w:p>
      <w:pPr>
        <w:rPr>
          <w:rFonts w:hint="eastAsia" w:ascii="仿宋_GB2312" w:hAnsi="宋体" w:eastAsia="仿宋_GB2312" w:cs="宋体"/>
          <w:b w:val="0"/>
          <w:bCs w:val="0"/>
          <w:color w:val="000000"/>
          <w:sz w:val="28"/>
          <w:szCs w:val="28"/>
          <w:highlight w:val="none"/>
          <w:lang w:val="en-US" w:eastAsia="zh-CN"/>
        </w:rPr>
      </w:pPr>
    </w:p>
    <w:p>
      <w:pPr>
        <w:ind w:firstLine="560" w:firstLineChars="200"/>
        <w:rPr>
          <w:rFonts w:hint="eastAsia" w:ascii="仿宋_GB2312" w:hAnsi="宋体" w:eastAsia="仿宋_GB2312" w:cs="宋体"/>
          <w:b w:val="0"/>
          <w:bCs w:val="0"/>
          <w:color w:val="000000"/>
          <w:sz w:val="28"/>
          <w:szCs w:val="28"/>
          <w:highlight w:val="none"/>
          <w:lang w:val="en-US" w:eastAsia="zh-CN"/>
        </w:rPr>
      </w:pPr>
    </w:p>
    <w:p>
      <w:pPr>
        <w:rPr>
          <w:rFonts w:hint="eastAsia" w:ascii="仿宋_GB2312" w:hAnsi="宋体" w:eastAsia="仿宋_GB2312" w:cs="宋体"/>
          <w:b w:val="0"/>
          <w:bCs w:val="0"/>
          <w:color w:val="000000"/>
          <w:sz w:val="28"/>
          <w:szCs w:val="28"/>
          <w:highlight w:val="none"/>
          <w:lang w:val="en-US" w:eastAsia="zh-CN"/>
        </w:rPr>
      </w:pPr>
      <w:r>
        <w:rPr>
          <w:rFonts w:hint="eastAsia" w:ascii="仿宋_GB2312" w:hAnsi="宋体" w:eastAsia="仿宋_GB2312" w:cs="宋体"/>
          <w:b w:val="0"/>
          <w:bCs w:val="0"/>
          <w:color w:val="000000"/>
          <w:sz w:val="28"/>
          <w:szCs w:val="28"/>
          <w:highlight w:val="none"/>
          <w:lang w:val="en-US" w:eastAsia="zh-CN"/>
        </w:rPr>
        <w:br w:type="page"/>
      </w:r>
    </w:p>
    <w:p>
      <w:pPr>
        <w:spacing w:line="460" w:lineRule="exact"/>
        <w:jc w:val="center"/>
        <w:outlineLvl w:val="0"/>
        <w:rPr>
          <w:rFonts w:hint="eastAsia" w:ascii="宋体" w:hAnsi="宋体"/>
          <w:b/>
          <w:sz w:val="32"/>
        </w:rPr>
      </w:pPr>
      <w:r>
        <w:rPr>
          <w:rFonts w:hint="eastAsia" w:ascii="宋体" w:hAnsi="宋体"/>
          <w:b/>
          <w:sz w:val="32"/>
        </w:rPr>
        <w:t>代</w:t>
      </w:r>
      <w:r>
        <w:rPr>
          <w:rFonts w:hint="eastAsia" w:ascii="宋体" w:hAnsi="宋体"/>
          <w:b/>
          <w:sz w:val="32"/>
          <w:lang w:val="en-US" w:eastAsia="zh-CN"/>
        </w:rPr>
        <w:t>理销售</w:t>
      </w:r>
      <w:r>
        <w:rPr>
          <w:rFonts w:hint="eastAsia" w:ascii="宋体" w:hAnsi="宋体"/>
          <w:b/>
          <w:sz w:val="32"/>
        </w:rPr>
        <w:t>理财产品协议书</w:t>
      </w:r>
    </w:p>
    <w:p>
      <w:pPr>
        <w:spacing w:line="460" w:lineRule="exact"/>
        <w:jc w:val="center"/>
        <w:outlineLvl w:val="0"/>
        <w:rPr>
          <w:rFonts w:hint="default" w:ascii="宋体" w:hAnsi="宋体" w:eastAsia="宋体"/>
          <w:b/>
          <w:sz w:val="32"/>
          <w:lang w:val="en-US" w:eastAsia="zh-CN"/>
        </w:rPr>
      </w:pPr>
      <w:r>
        <w:rPr>
          <w:rFonts w:hint="eastAsia" w:ascii="宋体" w:hAnsi="宋体"/>
          <w:b/>
          <w:sz w:val="32"/>
          <w:lang w:eastAsia="zh-CN"/>
        </w:rPr>
        <w:t>（</w:t>
      </w:r>
      <w:r>
        <w:rPr>
          <w:rFonts w:hint="eastAsia" w:ascii="宋体" w:hAnsi="宋体"/>
          <w:b/>
          <w:sz w:val="32"/>
          <w:lang w:val="en-US" w:eastAsia="zh-CN"/>
        </w:rPr>
        <w:t>适用于个人客户）</w:t>
      </w:r>
    </w:p>
    <w:p>
      <w:pPr>
        <w:autoSpaceDE w:val="0"/>
        <w:autoSpaceDN w:val="0"/>
        <w:adjustRightInd w:val="0"/>
        <w:snapToGrid w:val="0"/>
        <w:spacing w:line="400" w:lineRule="exact"/>
        <w:rPr>
          <w:rFonts w:ascii="宋体" w:hAnsi="宋体"/>
          <w:b/>
          <w:sz w:val="32"/>
        </w:rPr>
      </w:pPr>
    </w:p>
    <w:p>
      <w:pPr>
        <w:spacing w:line="460" w:lineRule="exact"/>
        <w:ind w:firstLine="482" w:firstLineChars="200"/>
        <w:rPr>
          <w:rFonts w:ascii="宋体" w:hAnsi="宋体"/>
          <w:b/>
          <w:sz w:val="24"/>
        </w:rPr>
      </w:pPr>
    </w:p>
    <w:p>
      <w:pPr>
        <w:spacing w:line="460" w:lineRule="exact"/>
        <w:ind w:firstLine="482" w:firstLineChars="200"/>
        <w:outlineLvl w:val="0"/>
        <w:rPr>
          <w:rFonts w:ascii="宋体" w:hAnsi="宋体"/>
          <w:b/>
          <w:sz w:val="24"/>
        </w:rPr>
      </w:pPr>
      <w:r>
        <w:rPr>
          <w:rFonts w:hint="eastAsia" w:ascii="宋体" w:hAnsi="宋体"/>
          <w:b/>
          <w:sz w:val="24"/>
        </w:rPr>
        <w:t>甲    方：理财产品投资客户</w:t>
      </w:r>
    </w:p>
    <w:p>
      <w:pPr>
        <w:spacing w:line="460" w:lineRule="exact"/>
        <w:ind w:firstLine="482" w:firstLineChars="200"/>
        <w:outlineLvl w:val="1"/>
        <w:rPr>
          <w:rFonts w:hint="default" w:ascii="宋体" w:hAnsi="宋体"/>
          <w:sz w:val="24"/>
          <w:lang w:val="en-US"/>
        </w:rPr>
      </w:pPr>
      <w:r>
        <w:rPr>
          <w:rFonts w:hint="eastAsia" w:ascii="宋体" w:hAnsi="宋体"/>
          <w:b/>
          <w:sz w:val="24"/>
        </w:rPr>
        <w:t>乙    方：</w:t>
      </w:r>
      <w:r>
        <w:rPr>
          <w:rFonts w:hint="eastAsia" w:ascii="宋体" w:hAnsi="宋体"/>
          <w:b/>
          <w:bCs w:val="0"/>
          <w:sz w:val="24"/>
          <w:lang w:val="en-US" w:eastAsia="zh-CN"/>
        </w:rPr>
        <w:t>代理销售机构</w:t>
      </w:r>
    </w:p>
    <w:p>
      <w:pPr>
        <w:spacing w:line="460" w:lineRule="exact"/>
        <w:ind w:firstLine="480" w:firstLineChars="200"/>
        <w:rPr>
          <w:rFonts w:ascii="宋体" w:hAnsi="宋体"/>
          <w:sz w:val="24"/>
        </w:rPr>
      </w:pPr>
    </w:p>
    <w:p>
      <w:pPr>
        <w:spacing w:line="460" w:lineRule="exact"/>
        <w:ind w:firstLine="482" w:firstLineChars="200"/>
        <w:rPr>
          <w:rFonts w:ascii="宋体" w:hAnsi="宋体"/>
          <w:b/>
          <w:bCs/>
          <w:sz w:val="24"/>
        </w:rPr>
      </w:pPr>
      <w:r>
        <w:rPr>
          <w:rFonts w:hint="eastAsia" w:ascii="宋体" w:hAnsi="宋体"/>
          <w:b/>
          <w:bCs/>
          <w:sz w:val="24"/>
        </w:rPr>
        <w:t>特别提示：本协议系</w:t>
      </w:r>
      <w:r>
        <w:rPr>
          <w:rFonts w:hint="eastAsia" w:ascii="宋体" w:hAnsi="宋体"/>
          <w:b/>
          <w:bCs/>
          <w:sz w:val="24"/>
          <w:lang w:val="en-US" w:eastAsia="zh-CN"/>
        </w:rPr>
        <w:t>代理销售机构</w:t>
      </w:r>
      <w:r>
        <w:rPr>
          <w:rFonts w:hint="eastAsia" w:ascii="宋体" w:hAnsi="宋体"/>
          <w:b/>
          <w:bCs/>
          <w:sz w:val="24"/>
        </w:rPr>
        <w:t>（以下简称“乙方”）与理财产品投资客户（以下简称“甲方”）就代销理财产品相关事宜所签订的有效合约。本协议所称的“理财产品”是指经国务院银行业监督管理机构批准成立的商业银行理财子公司按照约定条件和实际投资收益情况向投资者支付收益、不保证本金支付和收益水平的非保本理财产品。</w:t>
      </w:r>
    </w:p>
    <w:p>
      <w:pPr>
        <w:spacing w:line="460" w:lineRule="exact"/>
        <w:ind w:firstLine="482" w:firstLineChars="200"/>
        <w:rPr>
          <w:rFonts w:ascii="宋体" w:hAnsi="宋体"/>
          <w:b/>
          <w:bCs/>
          <w:sz w:val="24"/>
        </w:rPr>
      </w:pPr>
      <w:r>
        <w:rPr>
          <w:rFonts w:hint="eastAsia" w:ascii="宋体" w:hAnsi="宋体"/>
          <w:b/>
          <w:bCs/>
          <w:sz w:val="24"/>
        </w:rPr>
        <w:t>甲方在显示本协议的乙方网点、电子渠道（包括但不限于电话银行、网上银行、手机银行、微信银行等渠道，下同）选择签名、点击确认或勾选等方式接受本协议即表示甲方</w:t>
      </w:r>
      <w:r>
        <w:rPr>
          <w:rFonts w:ascii="宋体" w:hAnsi="宋体" w:cs="Arial Unicode MS"/>
          <w:b/>
          <w:bCs/>
          <w:color w:val="000000"/>
          <w:kern w:val="0"/>
          <w:sz w:val="24"/>
        </w:rPr>
        <w:t>承诺清楚知晓、接受并遵守本协议</w:t>
      </w:r>
      <w:r>
        <w:rPr>
          <w:rFonts w:hint="eastAsia" w:ascii="宋体" w:hAnsi="宋体" w:cs="Arial Unicode MS"/>
          <w:b/>
          <w:bCs/>
          <w:color w:val="000000"/>
          <w:kern w:val="0"/>
          <w:sz w:val="24"/>
        </w:rPr>
        <w:t>的</w:t>
      </w:r>
      <w:r>
        <w:rPr>
          <w:rFonts w:hint="eastAsia" w:ascii="宋体" w:hAnsi="宋体"/>
          <w:b/>
          <w:bCs/>
          <w:sz w:val="24"/>
        </w:rPr>
        <w:t>全部约定内容以及与本协议有关的各项规定。如甲方不同意本协议的任意内容，或者无法准确理解乙方对条款的解释，请暂停后续操作并通过我行客服进行咨询。</w:t>
      </w:r>
    </w:p>
    <w:p>
      <w:pPr>
        <w:spacing w:line="460" w:lineRule="exact"/>
        <w:ind w:firstLine="482" w:firstLineChars="200"/>
        <w:rPr>
          <w:rFonts w:ascii="宋体" w:hAnsi="宋体"/>
          <w:b/>
          <w:bCs/>
          <w:sz w:val="24"/>
        </w:rPr>
      </w:pPr>
    </w:p>
    <w:p>
      <w:pPr>
        <w:numPr>
          <w:ilvl w:val="0"/>
          <w:numId w:val="8"/>
        </w:numPr>
        <w:spacing w:line="460" w:lineRule="exact"/>
        <w:ind w:firstLine="482" w:firstLineChars="200"/>
        <w:rPr>
          <w:rFonts w:ascii="宋体" w:hAnsi="宋体"/>
          <w:sz w:val="24"/>
        </w:rPr>
      </w:pPr>
      <w:r>
        <w:rPr>
          <w:rFonts w:hint="eastAsia" w:ascii="宋体" w:hAnsi="宋体"/>
          <w:b/>
          <w:bCs/>
          <w:sz w:val="24"/>
        </w:rPr>
        <w:t>乙方仅作为理财产品的代理销售机构，非产品的发行机构或管理机构，对产品的业绩不承担任何保证和其他经济责任，不承担理财产品的投资、兑付和风险管理责任。</w:t>
      </w:r>
      <w:r>
        <w:rPr>
          <w:rFonts w:hint="eastAsia" w:ascii="宋体" w:hAnsi="宋体"/>
          <w:sz w:val="24"/>
        </w:rPr>
        <w:t>如因理财子公司产品的发行、管理、兑付等事宜产生争议或索赔，在法律允许的范围内，甲方同意与理财子公司自行解决，乙方将为甲方之合法利益实现提供必要协助但无需就此承担责任。</w:t>
      </w:r>
    </w:p>
    <w:p>
      <w:pPr>
        <w:numPr>
          <w:ilvl w:val="0"/>
          <w:numId w:val="8"/>
        </w:numPr>
        <w:spacing w:line="460" w:lineRule="exact"/>
        <w:ind w:firstLine="482" w:firstLineChars="200"/>
        <w:rPr>
          <w:rFonts w:ascii="宋体" w:hAnsi="宋体"/>
          <w:sz w:val="24"/>
        </w:rPr>
      </w:pPr>
      <w:r>
        <w:rPr>
          <w:rFonts w:hint="eastAsia" w:ascii="宋体" w:hAnsi="宋体"/>
          <w:b/>
          <w:bCs/>
          <w:sz w:val="24"/>
        </w:rPr>
        <w:t>甲方在签署本协议前，应详细阅读产品发行机构提供的《产品说明书》、《风险揭示书》等理财产品销售文件，对产品的基本特征、交易规则、风险评级及适合购买的投资者、投资期限和范围、收益及风险、投资者权利义务等充分了解，清楚知晓甲方在乙方的风险承受能力评级，不得购买高于本人风险承受能力的理财产品。</w:t>
      </w:r>
      <w:r>
        <w:rPr>
          <w:rFonts w:hint="eastAsia" w:ascii="宋体" w:hAnsi="宋体"/>
          <w:sz w:val="24"/>
        </w:rPr>
        <w:t>个人投资风险承受能力评估结果的有效期为一年，若评估结果已超过有效期或者在评级结果有效期内发生了可能影响甲方风险承受能力的情况，甲方需通过乙方的柜面、手机银行或网上银行等乙方渠道重新进行风险承受能力评估。</w:t>
      </w:r>
    </w:p>
    <w:p>
      <w:pPr>
        <w:numPr>
          <w:ilvl w:val="0"/>
          <w:numId w:val="8"/>
        </w:numPr>
        <w:spacing w:line="460" w:lineRule="exact"/>
        <w:ind w:firstLine="480"/>
        <w:rPr>
          <w:rFonts w:ascii="宋体" w:hAnsi="宋体"/>
          <w:sz w:val="24"/>
        </w:rPr>
      </w:pPr>
      <w:r>
        <w:rPr>
          <w:rFonts w:hint="eastAsia" w:ascii="宋体" w:hAnsi="宋体"/>
          <w:b/>
          <w:bCs/>
          <w:sz w:val="24"/>
        </w:rPr>
        <w:t>理财产品参考收益率或业绩比较基准仅供甲方参考，并不作为理财产品发行机构向甲方支付理财收益的承诺。</w:t>
      </w:r>
      <w:r>
        <w:rPr>
          <w:rFonts w:hint="eastAsia" w:ascii="宋体" w:hAnsi="宋体"/>
          <w:sz w:val="24"/>
        </w:rPr>
        <w:t>受国民经济运行情况、宏观政策以及各类突发事件等影响，在理财产品存续期内，收益率水平或发生相应波动，甲方应充分认识并自愿承担上述投资风险。</w:t>
      </w:r>
    </w:p>
    <w:p>
      <w:pPr>
        <w:numPr>
          <w:ilvl w:val="0"/>
          <w:numId w:val="8"/>
        </w:numPr>
        <w:spacing w:line="460" w:lineRule="exact"/>
        <w:ind w:firstLine="482" w:firstLineChars="200"/>
        <w:rPr>
          <w:rFonts w:ascii="宋体" w:hAnsi="宋体"/>
          <w:sz w:val="24"/>
        </w:rPr>
      </w:pPr>
      <w:r>
        <w:rPr>
          <w:rFonts w:hint="eastAsia" w:ascii="宋体" w:hAnsi="宋体"/>
          <w:b/>
          <w:bCs/>
          <w:sz w:val="24"/>
        </w:rPr>
        <w:t>甲方应确认已具有完全民事行为能力。认购/申购乙方代销理财产品出于本人真实意思表示，资金来源合法且为本人自有资金，不存在使用贷款、发行债券等筹集的非自有资金投资的情况，投资行为符合法律、法规及相关监管部门的规定。</w:t>
      </w:r>
      <w:r>
        <w:rPr>
          <w:rFonts w:hint="eastAsia" w:ascii="宋体" w:hAnsi="宋体"/>
          <w:sz w:val="24"/>
        </w:rPr>
        <w:t>提供的个人信息及相关资料真实、合法、完整、有效，如有变更，甲方应及时到乙方办理相关变更手续。</w:t>
      </w:r>
    </w:p>
    <w:p>
      <w:pPr>
        <w:spacing w:line="460" w:lineRule="exact"/>
        <w:ind w:firstLine="482" w:firstLineChars="200"/>
        <w:jc w:val="left"/>
        <w:rPr>
          <w:rFonts w:ascii="楷体" w:hAnsi="楷体" w:eastAsia="楷体"/>
          <w:szCs w:val="21"/>
        </w:rPr>
      </w:pPr>
      <w:r>
        <w:rPr>
          <w:rFonts w:hint="eastAsia" w:ascii="宋体" w:hAnsi="宋体"/>
          <w:b/>
          <w:bCs/>
          <w:sz w:val="24"/>
        </w:rPr>
        <w:t>五、</w:t>
      </w:r>
      <w:r>
        <w:rPr>
          <w:rFonts w:hint="eastAsia" w:ascii="宋体" w:hAnsi="宋体"/>
          <w:sz w:val="24"/>
        </w:rPr>
        <w:t xml:space="preserve">甲方在乙方处以甲方为户名开立个人银行结算账户（以下简称“授权指定账户”），用于理财产品的资金划转及期间、到期款项的返还。  </w:t>
      </w:r>
      <w:r>
        <w:rPr>
          <w:rFonts w:ascii="宋体" w:hAnsi="宋体"/>
          <w:sz w:val="24"/>
        </w:rPr>
        <w:t xml:space="preserve">                          </w:t>
      </w:r>
    </w:p>
    <w:p>
      <w:pPr>
        <w:spacing w:line="460" w:lineRule="exact"/>
        <w:ind w:firstLine="482" w:firstLineChars="200"/>
        <w:rPr>
          <w:rFonts w:ascii="宋体" w:hAnsi="宋体"/>
          <w:b/>
          <w:bCs/>
          <w:sz w:val="24"/>
        </w:rPr>
      </w:pPr>
      <w:r>
        <w:rPr>
          <w:rFonts w:hint="eastAsia" w:ascii="宋体" w:hAnsi="宋体"/>
          <w:b/>
          <w:bCs/>
          <w:sz w:val="24"/>
        </w:rPr>
        <w:t>六、</w:t>
      </w:r>
      <w:r>
        <w:rPr>
          <w:rFonts w:hint="eastAsia" w:ascii="宋体" w:hAnsi="宋体"/>
          <w:sz w:val="24"/>
        </w:rPr>
        <w:t>甲方应在签署本协议后在“授权指定账户”存入足额的购买资金，并确保存入后的账户余额大于或</w:t>
      </w:r>
      <w:r>
        <w:rPr>
          <w:rFonts w:ascii="宋体" w:hAnsi="宋体"/>
          <w:sz w:val="24"/>
        </w:rPr>
        <w:t>等于</w:t>
      </w:r>
      <w:r>
        <w:rPr>
          <w:rFonts w:hint="eastAsia" w:ascii="宋体" w:hAnsi="宋体"/>
          <w:sz w:val="24"/>
        </w:rPr>
        <w:t>购买金额。</w:t>
      </w:r>
      <w:r>
        <w:rPr>
          <w:rFonts w:hint="eastAsia" w:ascii="宋体" w:hAnsi="宋体"/>
          <w:b/>
          <w:bCs/>
          <w:sz w:val="24"/>
        </w:rPr>
        <w:t>因甲方账户资金余额不足，而导致购买不成功，本协议自动终止，乙方不计付理财产品任何收益，并且乙方对此不承担任何责任。</w:t>
      </w:r>
    </w:p>
    <w:p>
      <w:pPr>
        <w:spacing w:line="460" w:lineRule="exact"/>
        <w:ind w:firstLine="482" w:firstLineChars="200"/>
        <w:rPr>
          <w:rFonts w:ascii="宋体" w:hAnsi="宋体"/>
          <w:b/>
          <w:bCs/>
          <w:sz w:val="24"/>
        </w:rPr>
      </w:pPr>
      <w:r>
        <w:rPr>
          <w:rFonts w:hint="eastAsia" w:ascii="宋体" w:hAnsi="宋体"/>
          <w:b/>
          <w:bCs/>
          <w:sz w:val="24"/>
        </w:rPr>
        <w:t>在理财产品发行期内，如因有权机关采取强制措施致使甲方“授权指定账户”购买资金部分或全部被扣划或被冻结而导致购买不成功的，本协议自动终止，乙方不计付理财产品任何收益及相应被扣划的购买资金部分，并且乙方对此不承担任何责任。</w:t>
      </w:r>
    </w:p>
    <w:p>
      <w:pPr>
        <w:spacing w:line="500" w:lineRule="exact"/>
        <w:ind w:firstLine="482" w:firstLineChars="200"/>
        <w:rPr>
          <w:rFonts w:ascii="宋体" w:hAnsi="宋体"/>
          <w:szCs w:val="21"/>
        </w:rPr>
      </w:pPr>
      <w:r>
        <w:rPr>
          <w:rFonts w:hint="eastAsia" w:ascii="宋体" w:hAnsi="宋体"/>
          <w:b/>
          <w:bCs/>
          <w:sz w:val="24"/>
        </w:rPr>
        <w:t>七、</w:t>
      </w:r>
      <w:r>
        <w:rPr>
          <w:rFonts w:hint="eastAsia" w:ascii="宋体" w:hAnsi="宋体"/>
          <w:sz w:val="24"/>
        </w:rPr>
        <w:t>甲方认购\申购理财产品时，乙方将冻结甲方“授权指定账户”内的购买金额，并按照约定时间划转至产品发行人指定账户。购买资金冻结期间，按乙方公布的活期存款利率计付利息。</w:t>
      </w:r>
      <w:r>
        <w:rPr>
          <w:rFonts w:hint="eastAsia" w:ascii="宋体" w:hAnsi="宋体"/>
          <w:b/>
          <w:sz w:val="24"/>
        </w:rPr>
        <w:t>购买资金自划转之日起至返还甲方账户期间不计付存款利息。</w:t>
      </w:r>
      <w:r>
        <w:rPr>
          <w:rFonts w:hint="eastAsia" w:ascii="宋体" w:hAnsi="宋体"/>
          <w:sz w:val="24"/>
        </w:rPr>
        <w:t>购买资金冻结期间，甲方不得提取或转移已冻结资金。</w:t>
      </w:r>
    </w:p>
    <w:p>
      <w:pPr>
        <w:spacing w:line="460" w:lineRule="exact"/>
        <w:ind w:firstLine="482" w:firstLineChars="200"/>
        <w:rPr>
          <w:rFonts w:ascii="宋体" w:hAnsi="宋体"/>
          <w:b/>
          <w:bCs/>
          <w:sz w:val="24"/>
        </w:rPr>
      </w:pPr>
      <w:r>
        <w:rPr>
          <w:rFonts w:hint="eastAsia" w:ascii="宋体" w:hAnsi="宋体"/>
          <w:b/>
          <w:bCs/>
          <w:sz w:val="24"/>
        </w:rPr>
        <w:t>八、本协议终止前，甲方可以变更“授权指定账户”,但该账户存在在途交易的情形除外,在途交易指未完成资金清算及份额确认的交易,包括但不限于开放式产品的预受理交易、封闭式产品处于募集期的认购交易。如“授权指定账户”为甲方在我行的唯一理财产品签约账户且有在途交易或存续产品，则该“授权指定账户”不得销户。若发生因甲方注销“授权指定账户”造成无法正常领取到期或期间款项的，乙方不承担任何责任。</w:t>
      </w:r>
    </w:p>
    <w:p>
      <w:pPr>
        <w:spacing w:line="460" w:lineRule="exact"/>
        <w:ind w:firstLine="482" w:firstLineChars="200"/>
        <w:rPr>
          <w:rFonts w:ascii="宋体" w:hAnsi="宋体"/>
          <w:bCs/>
          <w:sz w:val="24"/>
        </w:rPr>
      </w:pPr>
      <w:r>
        <w:rPr>
          <w:rFonts w:hint="eastAsia" w:ascii="宋体" w:hAnsi="宋体"/>
          <w:b/>
          <w:sz w:val="24"/>
        </w:rPr>
        <w:t>九、甲方同意并授权乙方有权根据代销理财业务调取收集乙方开户留存的有效身份证件或者其他身份证明文件信息，并留存业务所需的个人金融信息。</w:t>
      </w:r>
      <w:r>
        <w:rPr>
          <w:rFonts w:hint="eastAsia" w:ascii="宋体" w:hAnsi="宋体"/>
          <w:bCs/>
          <w:sz w:val="24"/>
        </w:rPr>
        <w:t>乙方将恪守</w:t>
      </w:r>
      <w:r>
        <w:rPr>
          <w:rFonts w:ascii="宋体" w:hAnsi="宋体"/>
          <w:bCs/>
          <w:sz w:val="24"/>
        </w:rPr>
        <w:t>对</w:t>
      </w:r>
      <w:r>
        <w:rPr>
          <w:rFonts w:hint="eastAsia" w:ascii="宋体" w:hAnsi="宋体"/>
          <w:bCs/>
          <w:sz w:val="24"/>
        </w:rPr>
        <w:t>甲</w:t>
      </w:r>
      <w:r>
        <w:rPr>
          <w:rFonts w:ascii="宋体" w:hAnsi="宋体"/>
          <w:bCs/>
          <w:sz w:val="24"/>
        </w:rPr>
        <w:t>方信息的保密义务，并严格按照</w:t>
      </w:r>
      <w:r>
        <w:rPr>
          <w:rFonts w:hint="eastAsia" w:ascii="宋体" w:hAnsi="宋体"/>
          <w:bCs/>
          <w:sz w:val="24"/>
        </w:rPr>
        <w:t>甲</w:t>
      </w:r>
      <w:r>
        <w:rPr>
          <w:rFonts w:ascii="宋体" w:hAnsi="宋体"/>
          <w:bCs/>
          <w:sz w:val="24"/>
        </w:rPr>
        <w:t>方授权或双方约定</w:t>
      </w:r>
      <w:r>
        <w:rPr>
          <w:rFonts w:hint="eastAsia" w:ascii="宋体" w:hAnsi="宋体"/>
          <w:bCs/>
          <w:sz w:val="24"/>
        </w:rPr>
        <w:t>使用</w:t>
      </w:r>
      <w:r>
        <w:rPr>
          <w:rFonts w:ascii="宋体" w:hAnsi="宋体"/>
          <w:bCs/>
          <w:sz w:val="24"/>
        </w:rPr>
        <w:t>和披露</w:t>
      </w:r>
      <w:r>
        <w:rPr>
          <w:rFonts w:hint="eastAsia" w:ascii="宋体" w:hAnsi="宋体"/>
          <w:bCs/>
          <w:sz w:val="24"/>
        </w:rPr>
        <w:t>甲</w:t>
      </w:r>
      <w:r>
        <w:rPr>
          <w:rFonts w:ascii="宋体" w:hAnsi="宋体"/>
          <w:bCs/>
          <w:sz w:val="24"/>
        </w:rPr>
        <w:t>方信息，</w:t>
      </w:r>
      <w:r>
        <w:rPr>
          <w:rFonts w:hint="eastAsia" w:ascii="宋体" w:hAnsi="宋体"/>
          <w:bCs/>
          <w:sz w:val="24"/>
        </w:rPr>
        <w:t>但为</w:t>
      </w:r>
      <w:r>
        <w:rPr>
          <w:rFonts w:ascii="宋体" w:hAnsi="宋体"/>
          <w:bCs/>
          <w:sz w:val="24"/>
        </w:rPr>
        <w:t>履行</w:t>
      </w:r>
      <w:r>
        <w:rPr>
          <w:rFonts w:hint="eastAsia" w:ascii="宋体" w:hAnsi="宋体"/>
          <w:bCs/>
          <w:sz w:val="24"/>
        </w:rPr>
        <w:t>本协议之目的</w:t>
      </w:r>
      <w:r>
        <w:rPr>
          <w:rFonts w:ascii="宋体" w:hAnsi="宋体"/>
          <w:bCs/>
          <w:sz w:val="24"/>
        </w:rPr>
        <w:t>而向</w:t>
      </w:r>
      <w:r>
        <w:rPr>
          <w:rFonts w:hint="eastAsia" w:ascii="宋体" w:hAnsi="宋体"/>
          <w:bCs/>
          <w:sz w:val="24"/>
        </w:rPr>
        <w:t>乙方分支机构或合作服务机构提供的或法律法规、监管部门另有要求</w:t>
      </w:r>
      <w:r>
        <w:rPr>
          <w:rFonts w:ascii="宋体" w:hAnsi="宋体"/>
          <w:bCs/>
          <w:sz w:val="24"/>
        </w:rPr>
        <w:t>的除外</w:t>
      </w:r>
      <w:r>
        <w:rPr>
          <w:rFonts w:hint="eastAsia" w:ascii="宋体" w:hAnsi="宋体"/>
          <w:bCs/>
          <w:sz w:val="24"/>
        </w:rPr>
        <w:t>。</w:t>
      </w:r>
    </w:p>
    <w:p>
      <w:pPr>
        <w:spacing w:line="460" w:lineRule="exact"/>
        <w:ind w:firstLine="482" w:firstLineChars="200"/>
        <w:rPr>
          <w:rFonts w:ascii="宋体" w:hAnsi="宋体"/>
          <w:b/>
          <w:sz w:val="24"/>
        </w:rPr>
      </w:pPr>
      <w:r>
        <w:rPr>
          <w:rFonts w:hint="eastAsia" w:ascii="宋体" w:hAnsi="宋体"/>
          <w:b/>
          <w:bCs/>
          <w:sz w:val="24"/>
        </w:rPr>
        <w:t>十、</w:t>
      </w:r>
      <w:r>
        <w:rPr>
          <w:rFonts w:hint="eastAsia" w:ascii="宋体" w:hAnsi="宋体"/>
          <w:b/>
          <w:sz w:val="24"/>
        </w:rPr>
        <w:t>甲方同意并授权乙方可通过短信、信函、电子邮件、微信公众号、银行客户端APP信息推送等形式向甲方发送通知，内容包括银行账户基本情况、持有产品的基本情况、功能变更、产品服务等。甲方如不同意本条约定，可在收到相关信息后回复指定字符或联系乙方客服电话进行退订。</w:t>
      </w:r>
    </w:p>
    <w:p>
      <w:pPr>
        <w:spacing w:line="460" w:lineRule="exact"/>
        <w:ind w:firstLine="482" w:firstLineChars="200"/>
        <w:rPr>
          <w:rFonts w:ascii="宋体" w:hAnsi="宋体"/>
          <w:b/>
          <w:sz w:val="24"/>
        </w:rPr>
      </w:pPr>
      <w:r>
        <w:rPr>
          <w:rFonts w:hint="eastAsia" w:ascii="宋体" w:hAnsi="宋体"/>
          <w:b/>
          <w:sz w:val="24"/>
        </w:rPr>
        <w:t>十一、甲方需妥善保管好个人信息、账户信息、短信验证码、密码等，凡需甲方输入短信验证码、密码等办理的业务，均视为甲方本人办理，因上述信息保管不善所造成的损失均由甲方承担。</w:t>
      </w:r>
    </w:p>
    <w:p>
      <w:pPr>
        <w:spacing w:line="460" w:lineRule="exact"/>
        <w:ind w:firstLine="482" w:firstLineChars="200"/>
        <w:rPr>
          <w:rFonts w:ascii="宋体" w:hAnsi="宋体"/>
          <w:b/>
          <w:sz w:val="24"/>
        </w:rPr>
      </w:pPr>
      <w:r>
        <w:rPr>
          <w:rFonts w:hint="eastAsia" w:ascii="宋体" w:hAnsi="宋体"/>
          <w:b/>
          <w:sz w:val="24"/>
        </w:rPr>
        <w:t>十二、甲方承诺严格遵守反洗钱相关法律法规和规章制度，不会参与或协助洗钱、恐怖融资、逃税活动等违法行为。一旦乙方发现或有合理理由怀疑甲方涉及相关违法活动的，乙方有权提前终止本协议，因此对甲方造成的损失，乙方不承担责任。</w:t>
      </w:r>
    </w:p>
    <w:p>
      <w:pPr>
        <w:spacing w:line="460" w:lineRule="exact"/>
        <w:ind w:firstLine="482" w:firstLineChars="200"/>
        <w:rPr>
          <w:rFonts w:ascii="宋体" w:hAnsi="宋体"/>
          <w:sz w:val="24"/>
        </w:rPr>
      </w:pPr>
      <w:r>
        <w:rPr>
          <w:rFonts w:hint="eastAsia" w:ascii="宋体" w:hAnsi="宋体"/>
          <w:b/>
          <w:bCs/>
          <w:sz w:val="24"/>
        </w:rPr>
        <w:t>十三</w:t>
      </w:r>
      <w:r>
        <w:rPr>
          <w:rFonts w:hint="eastAsia" w:ascii="宋体" w:hAnsi="宋体"/>
          <w:sz w:val="24"/>
        </w:rPr>
        <w:t>、免责条款</w:t>
      </w:r>
    </w:p>
    <w:p>
      <w:pPr>
        <w:spacing w:line="460" w:lineRule="exact"/>
        <w:ind w:firstLine="480" w:firstLineChars="200"/>
        <w:rPr>
          <w:rFonts w:ascii="宋体" w:hAnsi="宋体"/>
          <w:sz w:val="24"/>
        </w:rPr>
      </w:pPr>
      <w:r>
        <w:rPr>
          <w:rFonts w:hint="eastAsia" w:ascii="宋体" w:hAnsi="宋体"/>
          <w:sz w:val="24"/>
        </w:rPr>
        <w:t>（一）由于地震、火灾、战争、罢工、疫情防控或者国家有关法律、法规、规章、政策的改变、紧急措施的出台等不可抗力导致的交易中断、延误、禁止等任何风险及损失，乙方不承担责任，但应在条件允许的情况下通知甲方，并采取一切必要的补救措施以减小不可抗力造成的损失。</w:t>
      </w:r>
    </w:p>
    <w:p>
      <w:pPr>
        <w:spacing w:line="460" w:lineRule="exact"/>
        <w:ind w:firstLine="480" w:firstLineChars="200"/>
        <w:rPr>
          <w:rFonts w:ascii="宋体" w:hAnsi="宋体"/>
          <w:sz w:val="24"/>
        </w:rPr>
      </w:pPr>
      <w:r>
        <w:rPr>
          <w:rFonts w:hint="eastAsia" w:ascii="宋体" w:hAnsi="宋体"/>
          <w:sz w:val="24"/>
        </w:rPr>
        <w:t>（二）在理财产品发行期内，甲方“授权指定账户”内购买资金全部或部分被有权机关冻结、扣划或处置，乙方不承担责任。</w:t>
      </w:r>
    </w:p>
    <w:p>
      <w:pPr>
        <w:spacing w:line="460" w:lineRule="exact"/>
        <w:ind w:firstLine="480" w:firstLineChars="200"/>
        <w:rPr>
          <w:rFonts w:ascii="宋体" w:hAnsi="宋体"/>
          <w:sz w:val="24"/>
        </w:rPr>
      </w:pPr>
      <w:r>
        <w:rPr>
          <w:rFonts w:hint="eastAsia" w:ascii="宋体" w:hAnsi="宋体"/>
          <w:sz w:val="24"/>
        </w:rPr>
        <w:t>（三）在理财产品存续期内，甲方购买的理财产品被有权机关冻结、扣划或处置，乙方不承担责任。</w:t>
      </w:r>
    </w:p>
    <w:p>
      <w:pPr>
        <w:spacing w:line="460" w:lineRule="exact"/>
        <w:ind w:firstLine="482" w:firstLineChars="200"/>
        <w:rPr>
          <w:rFonts w:ascii="宋体" w:hAnsi="宋体"/>
          <w:b/>
          <w:bCs/>
          <w:sz w:val="24"/>
        </w:rPr>
      </w:pPr>
      <w:r>
        <w:rPr>
          <w:rFonts w:hint="eastAsia" w:ascii="宋体" w:hAnsi="宋体"/>
          <w:b/>
          <w:bCs/>
          <w:sz w:val="24"/>
        </w:rPr>
        <w:t>十四、本协议书适用中华人民共和国大陆地区的法律。本协议项下的及与之有关的一切争议，双方应首先友好协商解决，协商不成的，任何一方应向乙方所在地法院提起诉讼。</w:t>
      </w:r>
    </w:p>
    <w:p>
      <w:pPr>
        <w:spacing w:line="460" w:lineRule="exact"/>
        <w:ind w:firstLine="482" w:firstLineChars="200"/>
        <w:rPr>
          <w:rFonts w:ascii="宋体" w:hAnsi="宋体"/>
          <w:sz w:val="24"/>
        </w:rPr>
      </w:pPr>
      <w:r>
        <w:rPr>
          <w:rFonts w:hint="eastAsia" w:ascii="宋体" w:hAnsi="宋体"/>
          <w:b/>
          <w:bCs/>
          <w:sz w:val="24"/>
        </w:rPr>
        <w:t>十五、</w:t>
      </w:r>
      <w:r>
        <w:rPr>
          <w:rFonts w:hint="eastAsia" w:ascii="宋体" w:hAnsi="宋体"/>
          <w:sz w:val="24"/>
        </w:rPr>
        <w:t xml:space="preserve">乙方有关事项的通知、协议等文件以及就协议发生纠纷时相关文件和法律文书送达，可以通过邮寄、电子设备终端等方式按甲方向乙方提供的联系地址进行送达，上述送达地址的适用范围包括非诉阶段和争议进入诉讼程序后的一审、二审、再审和执行程序。 </w:t>
      </w:r>
    </w:p>
    <w:p>
      <w:pPr>
        <w:spacing w:line="460" w:lineRule="exact"/>
        <w:ind w:firstLine="480" w:firstLineChars="200"/>
        <w:rPr>
          <w:rFonts w:ascii="宋体" w:hAnsi="宋体"/>
          <w:sz w:val="24"/>
        </w:rPr>
      </w:pPr>
      <w:r>
        <w:rPr>
          <w:rFonts w:hint="eastAsia" w:ascii="宋体" w:hAnsi="宋体"/>
          <w:sz w:val="24"/>
        </w:rPr>
        <w:t>甲方送达地址等任一事项发生变更的，应最迟于两个工作日内书面通知乙方。</w:t>
      </w:r>
    </w:p>
    <w:p>
      <w:pPr>
        <w:spacing w:line="460" w:lineRule="exact"/>
        <w:ind w:firstLine="480" w:firstLineChars="200"/>
        <w:rPr>
          <w:rFonts w:ascii="宋体" w:hAnsi="宋体"/>
          <w:sz w:val="24"/>
        </w:rPr>
      </w:pPr>
      <w:r>
        <w:rPr>
          <w:rFonts w:hint="eastAsia" w:ascii="宋体" w:hAnsi="宋体"/>
          <w:sz w:val="24"/>
        </w:rPr>
        <w:t>甲方未按前述方式履行通知义务，其所确认的送达地址仍视为有效送达地址。若甲方送达地址变更未及时通知乙方，乙方按原送达地址送达的，或因甲方提供的变更送达地址不准确导致被退回的，均视为已送达。</w:t>
      </w:r>
    </w:p>
    <w:p>
      <w:pPr>
        <w:spacing w:line="460" w:lineRule="exact"/>
        <w:ind w:firstLine="480" w:firstLineChars="200"/>
        <w:rPr>
          <w:rFonts w:ascii="宋体" w:hAnsi="宋体"/>
          <w:sz w:val="24"/>
        </w:rPr>
      </w:pPr>
      <w:r>
        <w:rPr>
          <w:rFonts w:hint="eastAsia" w:ascii="宋体" w:hAnsi="宋体"/>
          <w:sz w:val="24"/>
        </w:rPr>
        <w:t>按本协议中约定的通知方式，邮寄送达的，送达日为投寄挂号信邮戳之日；专程送达的，送达日为收件人签收之日；采用电报、传真方式送达的，送达日为电报、传真到达对方之日；采用电子设备终端方式送达的，送达日为发件人发出之日。</w:t>
      </w:r>
    </w:p>
    <w:p>
      <w:pPr>
        <w:spacing w:line="460" w:lineRule="exact"/>
        <w:ind w:firstLine="482" w:firstLineChars="200"/>
        <w:rPr>
          <w:rFonts w:ascii="宋体" w:hAnsi="宋体"/>
          <w:sz w:val="24"/>
        </w:rPr>
      </w:pPr>
      <w:r>
        <w:rPr>
          <w:rFonts w:hint="eastAsia" w:ascii="宋体" w:hAnsi="宋体"/>
          <w:b/>
          <w:bCs/>
          <w:sz w:val="24"/>
        </w:rPr>
        <w:t>十六、</w:t>
      </w:r>
      <w:r>
        <w:rPr>
          <w:rFonts w:hint="eastAsia" w:ascii="宋体" w:hAnsi="宋体"/>
          <w:sz w:val="24"/>
        </w:rPr>
        <w:t>甲方若通过乙方柜面渠道购买理财产品的，本协议书自甲方签字、乙方经办人员签章并加盖业务专用章后生效，协议一式贰份，双方各执一份，且具有同等法律效力。</w:t>
      </w:r>
    </w:p>
    <w:p>
      <w:pPr>
        <w:spacing w:line="460" w:lineRule="exact"/>
        <w:ind w:firstLine="480" w:firstLineChars="200"/>
        <w:rPr>
          <w:rFonts w:ascii="宋体" w:hAnsi="宋体"/>
          <w:sz w:val="24"/>
        </w:rPr>
      </w:pPr>
      <w:r>
        <w:rPr>
          <w:rFonts w:hint="eastAsia" w:ascii="宋体" w:hAnsi="宋体"/>
          <w:sz w:val="24"/>
        </w:rPr>
        <w:t>根据《中华人民共和国</w:t>
      </w:r>
      <w:r>
        <w:rPr>
          <w:rFonts w:hint="eastAsia" w:ascii="宋体" w:hAnsi="宋体"/>
          <w:sz w:val="24"/>
          <w:lang w:val="en-US" w:eastAsia="zh-CN"/>
        </w:rPr>
        <w:t>民法典</w:t>
      </w:r>
      <w:r>
        <w:rPr>
          <w:rFonts w:hint="eastAsia" w:ascii="宋体" w:hAnsi="宋体"/>
          <w:sz w:val="24"/>
        </w:rPr>
        <w:t>》、《中华人民共和国电子签名法》关于民事合同使用数据电文、电子签名的规定，采用电子签名签订的电子签名合同、风险揭示书具有与纸质合同、纸质风险揭示书同等的法律效力。以此作为法律依据，本着提高合同签署效率的目的，投资者同意自本代销理财产品协议书签订之日起，投资者在</w:t>
      </w:r>
      <w:r>
        <w:rPr>
          <w:rFonts w:hint="eastAsia" w:ascii="宋体" w:hAnsi="宋体"/>
          <w:sz w:val="24"/>
          <w:lang w:eastAsia="zh-CN"/>
        </w:rPr>
        <w:t>代理销售机构</w:t>
      </w:r>
      <w:r>
        <w:rPr>
          <w:rFonts w:hint="eastAsia" w:ascii="宋体" w:hAnsi="宋体"/>
          <w:sz w:val="24"/>
        </w:rPr>
        <w:t>交易理财产品过程中，可以使用电子合同、电子签名。投资者通过身份验证</w:t>
      </w:r>
      <w:r>
        <w:rPr>
          <w:rFonts w:hint="eastAsia" w:ascii="宋体" w:hAnsi="宋体"/>
          <w:sz w:val="24"/>
          <w:lang w:eastAsia="zh-CN"/>
        </w:rPr>
        <w:t>代理销售机构</w:t>
      </w:r>
      <w:r>
        <w:rPr>
          <w:rFonts w:hint="eastAsia" w:ascii="宋体" w:hAnsi="宋体"/>
          <w:sz w:val="24"/>
        </w:rPr>
        <w:t>指定的网络系统，确认同意接受相关电子签名合同，风险揭示书或其他文书的，视为签署合同、签署风险揭示书或其他文书，与在纸质合同、纸质风险揭示书或其他文书上手写抄写、签名或者盖章具有同等的法律效力，无须另行签署纸质合同或纸质风险揭示书或其他文书。</w:t>
      </w:r>
    </w:p>
    <w:p>
      <w:pPr>
        <w:spacing w:line="460" w:lineRule="exact"/>
        <w:ind w:firstLine="480" w:firstLineChars="200"/>
        <w:rPr>
          <w:rFonts w:ascii="宋体" w:hAnsi="宋体"/>
          <w:sz w:val="24"/>
        </w:rPr>
      </w:pPr>
      <w:r>
        <w:rPr>
          <w:rFonts w:hint="eastAsia" w:ascii="宋体" w:hAnsi="宋体"/>
          <w:sz w:val="24"/>
        </w:rPr>
        <w:t>投资者应妥善保管和使用本人的签约账号、客户号、密码及电子身份证书，经投资者密码登录本人账户后的所有操作，以及</w:t>
      </w:r>
      <w:r>
        <w:rPr>
          <w:rFonts w:hint="eastAsia" w:ascii="宋体" w:hAnsi="宋体"/>
          <w:sz w:val="24"/>
          <w:lang w:eastAsia="zh-CN"/>
        </w:rPr>
        <w:t>代理销售机构</w:t>
      </w:r>
      <w:r>
        <w:rPr>
          <w:rFonts w:hint="eastAsia" w:ascii="宋体" w:hAnsi="宋体"/>
          <w:sz w:val="24"/>
        </w:rPr>
        <w:t>根据投资者的业务指令办理业务，对所有使用上述信息进行的操作均视为投资者本人行为，该操作所产生的电子信息记录均为</w:t>
      </w:r>
      <w:r>
        <w:rPr>
          <w:rFonts w:hint="eastAsia" w:ascii="宋体" w:hAnsi="宋体"/>
          <w:sz w:val="24"/>
          <w:lang w:eastAsia="zh-CN"/>
        </w:rPr>
        <w:t>代理销售机构</w:t>
      </w:r>
      <w:r>
        <w:rPr>
          <w:rFonts w:hint="eastAsia" w:ascii="宋体" w:hAnsi="宋体"/>
          <w:sz w:val="24"/>
        </w:rPr>
        <w:t>处理电子签名合同业务的有效凭据，投资者承担由此产生的一切法律后果。</w:t>
      </w:r>
    </w:p>
    <w:p>
      <w:pPr>
        <w:spacing w:line="460" w:lineRule="exact"/>
        <w:ind w:firstLine="482" w:firstLineChars="200"/>
        <w:rPr>
          <w:rFonts w:ascii="宋体" w:hAnsi="宋体" w:cs="Arial Unicode MS"/>
          <w:b/>
          <w:bCs/>
          <w:color w:val="000000"/>
          <w:kern w:val="0"/>
          <w:sz w:val="24"/>
        </w:rPr>
      </w:pPr>
      <w:r>
        <w:rPr>
          <w:rFonts w:hint="eastAsia" w:ascii="宋体" w:hAnsi="宋体"/>
          <w:b/>
          <w:sz w:val="24"/>
        </w:rPr>
        <w:t>十七、</w:t>
      </w:r>
      <w:r>
        <w:rPr>
          <w:rFonts w:hint="eastAsia" w:ascii="宋体" w:hAnsi="宋体"/>
          <w:bCs/>
          <w:sz w:val="24"/>
        </w:rPr>
        <w:t>本协议项下各方权利义务履行完毕之日，本协议自动终止。</w:t>
      </w:r>
    </w:p>
    <w:p>
      <w:pPr>
        <w:spacing w:line="460" w:lineRule="exact"/>
        <w:rPr>
          <w:rFonts w:ascii="宋体" w:hAnsi="宋体"/>
          <w:b/>
          <w:sz w:val="24"/>
        </w:rPr>
      </w:pPr>
      <w:r>
        <w:rPr>
          <w:rFonts w:ascii="宋体" w:hAnsi="宋体"/>
          <w:sz w:val="24"/>
        </w:rPr>
        <w:br w:type="page"/>
      </w:r>
    </w:p>
    <w:p>
      <w:pPr>
        <w:spacing w:line="460" w:lineRule="exact"/>
        <w:ind w:firstLine="482" w:firstLineChars="200"/>
        <w:rPr>
          <w:rFonts w:ascii="宋体" w:hAnsi="宋体"/>
          <w:b/>
          <w:sz w:val="24"/>
        </w:rPr>
      </w:pPr>
      <w:r>
        <w:rPr>
          <w:rFonts w:hint="eastAsia" w:ascii="宋体" w:hAnsi="宋体"/>
          <w:b/>
          <w:sz w:val="24"/>
        </w:rPr>
        <w:t>甲方重要声明：</w:t>
      </w:r>
    </w:p>
    <w:p>
      <w:pPr>
        <w:spacing w:line="460" w:lineRule="exact"/>
        <w:ind w:firstLine="482" w:firstLineChars="200"/>
        <w:rPr>
          <w:rFonts w:ascii="宋体" w:hAnsi="宋体"/>
          <w:b/>
          <w:sz w:val="24"/>
        </w:rPr>
      </w:pPr>
      <w:r>
        <w:rPr>
          <w:rFonts w:hint="eastAsia" w:ascii="宋体" w:hAnsi="宋体"/>
          <w:b/>
          <w:sz w:val="24"/>
        </w:rPr>
        <w:t>在签署本协议书前，本人已认真阅读本协议书及客户权益须知，充分认识理财产品的投资风险以及乙方的</w:t>
      </w:r>
      <w:r>
        <w:rPr>
          <w:rFonts w:ascii="宋体" w:hAnsi="宋体"/>
          <w:b/>
          <w:sz w:val="24"/>
        </w:rPr>
        <w:t>免责</w:t>
      </w:r>
      <w:r>
        <w:rPr>
          <w:rFonts w:hint="eastAsia" w:ascii="宋体" w:hAnsi="宋体"/>
          <w:b/>
          <w:sz w:val="24"/>
        </w:rPr>
        <w:t>情形，乙方就本协议书的全部条款已向本人进行了详细地说明和解释，双方对合同的全部条款均无疑义，并对有关权利义务和责任限制或免除条款的法律含义有准确无误的理解。</w:t>
      </w:r>
    </w:p>
    <w:p>
      <w:pPr>
        <w:spacing w:line="460" w:lineRule="exact"/>
        <w:ind w:firstLine="482" w:firstLineChars="200"/>
        <w:rPr>
          <w:rFonts w:ascii="宋体" w:hAnsi="宋体"/>
          <w:b/>
          <w:sz w:val="24"/>
        </w:rPr>
      </w:pP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p>
    <w:p>
      <w:pPr>
        <w:spacing w:line="460" w:lineRule="exact"/>
        <w:ind w:firstLine="480" w:firstLineChars="200"/>
        <w:outlineLvl w:val="1"/>
        <w:rPr>
          <w:rFonts w:ascii="宋体" w:hAnsi="宋体"/>
          <w:sz w:val="24"/>
        </w:rPr>
      </w:pPr>
      <w:r>
        <w:rPr>
          <w:rFonts w:hint="eastAsia" w:ascii="宋体" w:hAnsi="宋体"/>
          <w:sz w:val="24"/>
        </w:rPr>
        <w:t>甲方签字：                    乙方（盖章）：</w:t>
      </w:r>
    </w:p>
    <w:p>
      <w:pPr>
        <w:spacing w:line="460" w:lineRule="exact"/>
        <w:ind w:firstLine="480" w:firstLineChars="200"/>
        <w:outlineLvl w:val="1"/>
        <w:rPr>
          <w:rFonts w:ascii="宋体" w:hAnsi="宋体"/>
          <w:sz w:val="24"/>
        </w:rPr>
      </w:pPr>
      <w:r>
        <w:rPr>
          <w:rFonts w:hint="eastAsia" w:ascii="宋体" w:hAnsi="宋体"/>
          <w:sz w:val="24"/>
        </w:rPr>
        <w:t xml:space="preserve">                              经办人员（签章）：</w:t>
      </w: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p>
    <w:p>
      <w:pPr>
        <w:spacing w:line="460" w:lineRule="exact"/>
        <w:ind w:firstLine="480" w:firstLineChars="200"/>
        <w:outlineLvl w:val="1"/>
        <w:rPr>
          <w:rFonts w:ascii="宋体" w:hAnsi="宋体"/>
          <w:sz w:val="24"/>
        </w:rPr>
      </w:pPr>
      <w:r>
        <w:rPr>
          <w:rFonts w:hint="eastAsia" w:ascii="宋体" w:hAnsi="宋体"/>
          <w:sz w:val="24"/>
        </w:rPr>
        <w:t>签署日期：</w:t>
      </w: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p>
    <w:p>
      <w:pPr>
        <w:rPr>
          <w:rFonts w:hint="eastAsia" w:ascii="宋体" w:hAnsi="宋体"/>
          <w:sz w:val="22"/>
          <w:szCs w:val="22"/>
          <w:lang w:val="zh-CN"/>
        </w:rPr>
      </w:pPr>
      <w:r>
        <w:rPr>
          <w:rFonts w:hint="eastAsia" w:ascii="宋体" w:hAnsi="宋体"/>
          <w:sz w:val="22"/>
          <w:szCs w:val="22"/>
          <w:lang w:val="zh-CN"/>
        </w:rPr>
        <w:br w:type="page"/>
      </w:r>
    </w:p>
    <w:p>
      <w:pPr>
        <w:spacing w:line="470" w:lineRule="exact"/>
        <w:jc w:val="center"/>
        <w:rPr>
          <w:rFonts w:hint="eastAsia" w:ascii="宋体" w:hAnsi="宋体"/>
          <w:b/>
          <w:sz w:val="32"/>
          <w:szCs w:val="32"/>
        </w:rPr>
      </w:pPr>
      <w:r>
        <w:rPr>
          <w:rFonts w:hint="eastAsia" w:ascii="宋体" w:hAnsi="宋体"/>
          <w:b/>
          <w:sz w:val="32"/>
          <w:szCs w:val="32"/>
        </w:rPr>
        <w:t>代理销售理财产品协议书</w:t>
      </w:r>
    </w:p>
    <w:p>
      <w:pPr>
        <w:spacing w:line="470" w:lineRule="exact"/>
        <w:jc w:val="center"/>
        <w:rPr>
          <w:rFonts w:ascii="宋体" w:hAnsi="宋体"/>
          <w:b/>
          <w:szCs w:val="21"/>
        </w:rPr>
      </w:pPr>
      <w:r>
        <w:rPr>
          <w:rFonts w:hint="eastAsia" w:ascii="宋体" w:hAnsi="宋体"/>
          <w:b/>
          <w:sz w:val="32"/>
          <w:szCs w:val="32"/>
        </w:rPr>
        <w:t>（适用于机构客户）</w:t>
      </w:r>
    </w:p>
    <w:p>
      <w:pPr>
        <w:spacing w:line="470" w:lineRule="exact"/>
        <w:ind w:right="480"/>
        <w:rPr>
          <w:rFonts w:ascii="仿宋_GB2312" w:eastAsia="仿宋_GB2312"/>
          <w:b/>
          <w:sz w:val="28"/>
          <w:szCs w:val="28"/>
        </w:rPr>
      </w:pPr>
      <w:r>
        <w:rPr>
          <w:rFonts w:hint="eastAsia" w:ascii="仿宋_GB2312" w:hAnsi="宋体" w:eastAsia="仿宋_GB2312"/>
          <w:sz w:val="24"/>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p>
    <w:p>
      <w:pPr>
        <w:spacing w:line="470" w:lineRule="exact"/>
        <w:rPr>
          <w:rFonts w:ascii="仿宋_GB2312" w:eastAsia="仿宋_GB2312"/>
          <w:sz w:val="28"/>
          <w:szCs w:val="28"/>
        </w:rPr>
      </w:pPr>
      <w:r>
        <w:rPr>
          <w:rFonts w:hint="eastAsia" w:ascii="仿宋_GB2312" w:eastAsia="仿宋_GB2312"/>
          <w:b/>
          <w:sz w:val="28"/>
          <w:szCs w:val="28"/>
        </w:rPr>
        <w:t>甲方</w:t>
      </w:r>
      <w:r>
        <w:rPr>
          <w:rFonts w:hint="eastAsia" w:ascii="仿宋_GB2312" w:eastAsia="仿宋_GB2312"/>
          <w:sz w:val="28"/>
          <w:szCs w:val="28"/>
        </w:rPr>
        <w:t>：</w:t>
      </w:r>
      <w:r>
        <w:rPr>
          <w:rFonts w:hint="eastAsia" w:ascii="仿宋_GB2312" w:eastAsia="仿宋_GB2312"/>
          <w:sz w:val="28"/>
          <w:szCs w:val="28"/>
          <w:u w:val="single"/>
        </w:rPr>
        <w:t xml:space="preserve">                         </w:t>
      </w:r>
    </w:p>
    <w:p>
      <w:pPr>
        <w:spacing w:line="470" w:lineRule="exact"/>
        <w:rPr>
          <w:rFonts w:ascii="仿宋_GB2312" w:eastAsia="仿宋_GB2312"/>
          <w:sz w:val="28"/>
          <w:szCs w:val="28"/>
          <w:u w:val="single"/>
        </w:rPr>
      </w:pPr>
      <w:r>
        <w:rPr>
          <w:rFonts w:hint="eastAsia" w:ascii="仿宋_GB2312" w:eastAsia="仿宋_GB2312"/>
          <w:sz w:val="28"/>
          <w:szCs w:val="28"/>
        </w:rPr>
        <w:t xml:space="preserve">地址： </w:t>
      </w:r>
      <w:r>
        <w:rPr>
          <w:rFonts w:hint="eastAsia" w:ascii="仿宋_GB2312" w:eastAsia="仿宋_GB2312"/>
          <w:sz w:val="28"/>
          <w:szCs w:val="28"/>
          <w:u w:val="single"/>
        </w:rPr>
        <w:t xml:space="preserve">                       </w:t>
      </w:r>
      <w:r>
        <w:rPr>
          <w:rFonts w:hint="eastAsia" w:ascii="仿宋_GB2312" w:eastAsia="仿宋_GB2312"/>
          <w:sz w:val="28"/>
          <w:szCs w:val="28"/>
        </w:rPr>
        <w:t xml:space="preserve">   邮编：</w:t>
      </w:r>
      <w:r>
        <w:rPr>
          <w:rFonts w:hint="eastAsia" w:ascii="仿宋_GB2312" w:eastAsia="仿宋_GB2312"/>
          <w:sz w:val="28"/>
          <w:szCs w:val="28"/>
          <w:u w:val="single"/>
        </w:rPr>
        <w:t xml:space="preserve">                    </w:t>
      </w:r>
    </w:p>
    <w:p>
      <w:pPr>
        <w:spacing w:line="470" w:lineRule="exact"/>
        <w:rPr>
          <w:rFonts w:ascii="仿宋_GB2312" w:eastAsia="仿宋_GB2312"/>
          <w:sz w:val="28"/>
          <w:szCs w:val="28"/>
        </w:rPr>
      </w:pPr>
      <w:r>
        <w:rPr>
          <w:rFonts w:hint="eastAsia" w:ascii="仿宋_GB2312" w:eastAsia="仿宋_GB2312"/>
          <w:sz w:val="28"/>
          <w:szCs w:val="28"/>
        </w:rPr>
        <w:t>联系电话：</w:t>
      </w:r>
      <w:r>
        <w:rPr>
          <w:rFonts w:hint="eastAsia" w:ascii="仿宋_GB2312" w:eastAsia="仿宋_GB2312"/>
          <w:sz w:val="28"/>
          <w:szCs w:val="28"/>
          <w:u w:val="single"/>
        </w:rPr>
        <w:t xml:space="preserve">                    </w:t>
      </w:r>
      <w:r>
        <w:rPr>
          <w:rFonts w:hint="eastAsia" w:ascii="仿宋_GB2312" w:eastAsia="仿宋_GB2312"/>
          <w:sz w:val="28"/>
          <w:szCs w:val="28"/>
        </w:rPr>
        <w:t xml:space="preserve">   传真：</w:t>
      </w:r>
      <w:r>
        <w:rPr>
          <w:rFonts w:hint="eastAsia" w:ascii="仿宋_GB2312" w:eastAsia="仿宋_GB2312"/>
          <w:sz w:val="28"/>
          <w:szCs w:val="28"/>
          <w:u w:val="single"/>
        </w:rPr>
        <w:t xml:space="preserve">                     </w:t>
      </w:r>
    </w:p>
    <w:p>
      <w:pPr>
        <w:spacing w:line="470" w:lineRule="exact"/>
        <w:rPr>
          <w:rFonts w:ascii="仿宋_GB2312" w:eastAsia="仿宋_GB2312"/>
          <w:sz w:val="28"/>
          <w:szCs w:val="28"/>
        </w:rPr>
      </w:pPr>
      <w:r>
        <w:rPr>
          <w:rFonts w:hint="eastAsia" w:ascii="仿宋_GB2312" w:eastAsia="仿宋_GB2312"/>
          <w:sz w:val="28"/>
          <w:szCs w:val="28"/>
        </w:rPr>
        <w:t xml:space="preserve">法定代表人（负责人）： </w:t>
      </w:r>
      <w:r>
        <w:rPr>
          <w:rFonts w:hint="eastAsia" w:ascii="仿宋_GB2312" w:eastAsia="仿宋_GB2312"/>
          <w:sz w:val="28"/>
          <w:szCs w:val="28"/>
          <w:u w:val="single"/>
        </w:rPr>
        <w:t xml:space="preserve">                </w:t>
      </w:r>
      <w:r>
        <w:rPr>
          <w:rFonts w:hint="eastAsia" w:ascii="仿宋_GB2312" w:eastAsia="仿宋_GB2312"/>
          <w:sz w:val="28"/>
          <w:szCs w:val="28"/>
        </w:rPr>
        <w:t xml:space="preserve">  </w:t>
      </w:r>
    </w:p>
    <w:p>
      <w:pPr>
        <w:spacing w:line="470" w:lineRule="exact"/>
        <w:rPr>
          <w:rFonts w:ascii="仿宋_GB2312" w:eastAsia="仿宋_GB2312"/>
          <w:sz w:val="28"/>
          <w:szCs w:val="28"/>
        </w:rPr>
      </w:pPr>
      <w:r>
        <w:rPr>
          <w:rFonts w:hint="eastAsia" w:ascii="仿宋_GB2312" w:eastAsia="仿宋_GB2312"/>
          <w:sz w:val="28"/>
          <w:szCs w:val="28"/>
        </w:rPr>
        <w:t>委托代理人：</w:t>
      </w:r>
      <w:r>
        <w:rPr>
          <w:rFonts w:hint="eastAsia" w:ascii="仿宋_GB2312" w:eastAsia="仿宋_GB2312"/>
          <w:sz w:val="28"/>
          <w:szCs w:val="28"/>
          <w:u w:val="single"/>
        </w:rPr>
        <w:t xml:space="preserve">                      </w:t>
      </w:r>
      <w:r>
        <w:rPr>
          <w:rFonts w:hint="eastAsia" w:ascii="仿宋_GB2312" w:eastAsia="仿宋_GB2312"/>
          <w:sz w:val="28"/>
          <w:szCs w:val="28"/>
        </w:rPr>
        <w:t xml:space="preserve">  </w:t>
      </w:r>
    </w:p>
    <w:p>
      <w:pPr>
        <w:spacing w:line="470" w:lineRule="exact"/>
        <w:rPr>
          <w:rFonts w:ascii="仿宋_GB2312" w:eastAsia="仿宋_GB2312"/>
          <w:b/>
          <w:sz w:val="28"/>
          <w:szCs w:val="28"/>
        </w:rPr>
      </w:pPr>
    </w:p>
    <w:p>
      <w:pPr>
        <w:spacing w:line="470" w:lineRule="exact"/>
        <w:rPr>
          <w:rFonts w:ascii="仿宋_GB2312" w:eastAsia="仿宋_GB2312"/>
          <w:sz w:val="28"/>
          <w:szCs w:val="28"/>
          <w:u w:val="single"/>
        </w:rPr>
      </w:pPr>
      <w:r>
        <w:rPr>
          <w:rFonts w:hint="eastAsia" w:ascii="仿宋_GB2312" w:eastAsia="仿宋_GB2312"/>
          <w:b/>
          <w:sz w:val="28"/>
          <w:szCs w:val="28"/>
        </w:rPr>
        <w:t>乙方</w:t>
      </w:r>
      <w:r>
        <w:rPr>
          <w:rFonts w:hint="eastAsia" w:ascii="仿宋_GB2312" w:eastAsia="仿宋_GB2312"/>
          <w:b/>
          <w:sz w:val="28"/>
          <w:szCs w:val="28"/>
          <w:lang w:eastAsia="zh-CN"/>
        </w:rPr>
        <w:t>（</w:t>
      </w:r>
      <w:r>
        <w:rPr>
          <w:rFonts w:hint="eastAsia" w:ascii="仿宋_GB2312" w:eastAsia="仿宋_GB2312"/>
          <w:b/>
          <w:sz w:val="28"/>
          <w:szCs w:val="28"/>
          <w:lang w:val="en-US" w:eastAsia="zh-CN"/>
        </w:rPr>
        <w:t>代理销售机构）</w:t>
      </w:r>
      <w:r>
        <w:rPr>
          <w:rFonts w:hint="eastAsia" w:ascii="仿宋_GB2312" w:eastAsia="仿宋_GB2312"/>
          <w:b/>
          <w:sz w:val="28"/>
          <w:szCs w:val="28"/>
        </w:rPr>
        <w:t>：</w:t>
      </w:r>
      <w:r>
        <w:rPr>
          <w:rFonts w:hint="eastAsia" w:ascii="仿宋_GB2312" w:eastAsia="仿宋_GB2312"/>
          <w:b/>
          <w:sz w:val="28"/>
          <w:szCs w:val="28"/>
          <w:u w:val="single"/>
          <w:lang w:val="en-US" w:eastAsia="zh-CN"/>
        </w:rPr>
        <w:t xml:space="preserve">           </w:t>
      </w:r>
      <w:r>
        <w:rPr>
          <w:rFonts w:hint="eastAsia" w:ascii="仿宋_GB2312" w:eastAsia="仿宋_GB2312"/>
          <w:sz w:val="28"/>
          <w:szCs w:val="28"/>
          <w:u w:val="single"/>
        </w:rPr>
        <w:t xml:space="preserve">             </w:t>
      </w:r>
    </w:p>
    <w:p>
      <w:pPr>
        <w:spacing w:line="470" w:lineRule="exact"/>
        <w:rPr>
          <w:rFonts w:ascii="仿宋_GB2312" w:eastAsia="仿宋_GB2312"/>
          <w:sz w:val="28"/>
          <w:szCs w:val="28"/>
          <w:u w:val="single"/>
        </w:rPr>
      </w:pPr>
      <w:r>
        <w:rPr>
          <w:rFonts w:hint="eastAsia" w:ascii="仿宋_GB2312" w:eastAsia="仿宋_GB2312"/>
          <w:sz w:val="28"/>
          <w:szCs w:val="28"/>
        </w:rPr>
        <w:t>地址：</w:t>
      </w:r>
      <w:r>
        <w:rPr>
          <w:rFonts w:hint="eastAsia" w:ascii="仿宋_GB2312" w:eastAsia="仿宋_GB2312"/>
          <w:sz w:val="28"/>
          <w:szCs w:val="28"/>
          <w:u w:val="single"/>
        </w:rPr>
        <w:t xml:space="preserve">                           </w:t>
      </w:r>
      <w:r>
        <w:rPr>
          <w:rFonts w:hint="eastAsia" w:ascii="仿宋_GB2312" w:eastAsia="仿宋_GB2312"/>
          <w:sz w:val="28"/>
          <w:szCs w:val="28"/>
        </w:rPr>
        <w:t>邮编：</w:t>
      </w:r>
      <w:r>
        <w:rPr>
          <w:rFonts w:hint="eastAsia" w:ascii="仿宋_GB2312" w:eastAsia="仿宋_GB2312"/>
          <w:sz w:val="28"/>
          <w:szCs w:val="28"/>
          <w:u w:val="single"/>
        </w:rPr>
        <w:t xml:space="preserve">       　　　　　           </w:t>
      </w:r>
    </w:p>
    <w:p>
      <w:pPr>
        <w:spacing w:line="470" w:lineRule="exact"/>
        <w:rPr>
          <w:rFonts w:ascii="仿宋_GB2312" w:eastAsia="仿宋_GB2312"/>
          <w:sz w:val="28"/>
          <w:szCs w:val="28"/>
        </w:rPr>
      </w:pPr>
      <w:r>
        <w:rPr>
          <w:rFonts w:hint="eastAsia" w:ascii="仿宋_GB2312" w:eastAsia="仿宋_GB2312"/>
          <w:sz w:val="28"/>
          <w:szCs w:val="28"/>
        </w:rPr>
        <w:t>联系电话：</w:t>
      </w:r>
      <w:r>
        <w:rPr>
          <w:rFonts w:hint="eastAsia" w:ascii="仿宋_GB2312" w:eastAsia="仿宋_GB2312"/>
          <w:sz w:val="28"/>
          <w:szCs w:val="28"/>
          <w:u w:val="single"/>
        </w:rPr>
        <w:t xml:space="preserve">                    </w:t>
      </w:r>
      <w:r>
        <w:rPr>
          <w:rFonts w:hint="eastAsia" w:ascii="仿宋_GB2312" w:eastAsia="仿宋_GB2312"/>
          <w:sz w:val="28"/>
          <w:szCs w:val="28"/>
        </w:rPr>
        <w:t xml:space="preserve">   传真：</w:t>
      </w:r>
      <w:r>
        <w:rPr>
          <w:rFonts w:hint="eastAsia" w:ascii="仿宋_GB2312" w:eastAsia="仿宋_GB2312"/>
          <w:sz w:val="28"/>
          <w:szCs w:val="28"/>
          <w:u w:val="single"/>
        </w:rPr>
        <w:t xml:space="preserve">                     </w:t>
      </w:r>
    </w:p>
    <w:p>
      <w:pPr>
        <w:spacing w:line="470" w:lineRule="exact"/>
        <w:rPr>
          <w:rFonts w:ascii="仿宋_GB2312" w:eastAsia="仿宋_GB2312"/>
          <w:sz w:val="28"/>
          <w:szCs w:val="28"/>
        </w:rPr>
      </w:pPr>
      <w:r>
        <w:rPr>
          <w:rFonts w:hint="eastAsia" w:ascii="仿宋_GB2312" w:eastAsia="仿宋_GB2312"/>
          <w:sz w:val="28"/>
          <w:szCs w:val="28"/>
        </w:rPr>
        <w:t>法定代表人（负责人）：</w:t>
      </w:r>
      <w:r>
        <w:rPr>
          <w:rFonts w:hint="eastAsia" w:ascii="仿宋_GB2312" w:eastAsia="仿宋_GB2312"/>
          <w:sz w:val="28"/>
          <w:szCs w:val="28"/>
          <w:u w:val="single"/>
        </w:rPr>
        <w:t xml:space="preserve">                </w:t>
      </w:r>
      <w:r>
        <w:rPr>
          <w:rFonts w:hint="eastAsia" w:ascii="仿宋_GB2312" w:eastAsia="仿宋_GB2312"/>
          <w:sz w:val="28"/>
          <w:szCs w:val="28"/>
        </w:rPr>
        <w:t xml:space="preserve">                               </w:t>
      </w:r>
    </w:p>
    <w:p>
      <w:pPr>
        <w:spacing w:line="470" w:lineRule="exact"/>
        <w:rPr>
          <w:rFonts w:ascii="仿宋_GB2312" w:eastAsia="仿宋_GB2312"/>
          <w:sz w:val="28"/>
          <w:szCs w:val="28"/>
        </w:rPr>
      </w:pPr>
      <w:r>
        <w:rPr>
          <w:rFonts w:hint="eastAsia" w:ascii="仿宋_GB2312" w:eastAsia="仿宋_GB2312"/>
          <w:sz w:val="28"/>
          <w:szCs w:val="28"/>
        </w:rPr>
        <w:t>联系人：</w:t>
      </w:r>
      <w:r>
        <w:rPr>
          <w:rFonts w:hint="eastAsia" w:ascii="仿宋_GB2312" w:eastAsia="仿宋_GB2312"/>
          <w:sz w:val="28"/>
          <w:szCs w:val="28"/>
          <w:u w:val="single"/>
        </w:rPr>
        <w:t xml:space="preserve">                         </w:t>
      </w:r>
    </w:p>
    <w:p>
      <w:pPr>
        <w:spacing w:line="470" w:lineRule="exact"/>
        <w:rPr>
          <w:rFonts w:ascii="仿宋_GB2312" w:eastAsia="仿宋_GB2312"/>
          <w:sz w:val="28"/>
          <w:szCs w:val="28"/>
          <w:u w:val="single"/>
        </w:rPr>
      </w:pPr>
    </w:p>
    <w:p>
      <w:pPr>
        <w:spacing w:line="460" w:lineRule="exact"/>
        <w:ind w:firstLine="560" w:firstLineChars="200"/>
        <w:rPr>
          <w:rFonts w:ascii="黑体" w:eastAsia="黑体"/>
          <w:sz w:val="28"/>
          <w:szCs w:val="28"/>
        </w:rPr>
      </w:pPr>
      <w:r>
        <w:rPr>
          <w:rFonts w:hint="eastAsia" w:ascii="黑体" w:eastAsia="黑体"/>
          <w:sz w:val="28"/>
          <w:szCs w:val="28"/>
        </w:rPr>
        <w:t>特别提示：本协议系由</w:t>
      </w:r>
      <w:r>
        <w:rPr>
          <w:rFonts w:hint="eastAsia" w:ascii="黑体" w:eastAsia="黑体"/>
          <w:sz w:val="28"/>
          <w:szCs w:val="28"/>
          <w:lang w:val="en-US" w:eastAsia="zh-CN"/>
        </w:rPr>
        <w:t>代理销售机构</w:t>
      </w:r>
      <w:r>
        <w:rPr>
          <w:rFonts w:hint="eastAsia" w:ascii="黑体" w:eastAsia="黑体"/>
          <w:sz w:val="28"/>
          <w:szCs w:val="28"/>
        </w:rPr>
        <w:t>（以下简称“乙方”）与理财产品投资客户（以下简称“甲方”）就代销理财产品相关事宜所签订的有效合约。本协议所称的“理财产品”是指经国务院银行业监督管理机构批准成立的商业银行理财子公司（以下简称“理财子公司”）按照约定条件和实际投资收益情况向投资者支付收益、不保证本金支付和收益水平的非保本理财产品。</w:t>
      </w:r>
    </w:p>
    <w:p>
      <w:pPr>
        <w:spacing w:line="470" w:lineRule="exact"/>
        <w:ind w:firstLine="0" w:firstLineChars="0"/>
        <w:rPr>
          <w:rFonts w:ascii="仿宋_GB2312" w:eastAsia="仿宋_GB2312"/>
          <w:sz w:val="28"/>
          <w:szCs w:val="28"/>
        </w:rPr>
      </w:pPr>
    </w:p>
    <w:p>
      <w:pPr>
        <w:spacing w:line="470" w:lineRule="exact"/>
        <w:ind w:firstLine="560" w:firstLineChars="200"/>
        <w:rPr>
          <w:rFonts w:ascii="仿宋_GB2312" w:eastAsia="仿宋_GB2312"/>
          <w:sz w:val="28"/>
          <w:szCs w:val="28"/>
        </w:rPr>
      </w:pPr>
      <w:r>
        <w:rPr>
          <w:rFonts w:hint="eastAsia" w:ascii="仿宋_GB2312" w:eastAsia="仿宋_GB2312"/>
          <w:sz w:val="28"/>
          <w:szCs w:val="28"/>
        </w:rPr>
        <w:t>鉴于甲方向乙方申请购买</w:t>
      </w:r>
      <w:bookmarkStart w:id="23" w:name="_Hlk90631159"/>
      <w:r>
        <w:rPr>
          <w:rFonts w:hint="eastAsia" w:ascii="仿宋_GB2312" w:eastAsia="仿宋_GB2312"/>
          <w:sz w:val="28"/>
          <w:szCs w:val="28"/>
        </w:rPr>
        <w:t>由</w:t>
      </w:r>
      <w:r>
        <w:rPr>
          <w:rFonts w:hint="eastAsia" w:ascii="仿宋_GB2312" w:eastAsia="仿宋_GB2312"/>
          <w:sz w:val="28"/>
          <w:szCs w:val="28"/>
          <w:u w:val="single"/>
        </w:rPr>
        <w:t xml:space="preserve">                 </w:t>
      </w:r>
      <w:r>
        <w:rPr>
          <w:rFonts w:hint="eastAsia" w:ascii="仿宋_GB2312" w:eastAsia="仿宋_GB2312"/>
          <w:sz w:val="28"/>
          <w:szCs w:val="28"/>
        </w:rPr>
        <w:t>作为产品管理人发行的</w:t>
      </w:r>
      <w:r>
        <w:rPr>
          <w:rFonts w:hint="eastAsia" w:ascii="仿宋_GB2312" w:eastAsia="仿宋_GB2312"/>
          <w:sz w:val="28"/>
          <w:szCs w:val="28"/>
          <w:u w:val="single"/>
        </w:rPr>
        <w:t xml:space="preserve"> </w:t>
      </w:r>
      <w:bookmarkEnd w:id="23"/>
      <w:r>
        <w:rPr>
          <w:rFonts w:hint="eastAsia" w:ascii="仿宋_GB2312" w:eastAsia="仿宋_GB2312"/>
          <w:sz w:val="28"/>
          <w:szCs w:val="28"/>
          <w:u w:val="single"/>
        </w:rPr>
        <w:t xml:space="preserve">             </w:t>
      </w:r>
      <w:r>
        <w:rPr>
          <w:rFonts w:hint="eastAsia" w:ascii="仿宋_GB2312" w:eastAsia="仿宋_GB2312"/>
          <w:sz w:val="28"/>
          <w:szCs w:val="28"/>
        </w:rPr>
        <w:t>人民币理财产品（以下简称“本理财产品”），已向乙方提出申请。乙方愿意接受甲方的申请向甲方销售本理财产品。现双方经友好协商，本着平等自愿、诚实信用的原则，就购买本理财产品相关事宜达成如下协议：</w:t>
      </w:r>
    </w:p>
    <w:p>
      <w:pPr>
        <w:pStyle w:val="8"/>
        <w:spacing w:line="470" w:lineRule="exact"/>
        <w:ind w:firstLine="0" w:firstLineChars="0"/>
        <w:rPr>
          <w:spacing w:val="-4"/>
          <w:sz w:val="28"/>
          <w:szCs w:val="28"/>
        </w:rPr>
      </w:pPr>
      <w:r>
        <w:rPr>
          <w:rFonts w:hint="eastAsia"/>
          <w:sz w:val="28"/>
          <w:szCs w:val="28"/>
        </w:rPr>
        <w:t xml:space="preserve">    </w:t>
      </w:r>
      <w:r>
        <w:rPr>
          <w:rFonts w:hint="eastAsia"/>
          <w:spacing w:val="-4"/>
          <w:sz w:val="28"/>
          <w:szCs w:val="28"/>
        </w:rPr>
        <w:t>第一条  甲方自愿购买本理财产品。</w:t>
      </w:r>
      <w:r>
        <w:rPr>
          <w:rFonts w:hint="eastAsia"/>
          <w:sz w:val="28"/>
          <w:szCs w:val="28"/>
        </w:rPr>
        <w:t>认购产品代码、名称、期限、认购金额等信息以双方后续签订的</w:t>
      </w:r>
      <w:r>
        <w:rPr>
          <w:rFonts w:hint="eastAsia" w:hAnsi="Calibri"/>
          <w:sz w:val="28"/>
          <w:szCs w:val="28"/>
        </w:rPr>
        <w:t>理财产品认/申购申请表</w:t>
      </w:r>
      <w:r>
        <w:rPr>
          <w:rFonts w:hint="eastAsia"/>
          <w:sz w:val="28"/>
          <w:szCs w:val="28"/>
        </w:rPr>
        <w:t>为准。</w:t>
      </w:r>
      <w:r>
        <w:rPr>
          <w:rFonts w:hint="eastAsia" w:hAnsi="Calibri"/>
          <w:sz w:val="28"/>
          <w:szCs w:val="28"/>
        </w:rPr>
        <w:t>认/申购申请表</w:t>
      </w:r>
      <w:r>
        <w:rPr>
          <w:rFonts w:hint="eastAsia"/>
          <w:sz w:val="28"/>
          <w:szCs w:val="28"/>
        </w:rPr>
        <w:t>为本协议的重要组成部分，对双方具有</w:t>
      </w:r>
      <w:r>
        <w:rPr>
          <w:rFonts w:hint="eastAsia"/>
          <w:spacing w:val="-4"/>
          <w:sz w:val="28"/>
          <w:szCs w:val="28"/>
        </w:rPr>
        <w:t>法律约束力。</w:t>
      </w:r>
    </w:p>
    <w:p>
      <w:pPr>
        <w:pStyle w:val="8"/>
        <w:spacing w:line="470" w:lineRule="exact"/>
        <w:ind w:firstLine="544"/>
        <w:rPr>
          <w:spacing w:val="-4"/>
          <w:sz w:val="28"/>
          <w:szCs w:val="28"/>
        </w:rPr>
      </w:pPr>
      <w:bookmarkStart w:id="24" w:name="_Hlk90631417"/>
      <w:r>
        <w:rPr>
          <w:rFonts w:hint="eastAsia"/>
          <w:spacing w:val="-4"/>
          <w:sz w:val="28"/>
          <w:szCs w:val="28"/>
        </w:rPr>
        <w:t>本销售协议书和本理财产品的投资协议书、风险揭示书、产品说明书及投资者权益须知</w:t>
      </w:r>
      <w:bookmarkEnd w:id="24"/>
      <w:r>
        <w:rPr>
          <w:rFonts w:hint="eastAsia"/>
          <w:spacing w:val="-4"/>
          <w:sz w:val="28"/>
          <w:szCs w:val="28"/>
        </w:rPr>
        <w:t>为不可分割的组成部分（以下统称“理财产品销售文件”）。</w:t>
      </w:r>
    </w:p>
    <w:p>
      <w:pPr>
        <w:spacing w:line="470" w:lineRule="exact"/>
        <w:rPr>
          <w:rFonts w:ascii="仿宋_GB2312" w:eastAsia="仿宋_GB2312"/>
          <w:sz w:val="28"/>
          <w:szCs w:val="28"/>
        </w:rPr>
      </w:pPr>
      <w:r>
        <w:rPr>
          <w:rFonts w:hint="eastAsia" w:ascii="仿宋_GB2312" w:eastAsia="仿宋_GB2312"/>
          <w:sz w:val="28"/>
          <w:szCs w:val="28"/>
        </w:rPr>
        <w:t xml:space="preserve">    第二条  账户开立</w:t>
      </w:r>
    </w:p>
    <w:p>
      <w:pPr>
        <w:spacing w:line="470" w:lineRule="exact"/>
        <w:ind w:firstLine="570"/>
        <w:rPr>
          <w:rFonts w:ascii="仿宋_GB2312" w:hAnsi="Times New Roman" w:eastAsia="仿宋_GB2312"/>
          <w:spacing w:val="-4"/>
          <w:sz w:val="28"/>
          <w:szCs w:val="28"/>
        </w:rPr>
      </w:pPr>
      <w:r>
        <w:rPr>
          <w:rFonts w:hint="eastAsia" w:ascii="仿宋_GB2312" w:eastAsia="仿宋_GB2312"/>
          <w:sz w:val="28"/>
          <w:szCs w:val="28"/>
        </w:rPr>
        <w:t>甲方在乙方处以甲方为户名开立对公银行结算账户（以下简称“授权指定账户”），用于本理财产品的资金划转及到期款项的划付。授权指定账户的具体信息见认/申购申请表。</w:t>
      </w:r>
    </w:p>
    <w:p>
      <w:pPr>
        <w:spacing w:line="50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 xml:space="preserve">第三条  </w:t>
      </w:r>
      <w:bookmarkStart w:id="25" w:name="_Hlk90633384"/>
      <w:r>
        <w:rPr>
          <w:rFonts w:hint="eastAsia" w:ascii="仿宋_GB2312" w:eastAsia="仿宋_GB2312"/>
          <w:color w:val="000000"/>
          <w:sz w:val="28"/>
          <w:szCs w:val="28"/>
        </w:rPr>
        <w:t>甲方根据本协议和</w:t>
      </w:r>
      <w:r>
        <w:rPr>
          <w:rFonts w:hint="eastAsia" w:ascii="仿宋_GB2312" w:eastAsia="仿宋_GB2312"/>
          <w:sz w:val="28"/>
          <w:szCs w:val="28"/>
        </w:rPr>
        <w:t>认/申购申请表</w:t>
      </w:r>
      <w:r>
        <w:rPr>
          <w:rFonts w:hint="eastAsia" w:ascii="仿宋_GB2312" w:eastAsia="仿宋_GB2312"/>
          <w:color w:val="000000"/>
          <w:sz w:val="28"/>
          <w:szCs w:val="28"/>
        </w:rPr>
        <w:t>约定，将本理财产品认购资金按时足额存入授权指定账户，乙方将冻结甲方“授权指定账户”内的购买金额，并按照约定时间划转至产品发行人指定账户。购买资金冻结期间，按乙方公布的活期存款利率计付利息。</w:t>
      </w:r>
      <w:r>
        <w:rPr>
          <w:rFonts w:hint="eastAsia" w:ascii="仿宋_GB2312" w:eastAsia="仿宋_GB2312"/>
          <w:b/>
          <w:bCs/>
          <w:color w:val="000000"/>
          <w:sz w:val="28"/>
          <w:szCs w:val="28"/>
        </w:rPr>
        <w:t>购买资金自划转至产品发行人指定账户之日起至理财产品到期款项划付至甲方授权指定账户期间不计付存款利息。</w:t>
      </w:r>
      <w:r>
        <w:rPr>
          <w:rFonts w:hint="eastAsia" w:ascii="仿宋_GB2312" w:eastAsia="仿宋_GB2312"/>
          <w:color w:val="000000"/>
          <w:sz w:val="28"/>
          <w:szCs w:val="28"/>
        </w:rPr>
        <w:t>购买资金冻结期间，甲方不得提取或转移已冻结资金。</w:t>
      </w:r>
    </w:p>
    <w:bookmarkEnd w:id="25"/>
    <w:p>
      <w:pPr>
        <w:spacing w:line="500" w:lineRule="exact"/>
        <w:ind w:firstLine="560" w:firstLineChars="200"/>
        <w:rPr>
          <w:rFonts w:ascii="仿宋_GB2312" w:eastAsia="仿宋_GB2312"/>
          <w:color w:val="000000"/>
          <w:sz w:val="28"/>
          <w:szCs w:val="28"/>
        </w:rPr>
      </w:pPr>
      <w:bookmarkStart w:id="26" w:name="_Hlk90633521"/>
      <w:r>
        <w:rPr>
          <w:rFonts w:hint="eastAsia" w:ascii="仿宋_GB2312" w:eastAsia="仿宋_GB2312"/>
          <w:color w:val="000000"/>
          <w:sz w:val="28"/>
          <w:szCs w:val="28"/>
        </w:rPr>
        <w:t>在本理财产品存续期内，甲方不得将授权指定账户销户，亦不得要求乙方提前退还被扣划资金。若在本理财产品存续期内，因非乙方原因导致理财产品、甲方投资本金或甲方账户遭到司法机关等有权机关冻结、扣划或采取其他强制措施的，或者甲方注销授权指定账户的，由此导致的损失由甲方承担，乙方不承担任何责任。</w:t>
      </w:r>
      <w:bookmarkEnd w:id="26"/>
      <w:r>
        <w:rPr>
          <w:rFonts w:hint="eastAsia" w:ascii="仿宋_GB2312" w:eastAsia="仿宋_GB2312"/>
          <w:color w:val="000000"/>
          <w:sz w:val="28"/>
          <w:szCs w:val="28"/>
        </w:rPr>
        <w:t>本理财</w:t>
      </w:r>
      <w:r>
        <w:rPr>
          <w:rFonts w:ascii="仿宋_GB2312" w:eastAsia="仿宋_GB2312"/>
          <w:color w:val="000000"/>
          <w:sz w:val="28"/>
          <w:szCs w:val="28"/>
        </w:rPr>
        <w:t>产品到期后，乙方将</w:t>
      </w:r>
      <w:r>
        <w:rPr>
          <w:rFonts w:hint="eastAsia" w:ascii="仿宋_GB2312" w:eastAsia="仿宋_GB2312"/>
          <w:color w:val="000000"/>
          <w:sz w:val="28"/>
          <w:szCs w:val="28"/>
        </w:rPr>
        <w:t>根据本理财产品的产品说明书约定，</w:t>
      </w:r>
      <w:r>
        <w:rPr>
          <w:rFonts w:ascii="仿宋_GB2312" w:eastAsia="仿宋_GB2312"/>
          <w:color w:val="000000"/>
          <w:sz w:val="28"/>
          <w:szCs w:val="28"/>
        </w:rPr>
        <w:t>将本理财产品的本金</w:t>
      </w:r>
      <w:r>
        <w:rPr>
          <w:rFonts w:hint="eastAsia" w:ascii="仿宋_GB2312" w:eastAsia="仿宋_GB2312"/>
          <w:color w:val="000000"/>
          <w:sz w:val="28"/>
          <w:szCs w:val="28"/>
        </w:rPr>
        <w:t>（如有）</w:t>
      </w:r>
      <w:r>
        <w:rPr>
          <w:rFonts w:ascii="仿宋_GB2312" w:eastAsia="仿宋_GB2312"/>
          <w:color w:val="000000"/>
          <w:sz w:val="28"/>
          <w:szCs w:val="28"/>
        </w:rPr>
        <w:t>及收益</w:t>
      </w:r>
      <w:r>
        <w:rPr>
          <w:rFonts w:hint="eastAsia" w:ascii="仿宋_GB2312" w:eastAsia="仿宋_GB2312"/>
          <w:color w:val="000000"/>
          <w:sz w:val="28"/>
          <w:szCs w:val="28"/>
        </w:rPr>
        <w:t>（如有）划付</w:t>
      </w:r>
      <w:r>
        <w:rPr>
          <w:rFonts w:ascii="仿宋_GB2312" w:eastAsia="仿宋_GB2312"/>
          <w:color w:val="000000"/>
          <w:sz w:val="28"/>
          <w:szCs w:val="28"/>
        </w:rPr>
        <w:t>至</w:t>
      </w:r>
      <w:r>
        <w:rPr>
          <w:rFonts w:hint="eastAsia" w:ascii="仿宋_GB2312" w:eastAsia="仿宋_GB2312"/>
          <w:color w:val="000000"/>
          <w:sz w:val="28"/>
          <w:szCs w:val="28"/>
        </w:rPr>
        <w:t>甲方授权</w:t>
      </w:r>
      <w:r>
        <w:rPr>
          <w:rFonts w:ascii="仿宋_GB2312" w:eastAsia="仿宋_GB2312"/>
          <w:color w:val="000000"/>
          <w:sz w:val="28"/>
          <w:szCs w:val="28"/>
        </w:rPr>
        <w:t>指定账户。</w:t>
      </w:r>
    </w:p>
    <w:p>
      <w:pPr>
        <w:spacing w:line="470" w:lineRule="exact"/>
        <w:ind w:firstLine="537" w:firstLineChars="192"/>
        <w:rPr>
          <w:rFonts w:ascii="仿宋_GB2312" w:eastAsia="仿宋_GB2312"/>
          <w:sz w:val="28"/>
          <w:szCs w:val="28"/>
        </w:rPr>
      </w:pPr>
      <w:r>
        <w:rPr>
          <w:rFonts w:hint="eastAsia" w:ascii="仿宋_GB2312" w:eastAsia="仿宋_GB2312"/>
          <w:sz w:val="28"/>
          <w:szCs w:val="28"/>
        </w:rPr>
        <w:t>第四条  乙方根据理财产品销售文件约定将甲方授权指定账户中的足额资金进行扣划，用于购买本理财产品。在此之前，甲方支付的部分或全部交易资金被有权机关冻结或扣划，或被采取其他强制措施、甲方未能及时补足与交易本金等额的款项等非乙方原因导致资金不能按时、足额划转，则交易不成立，本协议自动失效。</w:t>
      </w:r>
    </w:p>
    <w:p>
      <w:pPr>
        <w:spacing w:line="470" w:lineRule="exact"/>
        <w:ind w:firstLine="537" w:firstLineChars="192"/>
        <w:rPr>
          <w:rFonts w:ascii="仿宋_GB2312" w:eastAsia="仿宋_GB2312"/>
          <w:color w:val="000000"/>
          <w:sz w:val="28"/>
          <w:szCs w:val="28"/>
        </w:rPr>
      </w:pPr>
      <w:r>
        <w:rPr>
          <w:rFonts w:hint="eastAsia" w:ascii="仿宋_GB2312" w:eastAsia="仿宋_GB2312"/>
          <w:sz w:val="28"/>
          <w:szCs w:val="28"/>
        </w:rPr>
        <w:t>授权指定账户内的资金</w:t>
      </w:r>
      <w:r>
        <w:rPr>
          <w:rFonts w:hint="eastAsia" w:ascii="仿宋_GB2312" w:eastAsia="仿宋_GB2312"/>
          <w:color w:val="000000"/>
          <w:sz w:val="28"/>
          <w:szCs w:val="28"/>
        </w:rPr>
        <w:t>以乙方公布的活期存款利率计息。</w:t>
      </w:r>
    </w:p>
    <w:p>
      <w:pPr>
        <w:spacing w:line="470" w:lineRule="exact"/>
        <w:rPr>
          <w:rFonts w:ascii="仿宋_GB2312" w:eastAsia="仿宋_GB2312"/>
          <w:sz w:val="28"/>
          <w:szCs w:val="28"/>
        </w:rPr>
      </w:pPr>
      <w:r>
        <w:rPr>
          <w:rFonts w:hint="eastAsia" w:ascii="仿宋_GB2312" w:eastAsia="仿宋_GB2312"/>
          <w:sz w:val="28"/>
          <w:szCs w:val="28"/>
        </w:rPr>
        <w:t xml:space="preserve">    第五条  在本理财产品存续期内，除非按照本理财产品销售文件约定甲方可以行使提前终止权或赎回权的，甲方不得要求乙方提前退还被扣划资金，且不得将授权指定账户销户。如所认购的产品在其产品说明书中描述为不得质押、转让的，则不可向任何第三方质押、转让。</w:t>
      </w:r>
    </w:p>
    <w:p>
      <w:pPr>
        <w:spacing w:line="470" w:lineRule="exact"/>
        <w:rPr>
          <w:rFonts w:ascii="黑体" w:eastAsia="黑体"/>
          <w:b/>
          <w:sz w:val="28"/>
          <w:szCs w:val="28"/>
        </w:rPr>
      </w:pPr>
      <w:r>
        <w:rPr>
          <w:rFonts w:hint="eastAsia" w:ascii="仿宋_GB2312" w:eastAsia="仿宋_GB2312"/>
          <w:sz w:val="28"/>
          <w:szCs w:val="28"/>
        </w:rPr>
        <w:t xml:space="preserve">   </w:t>
      </w:r>
      <w:r>
        <w:rPr>
          <w:rFonts w:hint="eastAsia" w:ascii="仿宋_GB2312" w:eastAsia="仿宋_GB2312"/>
          <w:b/>
          <w:sz w:val="28"/>
          <w:szCs w:val="28"/>
        </w:rPr>
        <w:t xml:space="preserve"> </w:t>
      </w:r>
      <w:r>
        <w:rPr>
          <w:rFonts w:hint="eastAsia" w:ascii="仿宋_GB2312" w:eastAsia="仿宋_GB2312"/>
          <w:sz w:val="28"/>
          <w:szCs w:val="28"/>
        </w:rPr>
        <w:t>如遇国家政策重大调整，或市场发生重大波动等，经乙方独立判断，出现将严重影响到本理财产品所投资资产安全的事件或其他理财产品销售文件约定的情形时，乙方有权提前终止本理财产品。</w:t>
      </w:r>
    </w:p>
    <w:p>
      <w:pPr>
        <w:spacing w:line="470" w:lineRule="exact"/>
        <w:ind w:firstLine="570"/>
        <w:rPr>
          <w:rFonts w:ascii="仿宋_GB2312" w:eastAsia="仿宋_GB2312"/>
          <w:sz w:val="28"/>
          <w:szCs w:val="28"/>
        </w:rPr>
      </w:pPr>
      <w:r>
        <w:rPr>
          <w:rFonts w:hint="eastAsia" w:ascii="仿宋_GB2312" w:eastAsia="仿宋_GB2312"/>
          <w:sz w:val="28"/>
          <w:szCs w:val="28"/>
        </w:rPr>
        <w:t xml:space="preserve">第六条  </w:t>
      </w:r>
      <w:bookmarkStart w:id="27" w:name="_Hlk90642750"/>
      <w:r>
        <w:rPr>
          <w:rFonts w:hint="eastAsia" w:ascii="仿宋_GB2312" w:eastAsia="仿宋_GB2312"/>
          <w:sz w:val="28"/>
          <w:szCs w:val="28"/>
        </w:rPr>
        <w:t>乙方有权依照理财产品销售文件约定的收费标准和收费方式向甲方收取相关费用。</w:t>
      </w:r>
    </w:p>
    <w:p>
      <w:pPr>
        <w:spacing w:line="470" w:lineRule="exact"/>
        <w:ind w:firstLine="570"/>
        <w:rPr>
          <w:rFonts w:ascii="仿宋_GB2312" w:eastAsia="仿宋_GB2312"/>
          <w:sz w:val="28"/>
          <w:szCs w:val="28"/>
        </w:rPr>
      </w:pPr>
      <w:r>
        <w:rPr>
          <w:rFonts w:hint="eastAsia" w:ascii="仿宋_GB2312" w:eastAsia="仿宋_GB2312"/>
          <w:sz w:val="28"/>
          <w:szCs w:val="28"/>
        </w:rPr>
        <w:t>除法律法规另有规定或理财产品销售文件另有约定外，乙方不负责代扣代缴甲方应缴纳的税款。</w:t>
      </w:r>
      <w:bookmarkEnd w:id="27"/>
    </w:p>
    <w:p>
      <w:pPr>
        <w:spacing w:line="470" w:lineRule="exact"/>
        <w:ind w:firstLine="560" w:firstLineChars="200"/>
        <w:rPr>
          <w:rFonts w:ascii="仿宋_GB2312" w:eastAsia="仿宋_GB2312"/>
          <w:sz w:val="28"/>
          <w:szCs w:val="28"/>
        </w:rPr>
      </w:pPr>
      <w:r>
        <w:rPr>
          <w:rFonts w:hint="eastAsia" w:ascii="仿宋_GB2312" w:eastAsia="仿宋_GB2312"/>
          <w:sz w:val="28"/>
          <w:szCs w:val="28"/>
        </w:rPr>
        <w:t>第七条  免责条款</w:t>
      </w:r>
    </w:p>
    <w:p>
      <w:pPr>
        <w:spacing w:line="470" w:lineRule="exact"/>
        <w:rPr>
          <w:rFonts w:ascii="仿宋_GB2312" w:eastAsia="仿宋_GB2312"/>
          <w:sz w:val="28"/>
          <w:szCs w:val="28"/>
        </w:rPr>
      </w:pPr>
      <w:r>
        <w:rPr>
          <w:rFonts w:hint="eastAsia" w:ascii="仿宋_GB2312" w:eastAsia="仿宋_GB2312"/>
          <w:sz w:val="28"/>
          <w:szCs w:val="28"/>
        </w:rPr>
        <w:t xml:space="preserve">    （一）</w:t>
      </w:r>
      <w:r>
        <w:rPr>
          <w:rFonts w:hint="eastAsia" w:ascii="黑体" w:eastAsia="黑体"/>
          <w:sz w:val="28"/>
          <w:szCs w:val="28"/>
        </w:rPr>
        <w:t>由于地震、火灾、战争、罢工</w:t>
      </w:r>
      <w:bookmarkStart w:id="28" w:name="_Hlk90642778"/>
      <w:r>
        <w:rPr>
          <w:rFonts w:hint="eastAsia" w:ascii="黑体" w:eastAsia="黑体"/>
          <w:sz w:val="28"/>
          <w:szCs w:val="28"/>
        </w:rPr>
        <w:t>、系统故障、通讯故障</w:t>
      </w:r>
      <w:bookmarkEnd w:id="28"/>
      <w:r>
        <w:rPr>
          <w:rFonts w:hint="eastAsia" w:ascii="黑体" w:eastAsia="黑体"/>
          <w:sz w:val="28"/>
          <w:szCs w:val="28"/>
        </w:rPr>
        <w:t>或者国家有关法律、法规、规章、政策的改变、紧急措施的出台等不可抗力导致的交易中断、延误、禁止等任何风险及损失，乙方不承担责任</w:t>
      </w:r>
      <w:r>
        <w:rPr>
          <w:rFonts w:hint="eastAsia" w:ascii="仿宋_GB2312" w:eastAsia="仿宋_GB2312"/>
          <w:sz w:val="28"/>
          <w:szCs w:val="28"/>
        </w:rPr>
        <w:t>，但应在客观条件允许的情况下及时通知甲方，并采取一切必要的补救措施以减小不可抗力造成的损失。</w:t>
      </w:r>
    </w:p>
    <w:p>
      <w:pPr>
        <w:spacing w:line="470" w:lineRule="exact"/>
        <w:rPr>
          <w:rFonts w:ascii="仿宋_GB2312" w:eastAsia="仿宋_GB2312"/>
          <w:sz w:val="28"/>
          <w:szCs w:val="28"/>
        </w:rPr>
      </w:pPr>
      <w:r>
        <w:rPr>
          <w:rFonts w:hint="eastAsia" w:ascii="仿宋_GB2312" w:eastAsia="仿宋_GB2312"/>
          <w:sz w:val="28"/>
          <w:szCs w:val="28"/>
        </w:rPr>
        <w:t xml:space="preserve">    （二）</w:t>
      </w:r>
      <w:r>
        <w:rPr>
          <w:rFonts w:hint="eastAsia" w:ascii="黑体" w:eastAsia="黑体"/>
          <w:sz w:val="28"/>
          <w:szCs w:val="28"/>
        </w:rPr>
        <w:t>由于产品募集份额未达到理财产品说明书中标明的最低发行量，或国家有关法律、法规、规章、政策的改变、紧急措施的出台或由于重大市场变化或其他原因而导致本期理财产品无法成立，乙方不承担责任。</w:t>
      </w:r>
      <w:r>
        <w:rPr>
          <w:rFonts w:hint="eastAsia" w:ascii="仿宋_GB2312" w:eastAsia="仿宋_GB2312"/>
          <w:sz w:val="28"/>
          <w:szCs w:val="28"/>
        </w:rPr>
        <w:t>若本期理财产品无法成立的，乙方应于本期理财产品发行期届满之日起5个工作日内将认购款项返还甲方，并根据约定对全额认购资金于银行账户中的实际留存期按乙方公布的活期存款利率计付利息。</w:t>
      </w:r>
    </w:p>
    <w:p>
      <w:pPr>
        <w:spacing w:line="470" w:lineRule="exact"/>
        <w:rPr>
          <w:rFonts w:ascii="仿宋_GB2312" w:eastAsia="仿宋_GB2312"/>
          <w:sz w:val="28"/>
          <w:szCs w:val="28"/>
        </w:rPr>
      </w:pPr>
      <w:r>
        <w:rPr>
          <w:rFonts w:hint="eastAsia" w:ascii="仿宋_GB2312" w:eastAsia="仿宋_GB2312"/>
          <w:sz w:val="28"/>
          <w:szCs w:val="28"/>
        </w:rPr>
        <w:t xml:space="preserve">    （三）</w:t>
      </w:r>
      <w:r>
        <w:rPr>
          <w:rFonts w:hint="eastAsia" w:ascii="黑体" w:eastAsia="黑体"/>
          <w:sz w:val="28"/>
          <w:szCs w:val="28"/>
        </w:rPr>
        <w:t>本协议中涉及的所有日期如遇非银行工作日（“工作日”指银行对公业务正常营业日，不含法定节假日），则顺延至下一个工作日，未能及时认购理财产品等风险，由甲方自行承担。</w:t>
      </w:r>
    </w:p>
    <w:p>
      <w:pPr>
        <w:spacing w:line="470" w:lineRule="exact"/>
        <w:ind w:firstLine="555"/>
        <w:rPr>
          <w:rFonts w:ascii="仿宋_GB2312" w:eastAsia="仿宋_GB2312"/>
          <w:sz w:val="28"/>
          <w:szCs w:val="28"/>
        </w:rPr>
      </w:pPr>
      <w:r>
        <w:rPr>
          <w:rFonts w:hint="eastAsia" w:ascii="仿宋_GB2312" w:eastAsia="仿宋_GB2312"/>
          <w:sz w:val="28"/>
          <w:szCs w:val="28"/>
        </w:rPr>
        <w:t>（四）在本理财产品存续期内，如因有权机关采取强制措施导致甲方理财产品被冻结、扣划或处置的，乙方不承担责任，本协议自动终止。</w:t>
      </w:r>
      <w:r>
        <w:rPr>
          <w:rFonts w:hint="eastAsia" w:ascii="黑体" w:eastAsia="黑体"/>
          <w:sz w:val="28"/>
          <w:szCs w:val="28"/>
        </w:rPr>
        <w:t>此种情况下，乙方不计付本理财产品任何收益及被扣划的相应理财产品本金部分</w:t>
      </w:r>
      <w:r>
        <w:rPr>
          <w:rFonts w:hint="eastAsia" w:ascii="仿宋_GB2312" w:eastAsia="仿宋_GB2312"/>
          <w:sz w:val="28"/>
          <w:szCs w:val="28"/>
        </w:rPr>
        <w:t>。</w:t>
      </w:r>
    </w:p>
    <w:p>
      <w:pPr>
        <w:spacing w:line="470" w:lineRule="exact"/>
        <w:ind w:firstLine="700" w:firstLineChars="250"/>
        <w:rPr>
          <w:rFonts w:ascii="黑体" w:eastAsia="黑体"/>
          <w:sz w:val="28"/>
          <w:szCs w:val="28"/>
        </w:rPr>
      </w:pPr>
      <w:r>
        <w:rPr>
          <w:rFonts w:hint="eastAsia" w:ascii="黑体" w:eastAsia="黑体"/>
          <w:sz w:val="28"/>
          <w:szCs w:val="28"/>
        </w:rPr>
        <w:t>第八条  甲方重要声明与承诺：</w:t>
      </w:r>
    </w:p>
    <w:p>
      <w:pPr>
        <w:spacing w:line="470" w:lineRule="exact"/>
        <w:rPr>
          <w:rFonts w:ascii="仿宋_GB2312" w:eastAsia="仿宋_GB2312"/>
          <w:sz w:val="28"/>
          <w:szCs w:val="28"/>
        </w:rPr>
      </w:pPr>
      <w:r>
        <w:rPr>
          <w:rFonts w:hint="eastAsia" w:ascii="仿宋_GB2312" w:eastAsia="仿宋_GB2312"/>
          <w:sz w:val="28"/>
          <w:szCs w:val="28"/>
        </w:rPr>
        <w:t xml:space="preserve">    （一）甲方是根据中国法律合法成立并有效存续的企事业法人或其他组织，</w:t>
      </w:r>
      <w:bookmarkStart w:id="29" w:name="_Hlk90641312"/>
      <w:r>
        <w:rPr>
          <w:rFonts w:hint="eastAsia" w:ascii="仿宋_GB2312" w:eastAsia="仿宋_GB2312"/>
          <w:sz w:val="28"/>
          <w:szCs w:val="28"/>
        </w:rPr>
        <w:t>签署本协议符合对甲方具有约束力的法律法规等相关规定，不存在法律法规、有权机关或主管机关禁止或限制其购买本理财产品的各种情形，其购买本理财产品的行为亦未违反任何限制性规定。甲方签署和履行本协议系其真实意思表示。甲方确认其具有签订和履行本协议的权利和能力，且已经取得所需的一切有关授权、批准、许可、同意、备案或者登记，不存在任何法律上的瑕疵。否则，由此导致的后果应由甲方自行承担，并赔偿因此给乙方带来的损失。</w:t>
      </w:r>
      <w:bookmarkEnd w:id="29"/>
    </w:p>
    <w:p>
      <w:pPr>
        <w:spacing w:line="470" w:lineRule="exact"/>
        <w:ind w:firstLine="570"/>
        <w:rPr>
          <w:rFonts w:ascii="仿宋_GB2312" w:eastAsia="仿宋_GB2312"/>
          <w:sz w:val="28"/>
          <w:szCs w:val="28"/>
        </w:rPr>
      </w:pPr>
      <w:r>
        <w:rPr>
          <w:rFonts w:hint="eastAsia" w:ascii="仿宋_GB2312" w:eastAsia="仿宋_GB2312"/>
          <w:sz w:val="28"/>
          <w:szCs w:val="28"/>
        </w:rPr>
        <w:t>（二）甲方认购本理财产品的资金</w:t>
      </w:r>
      <w:bookmarkStart w:id="30" w:name="_Hlk90641330"/>
      <w:r>
        <w:rPr>
          <w:rFonts w:hint="eastAsia" w:ascii="仿宋_GB2312" w:eastAsia="仿宋_GB2312"/>
          <w:sz w:val="28"/>
          <w:szCs w:val="28"/>
        </w:rPr>
        <w:t>为</w:t>
      </w:r>
      <w:r>
        <w:rPr>
          <w:rFonts w:ascii="仿宋_GB2312" w:eastAsia="仿宋_GB2312"/>
          <w:sz w:val="28"/>
          <w:szCs w:val="28"/>
        </w:rPr>
        <w:t>甲方自有资金，</w:t>
      </w:r>
      <w:r>
        <w:rPr>
          <w:rFonts w:hint="eastAsia" w:ascii="仿宋_GB2312" w:eastAsia="仿宋_GB2312"/>
          <w:sz w:val="28"/>
          <w:szCs w:val="28"/>
        </w:rPr>
        <w:t>非贷款资金、发行债券等筹集的资金，</w:t>
      </w:r>
      <w:bookmarkEnd w:id="30"/>
      <w:r>
        <w:rPr>
          <w:rFonts w:hint="eastAsia" w:ascii="仿宋_GB2312" w:eastAsia="仿宋_GB2312"/>
          <w:sz w:val="28"/>
          <w:szCs w:val="28"/>
        </w:rPr>
        <w:t>来源合法有效，并有权支配和处分该款项。</w:t>
      </w:r>
      <w:bookmarkStart w:id="31" w:name="_Hlk90641338"/>
      <w:r>
        <w:rPr>
          <w:rFonts w:hint="eastAsia" w:ascii="仿宋_GB2312" w:eastAsia="仿宋_GB2312"/>
          <w:sz w:val="28"/>
          <w:szCs w:val="28"/>
        </w:rPr>
        <w:t>如本理财产品为私募理财产品的，则甲方承诺其为</w:t>
      </w:r>
      <w:r>
        <w:rPr>
          <w:rFonts w:ascii="仿宋_GB2312" w:eastAsia="仿宋_GB2312"/>
          <w:sz w:val="28"/>
          <w:szCs w:val="28"/>
        </w:rPr>
        <w:t>具备相应风险识别能力和风险承担能力</w:t>
      </w:r>
      <w:r>
        <w:rPr>
          <w:rFonts w:hint="eastAsia" w:ascii="仿宋_GB2312" w:eastAsia="仿宋_GB2312"/>
          <w:sz w:val="28"/>
          <w:szCs w:val="28"/>
        </w:rPr>
        <w:t>、</w:t>
      </w:r>
      <w:r>
        <w:rPr>
          <w:rFonts w:ascii="仿宋_GB2312" w:eastAsia="仿宋_GB2312"/>
          <w:sz w:val="28"/>
          <w:szCs w:val="28"/>
        </w:rPr>
        <w:t>投资于单只</w:t>
      </w:r>
      <w:r>
        <w:rPr>
          <w:rFonts w:hint="eastAsia" w:ascii="仿宋_GB2312" w:eastAsia="仿宋_GB2312"/>
          <w:sz w:val="28"/>
          <w:szCs w:val="28"/>
        </w:rPr>
        <w:t>理财</w:t>
      </w:r>
      <w:r>
        <w:rPr>
          <w:rFonts w:ascii="仿宋_GB2312" w:eastAsia="仿宋_GB2312"/>
          <w:sz w:val="28"/>
          <w:szCs w:val="28"/>
        </w:rPr>
        <w:t>产品不低于一定金额的</w:t>
      </w:r>
      <w:r>
        <w:rPr>
          <w:rFonts w:hint="eastAsia" w:ascii="仿宋_GB2312" w:eastAsia="仿宋_GB2312"/>
          <w:sz w:val="28"/>
          <w:szCs w:val="28"/>
        </w:rPr>
        <w:t>合格</w:t>
      </w:r>
      <w:r>
        <w:rPr>
          <w:rFonts w:ascii="仿宋_GB2312" w:eastAsia="仿宋_GB2312"/>
          <w:sz w:val="28"/>
          <w:szCs w:val="28"/>
        </w:rPr>
        <w:t>投资者</w:t>
      </w:r>
      <w:r>
        <w:rPr>
          <w:rFonts w:hint="eastAsia" w:ascii="仿宋_GB2312" w:eastAsia="仿宋_GB2312"/>
          <w:sz w:val="28"/>
          <w:szCs w:val="28"/>
        </w:rPr>
        <w:t>，并符合以下条件：</w:t>
      </w:r>
    </w:p>
    <w:p>
      <w:pPr>
        <w:spacing w:line="470" w:lineRule="exact"/>
        <w:ind w:firstLine="570"/>
        <w:rPr>
          <w:rFonts w:ascii="仿宋_GB2312" w:eastAsia="仿宋_GB2312"/>
          <w:sz w:val="28"/>
          <w:szCs w:val="28"/>
        </w:rPr>
      </w:pPr>
      <w:r>
        <w:rPr>
          <w:rFonts w:hint="eastAsia" w:ascii="仿宋_GB2312" w:eastAsia="仿宋_GB2312"/>
          <w:sz w:val="28"/>
          <w:szCs w:val="28"/>
        </w:rPr>
        <w:t>1、甲方为最近1年</w:t>
      </w:r>
      <w:r>
        <w:rPr>
          <w:rFonts w:ascii="仿宋_GB2312" w:eastAsia="仿宋_GB2312"/>
          <w:sz w:val="28"/>
          <w:szCs w:val="28"/>
        </w:rPr>
        <w:t>末净资产不低于</w:t>
      </w:r>
      <w:r>
        <w:rPr>
          <w:rFonts w:hint="eastAsia" w:ascii="仿宋_GB2312" w:eastAsia="仿宋_GB2312"/>
          <w:sz w:val="28"/>
          <w:szCs w:val="28"/>
        </w:rPr>
        <w:t>1000万元人民币的法人或者依法成立的其他组织；</w:t>
      </w:r>
    </w:p>
    <w:p>
      <w:pPr>
        <w:spacing w:line="470" w:lineRule="exact"/>
        <w:ind w:firstLine="570"/>
        <w:rPr>
          <w:rFonts w:ascii="仿宋_GB2312" w:eastAsia="仿宋_GB2312"/>
          <w:sz w:val="28"/>
          <w:szCs w:val="28"/>
        </w:rPr>
      </w:pPr>
      <w:r>
        <w:rPr>
          <w:rFonts w:hint="eastAsia" w:ascii="仿宋_GB2312" w:eastAsia="仿宋_GB2312"/>
          <w:sz w:val="28"/>
          <w:szCs w:val="28"/>
        </w:rPr>
        <w:t>2、投资于单只固定收益类理财产品的金额不得低于30万元人民币, 投资于单只混合类理财产品的金额不得低于40万元人民币, 投资于单只权益类理财产品、单只商品及金融衍生品类理财产品的金额不得低于100万元人民币；</w:t>
      </w:r>
    </w:p>
    <w:p>
      <w:pPr>
        <w:spacing w:line="470" w:lineRule="exact"/>
        <w:ind w:firstLine="570"/>
        <w:rPr>
          <w:rFonts w:ascii="仿宋_GB2312" w:eastAsia="仿宋_GB2312"/>
          <w:sz w:val="28"/>
          <w:szCs w:val="28"/>
        </w:rPr>
      </w:pPr>
      <w:r>
        <w:rPr>
          <w:rFonts w:hint="eastAsia" w:ascii="仿宋_GB2312" w:eastAsia="仿宋_GB2312"/>
          <w:sz w:val="28"/>
          <w:szCs w:val="28"/>
        </w:rPr>
        <w:t>3、符合国务院金融监督管理机构规定的其他情形。</w:t>
      </w:r>
    </w:p>
    <w:p>
      <w:pPr>
        <w:spacing w:line="470" w:lineRule="exact"/>
        <w:ind w:firstLine="570"/>
        <w:rPr>
          <w:rFonts w:ascii="仿宋_GB2312" w:eastAsia="仿宋_GB2312"/>
          <w:sz w:val="28"/>
          <w:szCs w:val="28"/>
        </w:rPr>
      </w:pPr>
      <w:r>
        <w:rPr>
          <w:rFonts w:hint="eastAsia" w:ascii="仿宋_GB2312" w:eastAsia="仿宋_GB2312"/>
          <w:sz w:val="28"/>
          <w:szCs w:val="28"/>
        </w:rPr>
        <w:t>（三）甲方承诺所提供给乙方的所有文件、资料、信息均真实、准确、完整、有效且无任何误导性陈述、虚假记载或重大遗漏或隐瞒，如有变更，甲方应及时办理变更手续。因甲方未及时办理相关变更手续所造成的损失，甲方自行承担责任。</w:t>
      </w:r>
      <w:bookmarkEnd w:id="31"/>
    </w:p>
    <w:p>
      <w:pPr>
        <w:spacing w:line="470" w:lineRule="exact"/>
        <w:ind w:firstLine="555"/>
        <w:rPr>
          <w:rFonts w:ascii="黑体" w:eastAsia="黑体"/>
          <w:sz w:val="28"/>
          <w:szCs w:val="28"/>
        </w:rPr>
      </w:pPr>
      <w:bookmarkStart w:id="32" w:name="_Hlk90641513"/>
      <w:r>
        <w:rPr>
          <w:rFonts w:hint="eastAsia" w:ascii="黑体" w:eastAsia="黑体"/>
          <w:sz w:val="28"/>
          <w:szCs w:val="28"/>
        </w:rPr>
        <w:t>（四）甲方在签署本销售协议书前，已经认真阅读理财产品销售文件的所有条款和内容，充分认识并愿意承担本理财产品的投资风险。甲方对此不存在任何疑问或异议，并对协议双方的权利义务、乙方的免除责任条款及交易风险等内容有准确和清楚的理解。</w:t>
      </w:r>
    </w:p>
    <w:p>
      <w:pPr>
        <w:spacing w:line="470" w:lineRule="exact"/>
        <w:ind w:firstLine="570"/>
        <w:rPr>
          <w:rFonts w:ascii="仿宋_GB2312" w:eastAsia="仿宋_GB2312"/>
          <w:sz w:val="28"/>
          <w:szCs w:val="28"/>
        </w:rPr>
      </w:pPr>
      <w:r>
        <w:rPr>
          <w:rFonts w:hint="eastAsia" w:ascii="仿宋_GB2312" w:eastAsia="仿宋_GB2312"/>
          <w:sz w:val="28"/>
          <w:szCs w:val="28"/>
        </w:rPr>
        <w:t>（五）甲方保证遵守国家反洗钱、反恐怖融资及非居民金融账户涉税信息尽职调查等相关法律法规及相关政策要求，不从事涉及洗钱、恐怖融资、逃税、逃废债务、套取现金等违法违规活动，积极配合乙方开展投资者身份识别、交易记录保存、甲方身份及交易背景尽职调查、大额和可疑交易报告等各项反洗钱、反恐怖融资及非居民金融账户涉税信息尽职调查工作，并按乙方要求提供相关证明材料。甲方保证其自身或其董事、高级管理人员、代理人或有权签字人未被列入中国有权部门发布的、或联合国、其他国际组织、其他国家（地区）发布的且得到中国承认的制裁名单及反洗钱和反恐怖融资监控名单。</w:t>
      </w:r>
      <w:bookmarkEnd w:id="32"/>
    </w:p>
    <w:p>
      <w:pPr>
        <w:spacing w:line="470" w:lineRule="exact"/>
        <w:rPr>
          <w:rFonts w:ascii="仿宋_GB2312" w:eastAsia="仿宋_GB2312"/>
          <w:sz w:val="28"/>
          <w:szCs w:val="28"/>
        </w:rPr>
      </w:pPr>
      <w:r>
        <w:rPr>
          <w:rFonts w:hint="eastAsia" w:ascii="仿宋_GB2312" w:eastAsia="仿宋_GB2312"/>
          <w:sz w:val="28"/>
          <w:szCs w:val="28"/>
        </w:rPr>
        <w:t xml:space="preserve">    第九条  违约条款</w:t>
      </w:r>
    </w:p>
    <w:p>
      <w:pPr>
        <w:spacing w:line="470" w:lineRule="exact"/>
        <w:ind w:firstLine="566"/>
        <w:rPr>
          <w:rFonts w:ascii="仿宋_GB2312" w:eastAsia="仿宋_GB2312"/>
          <w:sz w:val="28"/>
          <w:szCs w:val="28"/>
        </w:rPr>
      </w:pPr>
      <w:r>
        <w:rPr>
          <w:rFonts w:hint="eastAsia" w:ascii="仿宋_GB2312" w:eastAsia="仿宋_GB2312"/>
          <w:sz w:val="28"/>
          <w:szCs w:val="28"/>
        </w:rPr>
        <w:t>甲、乙双方承诺将切实履行本协议约定义务，任何一方不履行或履行本协议义务不符合约定的，应当承担继续履行、采取补救措施或者赔偿损失等违约责任。</w:t>
      </w:r>
    </w:p>
    <w:p>
      <w:pPr>
        <w:spacing w:line="470" w:lineRule="exact"/>
        <w:rPr>
          <w:rFonts w:ascii="仿宋_GB2312" w:eastAsia="仿宋_GB2312"/>
          <w:sz w:val="28"/>
          <w:szCs w:val="28"/>
        </w:rPr>
      </w:pPr>
      <w:r>
        <w:rPr>
          <w:rFonts w:hint="eastAsia" w:ascii="仿宋_GB2312" w:eastAsia="仿宋_GB2312"/>
          <w:sz w:val="28"/>
          <w:szCs w:val="28"/>
        </w:rPr>
        <w:t xml:space="preserve">    第十条  本协议适用中华人民共和国法律。本协议项下的及与之有关的一切争议，双方应首先友好协商解决，协商不成的，任何一方应向乙方所在地人民法院提起诉讼。</w:t>
      </w:r>
    </w:p>
    <w:p>
      <w:pPr>
        <w:spacing w:line="470" w:lineRule="exact"/>
        <w:rPr>
          <w:rFonts w:ascii="仿宋_GB2312" w:eastAsia="仿宋_GB2312"/>
          <w:sz w:val="28"/>
          <w:szCs w:val="28"/>
        </w:rPr>
      </w:pPr>
      <w:r>
        <w:rPr>
          <w:rFonts w:hint="eastAsia" w:ascii="仿宋_GB2312" w:eastAsia="仿宋_GB2312"/>
          <w:sz w:val="28"/>
          <w:szCs w:val="28"/>
        </w:rPr>
        <w:t xml:space="preserve">    第十一条  本协议与其他的理财产品销售文件共同构成甲、乙双方以及</w:t>
      </w:r>
      <w:r>
        <w:rPr>
          <w:rFonts w:hint="eastAsia" w:ascii="仿宋_GB2312" w:eastAsia="仿宋_GB2312"/>
          <w:sz w:val="28"/>
          <w:szCs w:val="28"/>
          <w:u w:val="single"/>
        </w:rPr>
        <w:t xml:space="preserve">        </w:t>
      </w:r>
      <w:r>
        <w:rPr>
          <w:rFonts w:hint="eastAsia" w:ascii="仿宋_GB2312" w:eastAsia="仿宋_GB2312"/>
          <w:sz w:val="28"/>
          <w:szCs w:val="28"/>
        </w:rPr>
        <w:t>（产品管理人，如涉及代理销售）就甲方通过乙方认购本理财产品相关事宜达成的全部协议，并取代双方在本协议签订之前做出的其他一切书面和口头承诺。</w:t>
      </w:r>
      <w:r>
        <w:rPr>
          <w:rFonts w:hint="eastAsia" w:ascii="黑体" w:eastAsia="黑体"/>
          <w:sz w:val="28"/>
          <w:szCs w:val="28"/>
        </w:rPr>
        <w:t>若其他理财产品销售文件中有关本理财产品的相关约定与本协议有不一致之处，则应以其他理财产品销售文件</w:t>
      </w:r>
      <w:r>
        <w:rPr>
          <w:rFonts w:hint="eastAsia" w:ascii="黑体" w:eastAsia="黑体"/>
          <w:spacing w:val="-2"/>
          <w:sz w:val="28"/>
          <w:szCs w:val="28"/>
        </w:rPr>
        <w:t>为准。</w:t>
      </w:r>
      <w:r>
        <w:rPr>
          <w:rFonts w:hint="eastAsia" w:ascii="仿宋_GB2312" w:eastAsia="仿宋_GB2312"/>
          <w:spacing w:val="-2"/>
          <w:sz w:val="28"/>
          <w:szCs w:val="28"/>
        </w:rPr>
        <w:t>如果因任何原因致使本协议项下的任何条款或内容成为无效或被依法撤销，本协议其他条款或内容的合法性、有效性和可执行性不受影响。</w:t>
      </w:r>
    </w:p>
    <w:p>
      <w:pPr>
        <w:spacing w:line="470" w:lineRule="exact"/>
        <w:rPr>
          <w:rFonts w:ascii="仿宋_GB2312" w:eastAsia="仿宋_GB2312"/>
          <w:b/>
          <w:bCs/>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t xml:space="preserve">第十二条 </w:t>
      </w:r>
      <w:r>
        <w:rPr>
          <w:rFonts w:ascii="仿宋_GB2312" w:eastAsia="仿宋_GB2312"/>
          <w:sz w:val="28"/>
          <w:szCs w:val="28"/>
        </w:rPr>
        <w:t xml:space="preserve"> </w:t>
      </w:r>
      <w:r>
        <w:rPr>
          <w:rFonts w:hint="eastAsia" w:ascii="仿宋_GB2312" w:eastAsia="仿宋_GB2312"/>
          <w:b/>
          <w:bCs/>
          <w:sz w:val="28"/>
          <w:szCs w:val="28"/>
        </w:rPr>
        <w:t>甲方在购买乙方销售的私募理财产品后，享有24小时的投资冷静期，投资冷静期自甲方签署理财产品销售文件后起算。在冷静期内，如甲方改变投资决定，应立即在投资冷静期内向乙方提出解除相应理财产品销售文件的申请，乙方/产品管理人应当遵从甲方意愿，解除已签订的理财产品销售文件并及时退还甲方全部投资款项。</w:t>
      </w:r>
    </w:p>
    <w:p>
      <w:pPr>
        <w:spacing w:line="470" w:lineRule="exact"/>
        <w:ind w:firstLine="570"/>
        <w:rPr>
          <w:rFonts w:ascii="仿宋_GB2312" w:eastAsia="仿宋_GB2312"/>
          <w:sz w:val="28"/>
          <w:szCs w:val="28"/>
        </w:rPr>
      </w:pPr>
      <w:r>
        <w:rPr>
          <w:rFonts w:hint="eastAsia" w:ascii="仿宋_GB2312" w:eastAsia="仿宋_GB2312"/>
          <w:sz w:val="28"/>
          <w:szCs w:val="28"/>
        </w:rPr>
        <w:t>第十三条  本协议经双方法定代表人（负责人）或委托代理人签章并加盖公章后生效，本协议一经生效，甲方不得擅自撤销。</w:t>
      </w:r>
    </w:p>
    <w:p>
      <w:pPr>
        <w:spacing w:line="470" w:lineRule="exact"/>
        <w:ind w:firstLine="570"/>
        <w:rPr>
          <w:rFonts w:ascii="仿宋_GB2312" w:eastAsia="仿宋_GB2312"/>
          <w:sz w:val="28"/>
          <w:szCs w:val="28"/>
        </w:rPr>
      </w:pPr>
      <w:bookmarkStart w:id="33" w:name="_Hlk90643298"/>
      <w:r>
        <w:rPr>
          <w:rFonts w:hint="eastAsia" w:ascii="仿宋_GB2312" w:eastAsia="仿宋_GB2312"/>
          <w:sz w:val="28"/>
          <w:szCs w:val="28"/>
        </w:rPr>
        <w:t xml:space="preserve">第十四条 </w:t>
      </w:r>
      <w:r>
        <w:rPr>
          <w:rFonts w:ascii="仿宋_GB2312" w:eastAsia="仿宋_GB2312"/>
          <w:sz w:val="28"/>
          <w:szCs w:val="28"/>
        </w:rPr>
        <w:t xml:space="preserve"> </w:t>
      </w:r>
      <w:r>
        <w:rPr>
          <w:rFonts w:hint="eastAsia" w:ascii="仿宋_GB2312" w:eastAsia="仿宋_GB2312"/>
          <w:sz w:val="28"/>
          <w:szCs w:val="28"/>
        </w:rPr>
        <w:t>如有下列情形之一的，本协议终止：</w:t>
      </w:r>
    </w:p>
    <w:p>
      <w:pPr>
        <w:pStyle w:val="16"/>
        <w:spacing w:line="470" w:lineRule="exact"/>
        <w:ind w:firstLine="560"/>
        <w:rPr>
          <w:rFonts w:ascii="仿宋_GB2312" w:eastAsia="仿宋_GB2312"/>
          <w:sz w:val="28"/>
          <w:szCs w:val="28"/>
        </w:rPr>
      </w:pPr>
      <w:r>
        <w:rPr>
          <w:rFonts w:hint="eastAsia" w:ascii="仿宋_GB2312" w:eastAsia="仿宋_GB2312"/>
          <w:sz w:val="28"/>
          <w:szCs w:val="28"/>
        </w:rPr>
        <w:t>1、本理财产品终止并完成清算的；</w:t>
      </w:r>
    </w:p>
    <w:p>
      <w:pPr>
        <w:pStyle w:val="16"/>
        <w:spacing w:line="470" w:lineRule="exact"/>
        <w:ind w:firstLine="560"/>
        <w:rPr>
          <w:rFonts w:ascii="仿宋_GB2312" w:eastAsia="仿宋_GB2312"/>
          <w:sz w:val="28"/>
          <w:szCs w:val="28"/>
        </w:rPr>
      </w:pPr>
      <w:r>
        <w:rPr>
          <w:rFonts w:hint="eastAsia" w:ascii="仿宋_GB2312" w:eastAsia="仿宋_GB2312"/>
          <w:sz w:val="28"/>
          <w:szCs w:val="28"/>
        </w:rPr>
        <w:t>2、产品未到期，但甲方单方面违反理财产品销售文件，并导致理财产品销售文件无法继续履行的；</w:t>
      </w:r>
    </w:p>
    <w:p>
      <w:pPr>
        <w:pStyle w:val="16"/>
        <w:spacing w:line="470" w:lineRule="exact"/>
        <w:ind w:firstLine="560"/>
        <w:rPr>
          <w:rFonts w:ascii="仿宋_GB2312" w:eastAsia="仿宋_GB2312"/>
          <w:sz w:val="28"/>
          <w:szCs w:val="28"/>
        </w:rPr>
      </w:pPr>
      <w:r>
        <w:rPr>
          <w:rFonts w:hint="eastAsia" w:ascii="仿宋_GB2312" w:eastAsia="仿宋_GB2312"/>
          <w:sz w:val="28"/>
          <w:szCs w:val="28"/>
        </w:rPr>
        <w:t>3、产品存续期限内，甲方涉及重大债务纠纷或案件等原因，导致其交易资金被国家有权机关采取保全措施或持有的全部理财产品份额遭到扣划的；</w:t>
      </w:r>
    </w:p>
    <w:p>
      <w:pPr>
        <w:pStyle w:val="16"/>
        <w:spacing w:line="470" w:lineRule="exact"/>
        <w:ind w:firstLine="560"/>
        <w:rPr>
          <w:rFonts w:ascii="仿宋_GB2312" w:eastAsia="仿宋_GB2312"/>
          <w:sz w:val="28"/>
          <w:szCs w:val="28"/>
        </w:rPr>
      </w:pPr>
      <w:r>
        <w:rPr>
          <w:rFonts w:hint="eastAsia" w:ascii="仿宋_GB2312" w:eastAsia="仿宋_GB2312"/>
          <w:sz w:val="28"/>
          <w:szCs w:val="28"/>
        </w:rPr>
        <w:t>4、法律法规规定的或理财产品销售文件约定的其他终止情形。</w:t>
      </w:r>
    </w:p>
    <w:p>
      <w:pPr>
        <w:pStyle w:val="16"/>
        <w:spacing w:line="470" w:lineRule="exact"/>
        <w:ind w:firstLine="560"/>
        <w:rPr>
          <w:rFonts w:ascii="仿宋_GB2312" w:eastAsia="仿宋_GB2312"/>
          <w:sz w:val="28"/>
          <w:szCs w:val="28"/>
        </w:rPr>
      </w:pPr>
      <w:r>
        <w:rPr>
          <w:rFonts w:hint="eastAsia" w:ascii="仿宋_GB2312" w:eastAsia="仿宋_GB2312"/>
          <w:sz w:val="28"/>
          <w:szCs w:val="28"/>
        </w:rPr>
        <w:t xml:space="preserve">第十五条 </w:t>
      </w:r>
      <w:r>
        <w:rPr>
          <w:rFonts w:ascii="仿宋_GB2312" w:eastAsia="仿宋_GB2312"/>
          <w:sz w:val="28"/>
          <w:szCs w:val="28"/>
        </w:rPr>
        <w:t xml:space="preserve"> </w:t>
      </w:r>
      <w:r>
        <w:rPr>
          <w:rFonts w:hint="eastAsia" w:ascii="仿宋_GB2312" w:eastAsia="仿宋_GB2312"/>
          <w:sz w:val="28"/>
          <w:szCs w:val="28"/>
        </w:rPr>
        <w:t xml:space="preserve">乙方有关事项的通知、协议等文件以及就协议发生纠纷时相关文件和法律文书送达，可以通过邮寄、电子设备终端等方式按甲方向乙方提供的联系地址进行送达，上述送达地址的适用范围包括非诉阶段和争议进入诉讼程序后的一审、二审、再审和执行程序。 </w:t>
      </w:r>
    </w:p>
    <w:p>
      <w:pPr>
        <w:pStyle w:val="16"/>
        <w:spacing w:line="470" w:lineRule="exact"/>
        <w:ind w:firstLine="560"/>
        <w:rPr>
          <w:rFonts w:ascii="仿宋_GB2312" w:eastAsia="仿宋_GB2312"/>
          <w:sz w:val="28"/>
          <w:szCs w:val="28"/>
        </w:rPr>
      </w:pPr>
      <w:r>
        <w:rPr>
          <w:rFonts w:hint="eastAsia" w:ascii="仿宋_GB2312" w:eastAsia="仿宋_GB2312"/>
          <w:sz w:val="28"/>
          <w:szCs w:val="28"/>
        </w:rPr>
        <w:t>甲方送达地址等任一事项发生变更的，应最迟于两个工作日内书面通知乙方。</w:t>
      </w:r>
    </w:p>
    <w:p>
      <w:pPr>
        <w:pStyle w:val="16"/>
        <w:spacing w:line="470" w:lineRule="exact"/>
        <w:ind w:firstLine="560"/>
        <w:rPr>
          <w:rFonts w:ascii="仿宋_GB2312" w:eastAsia="仿宋_GB2312"/>
          <w:sz w:val="28"/>
          <w:szCs w:val="28"/>
        </w:rPr>
      </w:pPr>
      <w:r>
        <w:rPr>
          <w:rFonts w:hint="eastAsia" w:ascii="仿宋_GB2312" w:eastAsia="仿宋_GB2312"/>
          <w:sz w:val="28"/>
          <w:szCs w:val="28"/>
        </w:rPr>
        <w:t>甲方未按前述方式履行通知义务，其所确认的送达地址仍视为有效送达地址。若甲方送达地址变更未及时通知乙方，乙方按原送达地址送达的，或因甲方提供的变更送达地址不准确导致被退回的，均视为已送达。</w:t>
      </w:r>
    </w:p>
    <w:p>
      <w:pPr>
        <w:pStyle w:val="16"/>
        <w:spacing w:line="470" w:lineRule="exact"/>
        <w:ind w:firstLine="560"/>
        <w:rPr>
          <w:rFonts w:ascii="仿宋_GB2312" w:eastAsia="仿宋_GB2312"/>
          <w:sz w:val="28"/>
          <w:szCs w:val="28"/>
        </w:rPr>
      </w:pPr>
      <w:r>
        <w:rPr>
          <w:rFonts w:hint="eastAsia" w:ascii="仿宋_GB2312" w:eastAsia="仿宋_GB2312"/>
          <w:sz w:val="28"/>
          <w:szCs w:val="28"/>
        </w:rPr>
        <w:t>按本协议中约定的通知方式，邮寄送达的，送达日为投寄挂号信邮戳之日；专程送达的，送达日为收件人签收之日；采用电报、传真方式送达的，送达日为电报、传真到达对方之日；采用电子设备终端方式送达的，送达日为发件人发出之日。</w:t>
      </w:r>
    </w:p>
    <w:bookmarkEnd w:id="33"/>
    <w:p>
      <w:pPr>
        <w:spacing w:line="480" w:lineRule="exact"/>
        <w:rPr>
          <w:rFonts w:ascii="仿宋_GB2312" w:eastAsia="仿宋_GB2312"/>
          <w:b/>
          <w:sz w:val="28"/>
          <w:szCs w:val="28"/>
        </w:rPr>
      </w:pPr>
      <w:r>
        <w:rPr>
          <w:rFonts w:hint="eastAsia" w:ascii="仿宋_GB2312" w:eastAsia="仿宋_GB2312"/>
          <w:sz w:val="28"/>
          <w:szCs w:val="28"/>
        </w:rPr>
        <w:t xml:space="preserve">    第十六条  本协议一式贰份，甲方执壹份，乙方执壹份，具有同等法律效力。</w:t>
      </w:r>
    </w:p>
    <w:p>
      <w:pPr>
        <w:spacing w:line="480" w:lineRule="exact"/>
        <w:rPr>
          <w:rFonts w:ascii="仿宋_GB2312" w:eastAsia="仿宋_GB2312"/>
          <w:b/>
          <w:sz w:val="28"/>
          <w:szCs w:val="28"/>
        </w:rPr>
      </w:pPr>
    </w:p>
    <w:p>
      <w:pPr>
        <w:spacing w:line="480" w:lineRule="exact"/>
        <w:rPr>
          <w:rFonts w:ascii="仿宋_GB2312" w:eastAsia="仿宋_GB2312"/>
          <w:b/>
          <w:sz w:val="28"/>
          <w:szCs w:val="28"/>
        </w:rPr>
      </w:pPr>
    </w:p>
    <w:p>
      <w:pPr>
        <w:spacing w:line="240" w:lineRule="auto"/>
        <w:rPr>
          <w:rFonts w:hint="eastAsia" w:ascii="仿宋_GB2312" w:eastAsia="仿宋_GB2312"/>
          <w:b/>
          <w:bCs/>
          <w:sz w:val="28"/>
          <w:szCs w:val="28"/>
        </w:rPr>
      </w:pPr>
      <w:r>
        <w:rPr>
          <w:rFonts w:hint="eastAsia" w:ascii="仿宋_GB2312" w:eastAsia="仿宋_GB2312"/>
          <w:b/>
          <w:bCs/>
          <w:sz w:val="28"/>
          <w:szCs w:val="28"/>
        </w:rPr>
        <w:br w:type="page"/>
      </w:r>
    </w:p>
    <w:p>
      <w:pPr>
        <w:spacing w:line="480" w:lineRule="exact"/>
        <w:rPr>
          <w:rFonts w:ascii="仿宋_GB2312" w:eastAsia="仿宋_GB2312"/>
          <w:b/>
          <w:bCs/>
          <w:sz w:val="28"/>
          <w:szCs w:val="28"/>
        </w:rPr>
      </w:pPr>
      <w:r>
        <w:rPr>
          <w:rFonts w:hint="eastAsia" w:ascii="仿宋_GB2312" w:eastAsia="仿宋_GB2312"/>
          <w:b/>
          <w:bCs/>
          <w:sz w:val="28"/>
          <w:szCs w:val="28"/>
        </w:rPr>
        <w:t>甲方重要声明：</w:t>
      </w:r>
    </w:p>
    <w:p>
      <w:pPr>
        <w:spacing w:line="480" w:lineRule="exact"/>
        <w:ind w:firstLine="562" w:firstLineChars="200"/>
        <w:rPr>
          <w:rFonts w:ascii="仿宋_GB2312" w:eastAsia="仿宋_GB2312"/>
          <w:b/>
          <w:bCs/>
          <w:sz w:val="28"/>
          <w:szCs w:val="28"/>
        </w:rPr>
      </w:pPr>
      <w:r>
        <w:rPr>
          <w:rFonts w:hint="eastAsia" w:ascii="仿宋_GB2312" w:eastAsia="仿宋_GB2312"/>
          <w:b/>
          <w:bCs/>
          <w:sz w:val="28"/>
          <w:szCs w:val="28"/>
        </w:rPr>
        <w:t>在签署本协议书前，已认真阅读本协议书及客户权益须知，充分认识理财产品的投资风险以及乙方的</w:t>
      </w:r>
      <w:r>
        <w:rPr>
          <w:rFonts w:ascii="仿宋_GB2312" w:eastAsia="仿宋_GB2312"/>
          <w:b/>
          <w:bCs/>
          <w:sz w:val="28"/>
          <w:szCs w:val="28"/>
        </w:rPr>
        <w:t>免责</w:t>
      </w:r>
      <w:r>
        <w:rPr>
          <w:rFonts w:hint="eastAsia" w:ascii="仿宋_GB2312" w:eastAsia="仿宋_GB2312"/>
          <w:b/>
          <w:bCs/>
          <w:sz w:val="28"/>
          <w:szCs w:val="28"/>
        </w:rPr>
        <w:t>情形，乙方就本协议书的全部条款已向甲方进行了详细地说明和解释，双方对合同的全部条款均无疑义，并对有关权利义务和责任限制或免除条款的法律含义有准确无误的理解。</w:t>
      </w:r>
    </w:p>
    <w:p>
      <w:pPr>
        <w:spacing w:line="460" w:lineRule="exact"/>
        <w:ind w:firstLine="482" w:firstLineChars="200"/>
        <w:rPr>
          <w:rFonts w:ascii="宋体" w:hAnsi="宋体"/>
          <w:b/>
          <w:sz w:val="24"/>
        </w:rPr>
      </w:pPr>
    </w:p>
    <w:p>
      <w:pPr>
        <w:spacing w:line="480" w:lineRule="exact"/>
        <w:ind w:left="4200" w:hanging="4200" w:hangingChars="1500"/>
        <w:rPr>
          <w:rFonts w:ascii="仿宋_GB2312" w:eastAsia="仿宋_GB2312"/>
          <w:sz w:val="28"/>
          <w:szCs w:val="28"/>
        </w:rPr>
      </w:pPr>
    </w:p>
    <w:p>
      <w:pPr>
        <w:spacing w:line="480" w:lineRule="exact"/>
        <w:rPr>
          <w:rFonts w:ascii="仿宋_GB2312" w:eastAsia="仿宋_GB2312"/>
          <w:sz w:val="28"/>
          <w:szCs w:val="28"/>
        </w:rPr>
      </w:pPr>
    </w:p>
    <w:p>
      <w:pPr>
        <w:spacing w:line="480" w:lineRule="exact"/>
        <w:ind w:left="4200" w:hanging="4200" w:hangingChars="1500"/>
        <w:rPr>
          <w:rFonts w:ascii="仿宋_GB2312" w:eastAsia="仿宋_GB2312"/>
          <w:sz w:val="28"/>
          <w:szCs w:val="28"/>
        </w:rPr>
      </w:pPr>
      <w:r>
        <w:rPr>
          <w:rFonts w:hint="eastAsia" w:ascii="仿宋_GB2312" w:eastAsia="仿宋_GB2312"/>
          <w:sz w:val="28"/>
          <w:szCs w:val="28"/>
        </w:rPr>
        <w:t>甲方（公章）：                       乙方（公章）：</w:t>
      </w:r>
    </w:p>
    <w:p>
      <w:pPr>
        <w:spacing w:line="480" w:lineRule="exact"/>
        <w:ind w:left="4200" w:hanging="4200" w:hangingChars="1500"/>
        <w:rPr>
          <w:rFonts w:ascii="仿宋_GB2312" w:eastAsia="仿宋_GB2312"/>
          <w:sz w:val="28"/>
          <w:szCs w:val="28"/>
        </w:rPr>
      </w:pPr>
    </w:p>
    <w:p>
      <w:pPr>
        <w:tabs>
          <w:tab w:val="left" w:pos="5040"/>
        </w:tabs>
        <w:spacing w:line="480" w:lineRule="exact"/>
        <w:ind w:left="4200" w:hanging="4200" w:hangingChars="1500"/>
        <w:rPr>
          <w:rFonts w:ascii="仿宋_GB2312" w:eastAsia="仿宋_GB2312"/>
          <w:sz w:val="28"/>
          <w:szCs w:val="28"/>
        </w:rPr>
      </w:pPr>
      <w:r>
        <w:rPr>
          <w:rFonts w:hint="eastAsia" w:ascii="仿宋_GB2312" w:eastAsia="仿宋_GB2312"/>
          <w:sz w:val="28"/>
          <w:szCs w:val="28"/>
        </w:rPr>
        <w:t>法定代表人</w:t>
      </w:r>
      <w:r>
        <w:rPr>
          <w:rFonts w:hint="eastAsia" w:ascii="仿宋_GB2312" w:eastAsia="仿宋_GB2312"/>
          <w:sz w:val="28"/>
          <w:szCs w:val="28"/>
        </w:rPr>
        <w:tab/>
      </w:r>
      <w:r>
        <w:rPr>
          <w:rFonts w:hint="eastAsia" w:ascii="仿宋_GB2312" w:eastAsia="仿宋_GB2312"/>
          <w:sz w:val="28"/>
          <w:szCs w:val="28"/>
        </w:rPr>
        <w:tab/>
      </w:r>
      <w:r>
        <w:rPr>
          <w:rFonts w:hint="eastAsia" w:ascii="仿宋_GB2312" w:eastAsia="仿宋_GB2312"/>
          <w:sz w:val="28"/>
          <w:szCs w:val="28"/>
        </w:rPr>
        <w:t>法定代表人</w:t>
      </w:r>
    </w:p>
    <w:p>
      <w:pPr>
        <w:tabs>
          <w:tab w:val="left" w:pos="5040"/>
        </w:tabs>
        <w:spacing w:line="480" w:lineRule="exact"/>
        <w:ind w:left="4200" w:hanging="4200" w:hangingChars="1500"/>
        <w:rPr>
          <w:rFonts w:ascii="仿宋_GB2312" w:eastAsia="仿宋_GB2312"/>
          <w:sz w:val="28"/>
          <w:szCs w:val="28"/>
        </w:rPr>
      </w:pPr>
      <w:r>
        <w:rPr>
          <w:rFonts w:hint="eastAsia" w:ascii="仿宋_GB2312" w:eastAsia="仿宋_GB2312"/>
          <w:sz w:val="28"/>
          <w:szCs w:val="28"/>
        </w:rPr>
        <w:t>（负责人）                          （负责人）</w:t>
      </w:r>
    </w:p>
    <w:p>
      <w:pPr>
        <w:spacing w:line="480" w:lineRule="exact"/>
        <w:ind w:left="4200" w:hanging="4200" w:hangingChars="1500"/>
        <w:rPr>
          <w:rFonts w:ascii="仿宋_GB2312" w:eastAsia="仿宋_GB2312"/>
          <w:sz w:val="28"/>
          <w:szCs w:val="28"/>
        </w:rPr>
      </w:pPr>
      <w:r>
        <w:rPr>
          <w:rFonts w:hint="eastAsia" w:ascii="仿宋_GB2312" w:eastAsia="仿宋_GB2312"/>
          <w:sz w:val="28"/>
          <w:szCs w:val="28"/>
        </w:rPr>
        <w:t>或委托代理人：                      或委托代理人：</w:t>
      </w:r>
    </w:p>
    <w:p>
      <w:pPr>
        <w:spacing w:line="480" w:lineRule="exact"/>
        <w:ind w:firstLine="1540" w:firstLineChars="550"/>
        <w:rPr>
          <w:rFonts w:ascii="仿宋_GB2312" w:eastAsia="仿宋_GB2312"/>
          <w:sz w:val="28"/>
          <w:szCs w:val="28"/>
        </w:rPr>
      </w:pPr>
      <w:r>
        <w:rPr>
          <w:rFonts w:hint="eastAsia" w:ascii="仿宋_GB2312" w:eastAsia="仿宋_GB2312"/>
          <w:sz w:val="28"/>
          <w:szCs w:val="28"/>
        </w:rPr>
        <w:t>（签章）                             （签章）</w:t>
      </w:r>
    </w:p>
    <w:p>
      <w:pPr>
        <w:spacing w:line="480" w:lineRule="exact"/>
        <w:rPr>
          <w:rFonts w:ascii="仿宋_GB2312" w:eastAsia="仿宋_GB2312"/>
          <w:sz w:val="28"/>
          <w:szCs w:val="28"/>
        </w:rPr>
      </w:pPr>
      <w:r>
        <w:rPr>
          <w:rFonts w:hint="eastAsia" w:ascii="仿宋_GB2312" w:eastAsia="仿宋_GB2312"/>
          <w:sz w:val="28"/>
          <w:szCs w:val="28"/>
        </w:rPr>
        <w:t>日期：                              日期：</w:t>
      </w:r>
    </w:p>
    <w:p>
      <w:pPr>
        <w:spacing w:line="480" w:lineRule="exact"/>
        <w:rPr>
          <w:rFonts w:ascii="仿宋_GB2312" w:eastAsia="仿宋_GB2312"/>
          <w:sz w:val="28"/>
          <w:szCs w:val="28"/>
        </w:rPr>
      </w:pPr>
    </w:p>
    <w:p>
      <w:pPr>
        <w:spacing w:line="480" w:lineRule="exact"/>
        <w:rPr>
          <w:rFonts w:ascii="仿宋_GB2312" w:eastAsia="仿宋_GB2312"/>
          <w:sz w:val="28"/>
          <w:szCs w:val="28"/>
        </w:rPr>
      </w:pPr>
    </w:p>
    <w:p>
      <w:pPr>
        <w:spacing w:line="480" w:lineRule="exact"/>
        <w:rPr>
          <w:rFonts w:ascii="仿宋_GB2312" w:eastAsia="仿宋_GB2312"/>
          <w:sz w:val="28"/>
          <w:szCs w:val="28"/>
        </w:rPr>
      </w:pPr>
    </w:p>
    <w:p>
      <w:pPr>
        <w:rPr>
          <w:rFonts w:ascii="仿宋_GB2312" w:eastAsia="仿宋_GB2312"/>
          <w:sz w:val="28"/>
          <w:szCs w:val="28"/>
        </w:rPr>
      </w:pPr>
      <w:r>
        <w:rPr>
          <w:rFonts w:hint="eastAsia" w:ascii="仿宋_GB2312" w:eastAsia="仿宋_GB2312"/>
          <w:sz w:val="28"/>
          <w:szCs w:val="28"/>
        </w:rPr>
        <w:t>甲方授权指定账户预留印鉴章：</w:t>
      </w:r>
    </w:p>
    <w:p>
      <w:pPr>
        <w:autoSpaceDE w:val="0"/>
        <w:autoSpaceDN w:val="0"/>
        <w:adjustRightInd w:val="0"/>
        <w:snapToGrid w:val="0"/>
        <w:spacing w:line="300" w:lineRule="auto"/>
        <w:ind w:right="1155"/>
        <w:jc w:val="both"/>
        <w:rPr>
          <w:rFonts w:hint="eastAsia" w:ascii="宋体" w:hAnsi="宋体"/>
          <w:sz w:val="22"/>
          <w:szCs w:val="22"/>
          <w:lang w:val="zh-CN"/>
        </w:rPr>
      </w:pPr>
    </w:p>
    <w:p/>
    <w:sectPr>
      <w:headerReference r:id="rId7" w:type="first"/>
      <w:headerReference r:id="rId6" w:type="default"/>
      <w:footerReference r:id="rId8" w:type="default"/>
      <w:pgSz w:w="11906" w:h="16838"/>
      <w:pgMar w:top="1440" w:right="1800" w:bottom="1440" w:left="1800" w:header="851" w:footer="992" w:gutter="0"/>
      <w:pgNumType w:fmt="decimal"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宋体@.蜮.艀.">
    <w:altName w:val="宋体"/>
    <w:panose1 w:val="00000000000000000000"/>
    <w:charset w:val="86"/>
    <w:family w:val="roma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宋?">
    <w:altName w:val="Times New Roman"/>
    <w:panose1 w:val="00000000000000000000"/>
    <w:charset w:val="00"/>
    <w:family w:val="auto"/>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420" w:firstLine="420"/>
      <w:jc w:val="right"/>
    </w:pP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420" w:firstLine="420"/>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42464438"/>
                          </w:sdtPr>
                          <w:sdtContent>
                            <w:p>
                              <w:pPr>
                                <w:pStyle w:val="6"/>
                                <w:ind w:left="420" w:firstLine="420"/>
                                <w:jc w:val="right"/>
                              </w:pPr>
                              <w:r>
                                <w:fldChar w:fldCharType="begin"/>
                              </w:r>
                              <w:r>
                                <w:instrText xml:space="preserve">PAGE   \* MERGEFORMAT</w:instrText>
                              </w:r>
                              <w:r>
                                <w:fldChar w:fldCharType="separate"/>
                              </w:r>
                              <w:r>
                                <w:rPr>
                                  <w:lang w:val="zh-CN"/>
                                </w:rPr>
                                <w:t>19</w:t>
                              </w:r>
                              <w: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1342464438"/>
                    </w:sdtPr>
                    <w:sdtContent>
                      <w:p>
                        <w:pPr>
                          <w:pStyle w:val="6"/>
                          <w:ind w:left="420" w:firstLine="420"/>
                          <w:jc w:val="right"/>
                        </w:pPr>
                        <w:r>
                          <w:fldChar w:fldCharType="begin"/>
                        </w:r>
                        <w:r>
                          <w:instrText xml:space="preserve">PAGE   \* MERGEFORMAT</w:instrText>
                        </w:r>
                        <w:r>
                          <w:fldChar w:fldCharType="separate"/>
                        </w:r>
                        <w:r>
                          <w:rPr>
                            <w:lang w:val="zh-CN"/>
                          </w:rPr>
                          <w:t>19</w:t>
                        </w:r>
                        <w:r>
                          <w:fldChar w:fldCharType="end"/>
                        </w:r>
                      </w:p>
                    </w:sdtContent>
                  </w:sdt>
                  <w:p/>
                </w:txbxContent>
              </v:textbox>
            </v:shape>
          </w:pict>
        </mc:Fallback>
      </mc:AlternateConten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hint="default" w:eastAsiaTheme="minorEastAsia"/>
        <w:b/>
        <w:bCs/>
        <w:lang w:val="en-US" w:eastAsia="zh-CN"/>
      </w:rPr>
    </w:pPr>
    <w:r>
      <w:rPr>
        <w:rFonts w:hint="eastAsia"/>
        <w:b/>
        <w:bCs/>
        <w:lang w:val="en-US" w:eastAsia="zh-CN"/>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right"/>
      <w:rPr>
        <w:rFonts w:hint="eastAsia" w:eastAsiaTheme="minorEastAsia"/>
        <w:lang w:eastAsia="zh-CN"/>
      </w:rPr>
    </w:pPr>
    <w:r>
      <w:rPr>
        <w:rFonts w:hint="eastAsia"/>
        <w:lang w:eastAsia="zh-CN"/>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0"/>
      </w:pBdr>
      <w:jc w:val="right"/>
      <w:rPr>
        <w:rFonts w:asciiTheme="minorEastAsia" w:hAnsiTheme="minorEastAsia" w:cstheme="minorEastAsia"/>
      </w:rPr>
    </w:pPr>
    <w:r>
      <w:rPr>
        <w:rFonts w:hint="eastAsia" w:asciiTheme="minorEastAsia" w:hAnsiTheme="minorEastAsia" w:cstheme="minorEastAsia"/>
        <w:b/>
        <w:bCs/>
      </w:rPr>
      <w:t xml:space="preserve"> 理财非存款、产品有风险、投资须谨慎</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0"/>
      </w:pBdr>
      <w:jc w:val="right"/>
      <w:rPr>
        <w:rFonts w:asciiTheme="minorEastAsia" w:hAnsiTheme="minorEastAsia" w:cstheme="minorEastAsia"/>
      </w:rPr>
    </w:pPr>
    <w:r>
      <w:rPr>
        <w:rFonts w:hint="eastAsia" w:asciiTheme="minorEastAsia" w:hAnsiTheme="minorEastAsia" w:cstheme="minorEastAsia"/>
        <w:b/>
        <w:bCs/>
      </w:rPr>
      <w:t xml:space="preserve"> 理财非存款、产品有风险、投资须谨慎</w:t>
    </w:r>
  </w:p>
  <w:p>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674C74"/>
    <w:multiLevelType w:val="singleLevel"/>
    <w:tmpl w:val="99674C74"/>
    <w:lvl w:ilvl="0" w:tentative="0">
      <w:start w:val="5"/>
      <w:numFmt w:val="chineseCounting"/>
      <w:suff w:val="nothing"/>
      <w:lvlText w:val="（%1）"/>
      <w:lvlJc w:val="left"/>
      <w:rPr>
        <w:rFonts w:hint="eastAsia"/>
      </w:rPr>
    </w:lvl>
  </w:abstractNum>
  <w:abstractNum w:abstractNumId="1">
    <w:nsid w:val="E9B7CDD8"/>
    <w:multiLevelType w:val="singleLevel"/>
    <w:tmpl w:val="E9B7CDD8"/>
    <w:lvl w:ilvl="0" w:tentative="0">
      <w:start w:val="1"/>
      <w:numFmt w:val="decimal"/>
      <w:suff w:val="nothing"/>
      <w:lvlText w:val="%1、"/>
      <w:lvlJc w:val="left"/>
    </w:lvl>
  </w:abstractNum>
  <w:abstractNum w:abstractNumId="2">
    <w:nsid w:val="FF8AA15B"/>
    <w:multiLevelType w:val="singleLevel"/>
    <w:tmpl w:val="FF8AA15B"/>
    <w:lvl w:ilvl="0" w:tentative="0">
      <w:start w:val="1"/>
      <w:numFmt w:val="chineseCounting"/>
      <w:suff w:val="nothing"/>
      <w:lvlText w:val="%1、"/>
      <w:lvlJc w:val="left"/>
      <w:rPr>
        <w:rFonts w:hint="eastAsia"/>
        <w:b/>
        <w:bCs/>
      </w:rPr>
    </w:lvl>
  </w:abstractNum>
  <w:abstractNum w:abstractNumId="3">
    <w:nsid w:val="045329BA"/>
    <w:multiLevelType w:val="singleLevel"/>
    <w:tmpl w:val="045329BA"/>
    <w:lvl w:ilvl="0" w:tentative="0">
      <w:start w:val="1"/>
      <w:numFmt w:val="decimal"/>
      <w:suff w:val="nothing"/>
      <w:lvlText w:val="%1、"/>
      <w:lvlJc w:val="left"/>
    </w:lvl>
  </w:abstractNum>
  <w:abstractNum w:abstractNumId="4">
    <w:nsid w:val="05DF039F"/>
    <w:multiLevelType w:val="singleLevel"/>
    <w:tmpl w:val="05DF039F"/>
    <w:lvl w:ilvl="0" w:tentative="0">
      <w:start w:val="2"/>
      <w:numFmt w:val="decimal"/>
      <w:suff w:val="nothing"/>
      <w:lvlText w:val="（%1）"/>
      <w:lvlJc w:val="left"/>
    </w:lvl>
  </w:abstractNum>
  <w:abstractNum w:abstractNumId="5">
    <w:nsid w:val="0FD8E810"/>
    <w:multiLevelType w:val="singleLevel"/>
    <w:tmpl w:val="0FD8E810"/>
    <w:lvl w:ilvl="0" w:tentative="0">
      <w:start w:val="1"/>
      <w:numFmt w:val="decimal"/>
      <w:suff w:val="nothing"/>
      <w:lvlText w:val="%1、"/>
      <w:lvlJc w:val="left"/>
    </w:lvl>
  </w:abstractNum>
  <w:abstractNum w:abstractNumId="6">
    <w:nsid w:val="6BB777A8"/>
    <w:multiLevelType w:val="singleLevel"/>
    <w:tmpl w:val="6BB777A8"/>
    <w:lvl w:ilvl="0" w:tentative="0">
      <w:start w:val="1"/>
      <w:numFmt w:val="decimal"/>
      <w:suff w:val="nothing"/>
      <w:lvlText w:val="%1、"/>
      <w:lvlJc w:val="left"/>
    </w:lvl>
  </w:abstractNum>
  <w:abstractNum w:abstractNumId="7">
    <w:nsid w:val="70AC2909"/>
    <w:multiLevelType w:val="singleLevel"/>
    <w:tmpl w:val="70AC2909"/>
    <w:lvl w:ilvl="0" w:tentative="0">
      <w:start w:val="5"/>
      <w:numFmt w:val="chineseCounting"/>
      <w:suff w:val="nothing"/>
      <w:lvlText w:val="%1、"/>
      <w:lvlJc w:val="left"/>
      <w:rPr>
        <w:rFonts w:hint="eastAsia"/>
      </w:rPr>
    </w:lvl>
  </w:abstractNum>
  <w:num w:numId="1">
    <w:abstractNumId w:val="3"/>
  </w:num>
  <w:num w:numId="2">
    <w:abstractNumId w:val="6"/>
  </w:num>
  <w:num w:numId="3">
    <w:abstractNumId w:val="1"/>
  </w:num>
  <w:num w:numId="4">
    <w:abstractNumId w:val="0"/>
  </w:num>
  <w:num w:numId="5">
    <w:abstractNumId w:val="4"/>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A4B3097"/>
    <w:rsid w:val="0A4B3097"/>
    <w:rsid w:val="11195333"/>
    <w:rsid w:val="205471C3"/>
    <w:rsid w:val="25A10B43"/>
    <w:rsid w:val="2656273F"/>
    <w:rsid w:val="438A3D05"/>
    <w:rsid w:val="43BF738F"/>
    <w:rsid w:val="47485405"/>
    <w:rsid w:val="50A800BD"/>
    <w:rsid w:val="78892B44"/>
    <w:rsid w:val="7A3E6345"/>
    <w:rsid w:val="7DE10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semiHidden/>
    <w:qFormat/>
    <w:uiPriority w:val="0"/>
    <w:rPr>
      <w:rFonts w:ascii="仿宋" w:hAnsi="仿宋" w:eastAsia="仿宋" w:cs="仿宋"/>
      <w:sz w:val="24"/>
      <w:szCs w:val="24"/>
      <w:lang w:val="en-US" w:eastAsia="en-US" w:bidi="ar-SA"/>
    </w:rPr>
  </w:style>
  <w:style w:type="paragraph" w:styleId="5">
    <w:name w:val="Body Text Indent"/>
    <w:basedOn w:val="1"/>
    <w:qFormat/>
    <w:uiPriority w:val="0"/>
    <w:pPr>
      <w:adjustRightInd w:val="0"/>
      <w:snapToGrid w:val="0"/>
      <w:ind w:firstLine="360" w:firstLineChars="150"/>
      <w:jc w:val="left"/>
    </w:pPr>
    <w:rPr>
      <w:sz w:val="24"/>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ind w:firstLine="632" w:firstLineChars="200"/>
    </w:pPr>
    <w:rPr>
      <w:rFonts w:ascii="仿宋_GB2312" w:hAnsi="Times New Roman" w:eastAsia="仿宋_GB2312"/>
      <w:sz w:val="32"/>
      <w:szCs w:val="24"/>
    </w:rPr>
  </w:style>
  <w:style w:type="paragraph" w:styleId="9">
    <w:name w:val="Normal (Web)"/>
    <w:basedOn w:val="1"/>
    <w:semiHidden/>
    <w:unhideWhenUsed/>
    <w:qFormat/>
    <w:uiPriority w:val="99"/>
    <w:pPr>
      <w:spacing w:beforeAutospacing="1" w:afterAutospacing="1"/>
      <w:jc w:val="left"/>
    </w:pPr>
    <w:rPr>
      <w:rFonts w:cs="Times New Roman"/>
      <w:kern w:val="0"/>
      <w:sz w:val="24"/>
    </w:rPr>
  </w:style>
  <w:style w:type="character" w:styleId="12">
    <w:name w:val="Strong"/>
    <w:basedOn w:val="11"/>
    <w:qFormat/>
    <w:uiPriority w:val="22"/>
    <w:rPr>
      <w:b/>
    </w:rPr>
  </w:style>
  <w:style w:type="character" w:styleId="13">
    <w:name w:val="page number"/>
    <w:basedOn w:val="11"/>
    <w:qFormat/>
    <w:uiPriority w:val="0"/>
  </w:style>
  <w:style w:type="table" w:customStyle="1" w:styleId="14">
    <w:name w:val="网格型1"/>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15">
    <w:name w:val="Default"/>
    <w:qFormat/>
    <w:uiPriority w:val="0"/>
    <w:pPr>
      <w:widowControl w:val="0"/>
      <w:autoSpaceDE w:val="0"/>
      <w:autoSpaceDN w:val="0"/>
      <w:adjustRightInd w:val="0"/>
    </w:pPr>
    <w:rPr>
      <w:rFonts w:ascii="宋体@.蜮.艀." w:eastAsia="宋体@.蜮.艀." w:cs="宋体@.蜮.艀." w:hAnsiTheme="minorHAnsi"/>
      <w:color w:val="000000"/>
      <w:sz w:val="24"/>
      <w:szCs w:val="24"/>
      <w:lang w:val="en-US" w:eastAsia="zh-CN" w:bidi="ar-SA"/>
    </w:r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59</Pages>
  <Words>47864</Words>
  <Characters>48775</Characters>
  <Lines>0</Lines>
  <Paragraphs>0</Paragraphs>
  <TotalTime>2</TotalTime>
  <ScaleCrop>false</ScaleCrop>
  <LinksUpToDate>false</LinksUpToDate>
  <CharactersWithSpaces>49308</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2024-10-25T03:13:00Z</dcterms:created>
  <dc:creator>Z.X</dc:creator>
  <cp:lastModifiedBy>周 翔</cp:lastModifiedBy>
  <dcterms:modified xsi:type="dcterms:W3CDTF">2025-07-22T00:51:19Z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376F6DDB7B3E4BC4BD23EE5C240A35B4_13</vt:lpwstr>
  </property>
</Properties>
</file>