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【上银理财“易享利”系列开放式(3个月持有期)理财产品WPEK24M0308期】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【WPEK24M0308】</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期限为【10年】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 w:hAnsi="楷体" w:eastAsia="楷体" w:cs="楷体"/>
          <w:b w:val="0"/>
          <w:bCs w:val="0"/>
          <w:szCs w:val="21"/>
          <w:u w:val="none"/>
        </w:rPr>
        <w:t>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w:t>
      </w:r>
      <w:bookmarkEnd w:id="0"/>
      <w:r>
        <w:rPr>
          <w:rFonts w:hint="eastAsia" w:ascii="楷体" w:hAnsi="楷体" w:eastAsia="楷体" w:cs="楷体"/>
          <w:b w:val="0"/>
          <w:bCs w:val="0"/>
          <w:szCs w:val="21"/>
          <w:u w:val="none"/>
        </w:rPr>
        <w:t>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【10年】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bookmarkStart w:id="1" w:name="特殊字符1"/>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bookmarkStart w:id="2" w:name="特殊字符2"/>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bookmarkStart w:id="3" w:name="OLE_LINK2"/>
      <w:r>
        <w:rPr>
          <w:rFonts w:hint="eastAsia" w:ascii="楷体" w:hAnsi="楷体" w:eastAsia="楷体" w:cs="楷体"/>
          <w:b/>
          <w:bCs/>
          <w:color w:val="auto"/>
          <w:kern w:val="0"/>
          <w:szCs w:val="21"/>
          <w:u w:val="none"/>
        </w:rPr>
        <w:t>（七）</w:t>
      </w:r>
      <w:bookmarkEnd w:id="3"/>
      <w:r>
        <w:rPr>
          <w:rFonts w:hint="eastAsia" w:ascii="楷体" w:hAnsi="楷体" w:eastAsia="楷体" w:cs="楷体"/>
          <w:b/>
          <w:bCs/>
          <w:color w:val="auto"/>
          <w:kern w:val="0"/>
          <w:szCs w:val="21"/>
          <w:u w:val="none"/>
        </w:rPr>
        <w:t>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bookmarkStart w:id="4" w:name="_GoBack"/>
      <w:bookmarkEnd w:id="4"/>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b/>
        <w:bCs/>
        <w:u w:val="none"/>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lang w:eastAsia="zh-CN"/>
      </w:rPr>
      <w:tab/>
    </w:r>
    <w:r>
      <w:rPr>
        <w:rFonts w:hint="eastAsia"/>
        <w:b/>
        <w:bCs/>
        <w:u w:val="none"/>
        <w:lang w:val="en-US" w:eastAsia="zh-CN"/>
      </w:rPr>
      <w:t>理财非存款、产品有风险、投资须谨慎</w:t>
    </w:r>
  </w:p>
  <w:p>
    <w:pPr>
      <w:pStyle w:val="4"/>
      <w:pBdr>
        <w:bottom w:val="none" w:color="auto" w:sz="0" w:space="1"/>
      </w:pBdr>
      <w:jc w:val="right"/>
      <w:rPr>
        <w:rFonts w:hint="eastAsia" w:eastAsiaTheme="minor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B3007"/>
    <w:rsid w:val="618B3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2025-07-21T09:55:00Z</dcterms:created>
  <dc:creator>周 翔</dc:creator>
  <cp:lastModifiedBy>周 翔</cp:lastModifiedBy>
  <dcterms:modified xsi:type="dcterms:W3CDTF">2025-07-21T09:55:49Z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