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ascii="黑体" w:hAnsi="黑体" w:eastAsia="黑体" w:cs="Arial"/>
          <w:b/>
          <w:bCs/>
          <w:sz w:val="28"/>
          <w:szCs w:val="28"/>
          <w:u w:val="none"/>
        </w:rPr>
      </w:pPr>
      <w:r>
        <w:rPr>
          <w:rFonts w:hint="eastAsia" w:ascii="黑体" w:hAnsi="黑体" w:eastAsia="黑体" w:cs="Arial"/>
          <w:b/>
          <w:bCs/>
          <w:sz w:val="28"/>
          <w:szCs w:val="28"/>
          <w:u w:val="none"/>
        </w:rPr>
        <w:t>上银理财                 理财非存款、产品有风险、投资须谨慎</w:t>
      </w:r>
    </w:p>
    <w:p>
      <w:pPr>
        <w:rPr>
          <w:rFonts w:ascii="黑体" w:hAnsi="黑体" w:eastAsia="黑体" w:cs="Arial"/>
          <w:b/>
          <w:bCs/>
          <w:sz w:val="20"/>
          <w:szCs w:val="20"/>
          <w:u w:val="none"/>
        </w:rPr>
      </w:pPr>
      <w:r>
        <w:rPr>
          <w:sz w:val="20"/>
          <w:u w:val="none"/>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41910</wp:posOffset>
                </wp:positionV>
                <wp:extent cx="5254625" cy="0"/>
                <wp:effectExtent l="0" t="0" r="0" b="0"/>
                <wp:wrapNone/>
                <wp:docPr id="2" name="直接连接符 2"/>
                <wp:cNvGraphicFramePr/>
                <a:graphic xmlns:a="http://schemas.openxmlformats.org/drawingml/2006/main">
                  <a:graphicData uri="http://schemas.microsoft.com/office/word/2010/wordprocessingShape">
                    <wps:wsp>
                      <wps:cNvCnPr/>
                      <wps:spPr>
                        <a:xfrm>
                          <a:off x="1152525" y="1352550"/>
                          <a:ext cx="525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75pt;margin-top:3.3pt;height:0pt;width:413.75pt;z-index:251659264;mso-width-relative:page;mso-height-relative:page;" filled="f" stroked="t" coordsize="21600,21600" o:gfxdata="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oVMmNIAAAAFAQAADwAAAAAAAAABACAAAAAiAAAAZHJzL2Rvd25yZXYueG1sUEsBAhQA&#10;FAAAAAgAh07iQEP+X/f4AQAA3wMAAA4AAAAAAAAAAQAgAAAAIQEAAGRycy9lMm9Eb2MueG1sUEsF&#10;BgAAAAAGAAYAWQEAAIsFAAAAAA==&#10;">
                <v:fill on="f" focussize="0,0"/>
                <v:stroke color="#000000 [3200]" joinstyle="round"/>
                <v:imagedata o:title=""/>
                <o:lock v:ext="edit" aspectratio="f"/>
              </v:line>
            </w:pict>
          </mc:Fallback>
        </mc:AlternateContent>
      </w: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spacing w:line="720" w:lineRule="auto"/>
        <w:jc w:val="center"/>
        <w:rPr>
          <w:rFonts w:ascii="黑体" w:hAnsi="黑体" w:eastAsia="黑体" w:cs="Arial"/>
          <w:b/>
          <w:bCs/>
          <w:color w:val="000000" w:themeColor="text1"/>
          <w:sz w:val="44"/>
          <w:szCs w:val="44"/>
          <w14:textFill>
            <w14:solidFill>
              <w14:schemeClr w14:val="tx1"/>
            </w14:solidFill>
          </w14:textFill>
        </w:rPr>
      </w:pPr>
      <w:r>
        <w:rPr>
          <w:rFonts w:hint="eastAsia" w:ascii="黑体" w:hAnsi="黑体" w:eastAsia="黑体" w:cs="Arial"/>
          <w:b/>
          <w:bCs/>
          <w:color w:val="000000" w:themeColor="text1"/>
          <w:sz w:val="44"/>
          <w:szCs w:val="44"/>
          <w14:textFill>
            <w14:solidFill>
              <w14:schemeClr w14:val="tx1"/>
            </w14:solidFill>
          </w14:textFill>
        </w:rPr>
        <w:t>【上银理财“易享利”系列开放式(3个月持有期)理财产品WPEK24M0308期】</w:t>
      </w:r>
    </w:p>
    <w:p>
      <w:pPr>
        <w:spacing w:line="720" w:lineRule="auto"/>
        <w:jc w:val="center"/>
        <w:outlineLvl w:val="0"/>
        <w:rPr>
          <w:rFonts w:ascii="黑体" w:hAnsi="黑体" w:eastAsia="黑体" w:cs="Arial"/>
          <w:b/>
          <w:bCs/>
          <w:sz w:val="44"/>
          <w:szCs w:val="44"/>
          <w:u w:val="none"/>
        </w:rPr>
      </w:pPr>
      <w:r>
        <w:rPr>
          <w:rFonts w:hint="eastAsia" w:ascii="黑体" w:hAnsi="黑体" w:eastAsia="黑体" w:cs="Arial"/>
          <w:b/>
          <w:bCs/>
          <w:sz w:val="44"/>
          <w:szCs w:val="44"/>
          <w:u w:val="none"/>
        </w:rPr>
        <w:t>产品说明书</w:t>
      </w: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spacing w:line="360" w:lineRule="auto"/>
        <w:jc w:val="center"/>
        <w:outlineLvl w:val="0"/>
        <w:rPr>
          <w:rFonts w:ascii="黑体" w:hAnsi="黑体" w:eastAsia="黑体" w:cs="Arial"/>
          <w:b/>
          <w:bCs/>
          <w:sz w:val="24"/>
          <w:szCs w:val="24"/>
          <w:u w:val="none"/>
        </w:rPr>
      </w:pPr>
      <w:r>
        <w:rPr>
          <w:rFonts w:hint="eastAsia" w:ascii="黑体" w:hAnsi="黑体" w:eastAsia="黑体" w:cs="Arial"/>
          <w:b/>
          <w:bCs/>
          <w:sz w:val="24"/>
          <w:szCs w:val="24"/>
          <w:u w:val="none"/>
        </w:rPr>
        <w:t>理财产品管理人：上银理财有限责任公司</w:t>
      </w:r>
    </w:p>
    <w:p>
      <w:pPr>
        <w:spacing w:line="360" w:lineRule="auto"/>
        <w:jc w:val="center"/>
        <w:outlineLvl w:val="0"/>
        <w:rPr>
          <w:rFonts w:hint="eastAsia" w:ascii="黑体" w:hAnsi="黑体" w:eastAsia="黑体" w:cs="Arial"/>
          <w:b/>
          <w:bCs/>
          <w:sz w:val="24"/>
          <w:szCs w:val="24"/>
          <w:u w:val="none"/>
          <w:lang w:val="en-US" w:eastAsia="zh-CN"/>
        </w:rPr>
      </w:pPr>
      <w:r>
        <w:rPr>
          <w:rFonts w:hint="eastAsia" w:ascii="黑体" w:hAnsi="黑体" w:eastAsia="黑体" w:cs="Arial"/>
          <w:b/>
          <w:bCs/>
          <w:sz w:val="24"/>
          <w:szCs w:val="24"/>
          <w:u w:val="none"/>
        </w:rPr>
        <w:t>理财产品托管人：</w:t>
      </w:r>
      <w:r>
        <w:rPr>
          <w:rFonts w:hint="eastAsia" w:ascii="黑体" w:hAnsi="黑体" w:eastAsia="黑体" w:cs="Arial"/>
          <w:b/>
          <w:bCs/>
          <w:color w:val="000000" w:themeColor="text1"/>
          <w:sz w:val="24"/>
          <w:szCs w:val="24"/>
          <w14:textFill>
            <w14:solidFill>
              <w14:schemeClr w14:val="tx1"/>
            </w14:solidFill>
          </w14:textFill>
        </w:rPr>
        <w:t>【上海银行股份有限公司】</w:t>
      </w:r>
    </w:p>
    <w:p>
      <w:pPr>
        <w:tabs>
          <w:tab w:val="left" w:pos="630"/>
        </w:tabs>
        <w:rPr>
          <w:rFonts w:hint="eastAsia" w:ascii="黑体" w:hAnsi="黑体" w:eastAsia="黑体" w:cs="Arial"/>
          <w:b/>
          <w:bCs/>
          <w:sz w:val="20"/>
          <w:szCs w:val="20"/>
          <w:u w:val="none"/>
        </w:rPr>
      </w:pPr>
    </w:p>
    <w:p>
      <w:pPr>
        <w:rPr>
          <w:rFonts w:hint="eastAsia" w:ascii="黑体" w:hAnsi="黑体" w:eastAsia="黑体" w:cs="Arial"/>
          <w:b/>
          <w:bCs/>
          <w:sz w:val="20"/>
          <w:szCs w:val="20"/>
          <w:u w:val="none"/>
        </w:rPr>
      </w:pPr>
      <w:r>
        <w:rPr>
          <w:rFonts w:hint="eastAsia" w:ascii="黑体" w:hAnsi="黑体" w:eastAsia="黑体" w:cs="Arial"/>
          <w:b/>
          <w:bCs/>
          <w:sz w:val="20"/>
          <w:szCs w:val="20"/>
          <w:u w:val="none"/>
        </w:rPr>
        <w:br w:type="page"/>
      </w:r>
    </w:p>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【Z7007124000362】</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【2025.01】</w:t>
      </w:r>
    </w:p>
    <w:p>
      <w:pPr>
        <w:snapToGrid w:val="0"/>
        <w:spacing w:line="360" w:lineRule="auto"/>
        <w:jc w:val="center"/>
        <w:rPr>
          <w:rFonts w:ascii="楷体_GB2312" w:hAnsi="宋体" w:eastAsia="楷体_GB2312"/>
          <w:b/>
          <w:bCs/>
          <w:sz w:val="30"/>
          <w:szCs w:val="30"/>
          <w:u w:val="none"/>
        </w:rPr>
      </w:pPr>
    </w:p>
    <w:p>
      <w:pPr>
        <w:pStyle w:val="2"/>
        <w:spacing w:line="360" w:lineRule="auto"/>
        <w:ind w:firstLine="720"/>
        <w:jc w:val="center"/>
        <w:rPr>
          <w:rFonts w:hint="eastAsia" w:ascii="黑体" w:hAnsi="黑体" w:eastAsia="黑体" w:cs="黑体"/>
          <w:b/>
          <w:bCs/>
          <w:kern w:val="44"/>
          <w:sz w:val="36"/>
          <w:szCs w:val="36"/>
          <w:u w:val="none"/>
          <w:lang w:eastAsia="zh-CN"/>
        </w:rPr>
      </w:pPr>
      <w:r>
        <w:rPr>
          <w:rFonts w:hint="eastAsia" w:ascii="黑体" w:hAnsi="黑体" w:eastAsia="黑体" w:cs="黑体"/>
          <w:b/>
          <w:bCs/>
          <w:kern w:val="44"/>
          <w:sz w:val="36"/>
          <w:szCs w:val="36"/>
          <w:u w:val="none"/>
          <w:lang w:eastAsia="zh-CN"/>
        </w:rPr>
        <w:t>【上银理财“易享利”系列开放式(3个月持有期)理财产品WPEK24M0308期】</w:t>
      </w:r>
    </w:p>
    <w:p>
      <w:pPr>
        <w:pStyle w:val="2"/>
        <w:spacing w:line="360" w:lineRule="auto"/>
        <w:ind w:firstLine="720"/>
        <w:jc w:val="center"/>
        <w:rPr>
          <w:rFonts w:hint="eastAsia" w:ascii="黑体" w:hAnsi="黑体" w:eastAsia="黑体" w:cs="黑体"/>
          <w:b/>
          <w:bCs/>
          <w:kern w:val="44"/>
          <w:sz w:val="36"/>
          <w:szCs w:val="36"/>
          <w:u w:val="none"/>
        </w:rPr>
      </w:pPr>
      <w:r>
        <w:rPr>
          <w:rFonts w:hint="eastAsia" w:ascii="黑体" w:hAnsi="黑体" w:eastAsia="黑体" w:cs="黑体"/>
          <w:b/>
          <w:bCs/>
          <w:kern w:val="44"/>
          <w:sz w:val="36"/>
          <w:szCs w:val="36"/>
          <w:u w:val="none"/>
          <w:lang w:val="en-US" w:eastAsia="zh-CN"/>
        </w:rPr>
        <w:t>产品</w:t>
      </w:r>
      <w:r>
        <w:rPr>
          <w:rFonts w:hint="eastAsia" w:ascii="黑体" w:hAnsi="黑体" w:eastAsia="黑体" w:cs="黑体"/>
          <w:b/>
          <w:bCs/>
          <w:kern w:val="44"/>
          <w:sz w:val="36"/>
          <w:szCs w:val="36"/>
          <w:u w:val="none"/>
        </w:rPr>
        <w:t>说明书</w:t>
      </w:r>
    </w:p>
    <w:p>
      <w:pPr>
        <w:ind w:firstLine="720"/>
        <w:jc w:val="center"/>
        <w:rPr>
          <w:rFonts w:ascii="黑体" w:hAnsi="黑体" w:eastAsia="黑体"/>
          <w:b/>
          <w:bCs/>
          <w:sz w:val="32"/>
          <w:szCs w:val="24"/>
          <w:u w:val="none"/>
        </w:rPr>
      </w:pPr>
      <w:r>
        <w:rPr>
          <w:rFonts w:hint="eastAsia" w:ascii="黑体" w:hAnsi="黑体" w:eastAsia="黑体"/>
          <w:b/>
          <w:bCs/>
          <w:sz w:val="32"/>
          <w:szCs w:val="24"/>
          <w:u w:val="none"/>
        </w:rPr>
        <w:t>（产品代码</w:t>
      </w:r>
      <w:r>
        <w:rPr>
          <w:rFonts w:ascii="黑体" w:hAnsi="黑体" w:eastAsia="黑体"/>
          <w:b/>
          <w:bCs/>
          <w:sz w:val="32"/>
          <w:szCs w:val="24"/>
          <w:u w:val="none"/>
        </w:rPr>
        <w:t>：</w:t>
      </w:r>
      <w:r>
        <w:rPr>
          <w:rFonts w:hint="eastAsia" w:ascii="黑体" w:hAnsi="黑体" w:eastAsia="黑体" w:cs="黑体"/>
          <w:b/>
          <w:bCs/>
          <w:color w:val="000000" w:themeColor="text1"/>
          <w:sz w:val="32"/>
          <w:szCs w:val="32"/>
          <w14:textFill>
            <w14:solidFill>
              <w14:schemeClr w14:val="tx1"/>
            </w14:solidFill>
          </w14:textFill>
        </w:rPr>
        <w:t>【WPEK24M0308】</w:t>
      </w:r>
      <w:r>
        <w:rPr>
          <w:rFonts w:hint="eastAsia" w:ascii="黑体" w:hAnsi="黑体" w:eastAsia="黑体"/>
          <w:b/>
          <w:bCs/>
          <w:sz w:val="32"/>
          <w:szCs w:val="24"/>
          <w:u w:val="none"/>
        </w:rPr>
        <w:t>）</w:t>
      </w:r>
    </w:p>
    <w:p>
      <w:pPr>
        <w:ind w:firstLine="720"/>
        <w:jc w:val="center"/>
        <w:rPr>
          <w:rFonts w:ascii="黑体" w:hAnsi="黑体" w:eastAsia="黑体"/>
          <w:b/>
          <w:bCs/>
          <w:sz w:val="28"/>
          <w:u w:val="none"/>
        </w:rPr>
      </w:pP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一、重要须知</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本理财产品《产品说明书》、《风险揭示书》、《投资协议书》、《销售（代理销售）协议书》和《投资者权益须知》共同构成一份完整且不可分割的理财产品销售文件。其中</w:t>
      </w:r>
      <w:r>
        <w:rPr>
          <w:rFonts w:hint="eastAsia" w:ascii="楷体" w:hAnsi="楷体" w:eastAsia="楷体" w:cs="楷体"/>
          <w:b/>
          <w:bCs/>
          <w:szCs w:val="21"/>
          <w:highlight w:val="none"/>
          <w:u w:val="none"/>
        </w:rPr>
        <w:t>《产品说明书》与《风险揭示书》、《投资协议书》共同组成投资者与管理人之间就本理财产品达成的理财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合同的不可分割之组成部分。</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.本理财产品不等同于银行存款，不保证本金和最低收益，您的本金有可能会因市场变动蒙受损失，您应充分认识投资风险，谨慎投资。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.本理财产品仅向依据中华人民共和国有关法律法规及本《产品说明书》规定可以购买本理财产品的投资者发售。</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.投资者承诺其用于购买理财产品的资金为自有资金，不存在使用贷款、发行债券等筹集的非自有资金投资本理财产品的情形。</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投资者承诺投资本理财产品使用的资金为投资者合法持有，不属于依据联合国、中国政府及其他可适用政府或国际组织制裁（名单）范围，仅为合法目的投资本理财产品；如发生异常情况，投资者将配合销售机构及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6.投资者承诺依照可适用的法律法规投资本理财产品，如销售机构及管理人发现投资</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者或投资者重要关联方存在洗钱或者被制裁风险，例如提供不实、不完整或者无效的身份</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或交易信息，未及时更新身份证明文件，投资者或投资者账户、投资者重要关联方出现异</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常或涉嫌洗钱、恐怖融资，投资者或投资者交易、投资者重要关联方或其交易涉及联合国、</w:t>
      </w:r>
    </w:p>
    <w:p>
      <w:pPr>
        <w:snapToGrid w:val="0"/>
        <w:spacing w:line="360" w:lineRule="auto"/>
        <w:ind w:firstLine="0" w:firstLineChars="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中国等国际组织或国家发布的监控名单或者制裁事项，或投资者或投资者重要关联方在使用金融服务中出现其他违反可适用法律法规的情况等，销售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机构及管理人可单方予以销户。销售机构及管理人因投资者出现本条所述的风险情况而采取上述措施所造成的责任和损失由投资者自行承担，给销售机构及管理人造成损失的，投资者应承担相应赔偿责任。其中，“重要关联方”包含“法定代表人、授权签字人、实际控制人、受益所有人、重要投资人、重要被投资人、重要债权人、被控制实体等”。</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在购买本理财产品前，投资者应仔细阅读本理财产品销售文件，确保自己已详细了解和审慎评估本理财产品的投资方向、风险等级等重要信息，完全理解该项投资的性质和所涉及的风险，并充分、慎重考虑自身的风险承受能力。投资者若对本产品《产品说明书》的内容有任何疑问，请向销售机构咨询。</w:t>
      </w:r>
    </w:p>
    <w:p>
      <w:pPr>
        <w:numPr>
          <w:ilvl w:val="12"/>
          <w:numId w:val="0"/>
        </w:num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投资者认购或申购（如有）本理财产品的资金划出账户应与本理财产品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highlight w:val="none"/>
          <w:u w:val="none"/>
          <w:lang w:val="en-US" w:eastAsia="zh-CN"/>
        </w:rPr>
        <w:t>9</w:t>
      </w:r>
      <w:r>
        <w:rPr>
          <w:rFonts w:hint="eastAsia" w:ascii="楷体" w:hAnsi="楷体" w:eastAsia="楷体" w:cs="楷体"/>
          <w:b/>
          <w:bCs/>
          <w:szCs w:val="21"/>
          <w:highlight w:val="none"/>
          <w:u w:val="none"/>
        </w:rPr>
        <w:t>.在购买本理财产品后，投资者应随时关注本理财产品的信息披露情况，及时获取相关信息，相关信息通过</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lang w:val="en-US" w:eastAsia="zh-CN"/>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“信息披露”约定的方式披露。</w:t>
      </w:r>
    </w:p>
    <w:p>
      <w:pPr>
        <w:snapToGrid w:val="0"/>
        <w:spacing w:line="360" w:lineRule="auto"/>
        <w:ind w:firstLine="422" w:firstLineChars="200"/>
        <w:rPr>
          <w:rFonts w:hint="eastAsia" w:ascii="楷体" w:hAnsi="楷体" w:eastAsia="楷体" w:cs="楷体"/>
          <w:b/>
          <w:bCs/>
          <w:szCs w:val="21"/>
          <w:highlight w:val="lightGray"/>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.任何业绩比较基准或类似表述均属不具有法律约束力的用语，不代表投资者可能获得的实际收益，亦不构成管理人对本理财产品的任何收益承诺。客户所能获得的最终收益以管理人实际支付的为准。</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11</w:t>
      </w:r>
      <w:r>
        <w:rPr>
          <w:rFonts w:hint="eastAsia" w:ascii="楷体" w:hAnsi="楷体" w:eastAsia="楷体" w:cs="楷体"/>
          <w:b/>
          <w:bCs/>
          <w:szCs w:val="21"/>
          <w:highlight w:val="none"/>
          <w:u w:val="none"/>
        </w:rPr>
        <w:t>.管理人承诺以诚实信用、勤勉尽责为原则，并根据本《产品说明书》所载要求管理和运用理财产品资产。</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12</w:t>
      </w:r>
      <w:r>
        <w:rPr>
          <w:rFonts w:hint="eastAsia" w:ascii="楷体" w:hAnsi="楷体" w:eastAsia="楷体" w:cs="楷体"/>
          <w:b/>
          <w:bCs/>
          <w:szCs w:val="21"/>
          <w:u w:val="none"/>
        </w:rPr>
        <w:t>.管理人对本理财产品的产品风险评级为</w:t>
      </w:r>
      <w:r>
        <w:rPr>
          <w:rFonts w:hint="eastAsia" w:ascii="楷体" w:hAnsi="楷体" w:eastAsia="楷体" w:cs="楷体"/>
          <w:b/>
          <w:bCs/>
          <w:color w:val="C00000"/>
          <w:szCs w:val="21"/>
          <w:u w:val="none"/>
        </w:rPr>
        <w:t>中低风险（二级风险</w:t>
      </w:r>
      <w:r>
        <w:rPr>
          <w:rFonts w:hint="eastAsia" w:ascii="楷体" w:hAnsi="楷体" w:eastAsia="楷体" w:cs="楷体"/>
          <w:b/>
          <w:bCs/>
          <w:color w:val="C00000"/>
          <w:szCs w:val="21"/>
          <w:u w:val="none"/>
          <w:lang w:eastAsia="zh-CN"/>
        </w:rPr>
        <w:t>）</w:t>
      </w:r>
      <w:r>
        <w:rPr>
          <w:rFonts w:hint="eastAsia" w:ascii="楷体" w:hAnsi="楷体" w:eastAsia="楷体" w:cs="楷体"/>
          <w:b/>
          <w:bCs/>
          <w:szCs w:val="21"/>
          <w:u w:val="none"/>
        </w:rPr>
        <w:t>，本理财产品通过</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销售机构销售的，</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销售机构应当根据销售机构的方式和方法，独立、审慎地对销售的本理财产品进行销售评级，销售评级与管理人评级结果不一致的，</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销售机构应当采用对应较高风险等级的评级结果并予以披露，本理财产品评级应当以</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销售机构最终披露的评级结果为准。本理财</w:t>
      </w:r>
      <w:r>
        <w:rPr>
          <w:rFonts w:hint="eastAsia" w:ascii="楷体" w:hAnsi="楷体" w:eastAsia="楷体" w:cs="楷体"/>
          <w:b/>
          <w:bCs/>
          <w:szCs w:val="21"/>
          <w:u w:val="none"/>
          <w:lang w:val="en-US" w:eastAsia="zh-CN"/>
        </w:rPr>
        <w:t>产品</w:t>
      </w:r>
      <w:r>
        <w:rPr>
          <w:rFonts w:hint="eastAsia" w:ascii="楷体" w:hAnsi="楷体" w:eastAsia="楷体" w:cs="楷体"/>
          <w:b/>
          <w:bCs/>
          <w:szCs w:val="21"/>
          <w:u w:val="none"/>
        </w:rPr>
        <w:t>收益特征为</w:t>
      </w:r>
      <w:r>
        <w:rPr>
          <w:rFonts w:hint="eastAsia" w:ascii="楷体" w:hAnsi="楷体" w:eastAsia="楷体" w:cs="楷体"/>
          <w:b/>
          <w:bCs/>
          <w:color w:val="C00000"/>
          <w:szCs w:val="21"/>
          <w:u w:val="none"/>
        </w:rPr>
        <w:t>非保本浮动收益</w:t>
      </w:r>
      <w:r>
        <w:rPr>
          <w:rFonts w:hint="eastAsia" w:ascii="楷体" w:hAnsi="楷体" w:eastAsia="楷体" w:cs="楷体"/>
          <w:b/>
          <w:bCs/>
          <w:color w:val="C00000"/>
          <w:szCs w:val="21"/>
          <w:u w:val="none"/>
          <w:lang w:val="en-US" w:eastAsia="zh-CN"/>
        </w:rPr>
        <w:t>型</w:t>
      </w:r>
      <w:r>
        <w:rPr>
          <w:rFonts w:hint="eastAsia" w:ascii="楷体" w:hAnsi="楷体" w:eastAsia="楷体" w:cs="楷体"/>
          <w:b/>
          <w:bCs/>
          <w:szCs w:val="21"/>
          <w:u w:val="none"/>
        </w:rPr>
        <w:t>，您的本金有可能会因市场变动蒙受重大损失，您应充分认识投资风险，谨慎投资。</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和银行业理财登记托管中心等机构如果提出新的信息报送要求，管理人将按照该等要求执行。投资者签署本理财产品销售文件即视为已经同意管理人将投资者身份信息及每日持仓信息报送相关监管机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根据监管机构要求，本理财产品的投资合作机构（包括但不限于理财产品所投资资产管理产品的发行机构、根据合同约定从事理财产品受托投资的机构以及与理财产品投资管理相关的投资顾问等，下同）有可能需要向监管机构报送投资者身份信息、持仓信息等相关信息，管理人将根据上述机构申请，在必要范围内向其提供相关信息，并要求该等投资合作机构履行投资者信息保密义务。投资者签署本理财产品销售文件即视为已经同意管理人在前述范围内向相关方提供投资者身份信息、持仓信息等相关信息。</w:t>
      </w:r>
    </w:p>
    <w:p>
      <w:pPr>
        <w:snapToGrid w:val="0"/>
        <w:spacing w:line="360" w:lineRule="auto"/>
        <w:ind w:firstLine="422" w:firstLineChars="200"/>
        <w:rPr>
          <w:rFonts w:hint="eastAsia" w:ascii="楷体" w:hAnsi="楷体" w:eastAsia="楷体" w:cs="楷体"/>
          <w:b/>
          <w:bCs/>
          <w:szCs w:val="21"/>
          <w:u w:val="none"/>
          <w:lang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r>
        <w:rPr>
          <w:rFonts w:hint="eastAsia" w:ascii="楷体" w:hAnsi="楷体" w:eastAsia="楷体" w:cs="楷体"/>
          <w:b/>
          <w:bCs/>
          <w:szCs w:val="21"/>
          <w:u w:val="none"/>
          <w:lang w:eastAsia="zh-CN"/>
        </w:rPr>
        <w:t>。</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u w:val="none"/>
        </w:rPr>
        <w:t>本理财产品</w:t>
      </w:r>
      <w:r>
        <w:rPr>
          <w:rFonts w:hint="eastAsia" w:ascii="楷体" w:hAnsi="楷体" w:eastAsia="楷体" w:cs="楷体"/>
          <w:b/>
          <w:bCs/>
          <w:u w:val="none"/>
          <w:lang w:val="en-US" w:eastAsia="zh-CN"/>
        </w:rPr>
        <w:t>合同</w:t>
      </w:r>
      <w:r>
        <w:rPr>
          <w:rFonts w:hint="eastAsia" w:ascii="楷体" w:hAnsi="楷体" w:eastAsia="楷体" w:cs="楷体"/>
          <w:b/>
          <w:bCs/>
          <w:u w:val="none"/>
        </w:rPr>
        <w:t>在法律许可的范围内由管理人负责解释。若客户对上述内容有任何疑问，请联系销售机构</w:t>
      </w:r>
      <w:r>
        <w:rPr>
          <w:rFonts w:hint="eastAsia" w:ascii="楷体" w:hAnsi="楷体" w:eastAsia="楷体" w:cs="楷体"/>
          <w:b/>
          <w:bCs/>
          <w:u w:val="none"/>
          <w:lang w:val="en-US" w:eastAsia="zh-CN"/>
        </w:rPr>
        <w:t>咨询</w:t>
      </w:r>
      <w:r>
        <w:rPr>
          <w:rFonts w:hint="eastAsia" w:ascii="楷体" w:hAnsi="楷体" w:eastAsia="楷体" w:cs="楷体"/>
          <w:b/>
          <w:bCs/>
          <w:u w:val="none"/>
        </w:rPr>
        <w:t>，也可致电销售机构全国统一客户服务热线。</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二、定义解释</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在本《产品说明书》中，除上下文另有明确约定，下列用词将具有如下含义：</w:t>
      </w:r>
    </w:p>
    <w:p>
      <w:pPr>
        <w:pStyle w:val="3"/>
        <w:snapToGrid w:val="0"/>
        <w:spacing w:before="0" w:after="0" w:line="360" w:lineRule="auto"/>
        <w:ind w:firstLine="422" w:firstLineChars="200"/>
        <w:rPr>
          <w:rFonts w:hint="eastAsia" w:ascii="楷体" w:hAnsi="楷体" w:eastAsia="楷体" w:cs="楷体"/>
          <w:sz w:val="21"/>
          <w:szCs w:val="21"/>
          <w:u w:val="none"/>
        </w:rPr>
      </w:pPr>
      <w:r>
        <w:rPr>
          <w:rFonts w:hint="eastAsia" w:ascii="楷体" w:hAnsi="楷体" w:eastAsia="楷体" w:cs="楷体"/>
          <w:sz w:val="21"/>
          <w:szCs w:val="21"/>
          <w:u w:val="none"/>
        </w:rPr>
        <w:t>（一）参与主体</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管理人/投资管理人/理财产品管理</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指上银理财</w:t>
      </w:r>
      <w:r>
        <w:rPr>
          <w:rFonts w:hint="eastAsia" w:ascii="楷体" w:hAnsi="楷体" w:eastAsia="楷体" w:cs="楷体"/>
          <w:b w:val="0"/>
          <w:bCs w:val="0"/>
          <w:szCs w:val="21"/>
          <w:u w:val="none"/>
          <w:lang w:val="en-US" w:eastAsia="zh-CN"/>
        </w:rPr>
        <w:t>有限责任公司（以下简称“上银理财”）</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托管人</w:t>
      </w:r>
      <w:r>
        <w:rPr>
          <w:rFonts w:hint="eastAsia" w:ascii="楷体" w:hAnsi="楷体" w:eastAsia="楷体" w:cs="楷体"/>
          <w:b/>
          <w:bCs/>
          <w:spacing w:val="6"/>
          <w:szCs w:val="21"/>
          <w:u w:val="none"/>
          <w:lang w:val="en-US" w:eastAsia="zh-CN"/>
        </w:rPr>
        <w:t>/产品托管人/理财产品托管</w:t>
      </w:r>
      <w:r>
        <w:rPr>
          <w:rFonts w:hint="eastAsia" w:ascii="楷体" w:hAnsi="楷体" w:eastAsia="楷体" w:cs="楷体"/>
          <w:b/>
          <w:bCs/>
          <w:spacing w:val="23"/>
          <w:sz w:val="21"/>
          <w:szCs w:val="21"/>
          <w:u w:val="none"/>
          <w:lang w:val="en-US" w:eastAsia="zh-CN"/>
        </w:rPr>
        <w:t>人</w:t>
      </w:r>
      <w:r>
        <w:rPr>
          <w:rFonts w:hint="eastAsia" w:ascii="楷体" w:hAnsi="楷体" w:eastAsia="楷体" w:cs="楷体"/>
          <w:b/>
          <w:bCs/>
          <w:spacing w:val="23"/>
          <w:sz w:val="21"/>
          <w:szCs w:val="21"/>
          <w:u w:val="none"/>
        </w:rPr>
        <w:t>：</w:t>
      </w:r>
      <w:r>
        <w:rPr>
          <w:rFonts w:hint="eastAsia" w:ascii="楷体" w:hAnsi="楷体" w:eastAsia="楷体" w:cs="楷体"/>
          <w:b w:val="0"/>
          <w:bCs w:val="0"/>
          <w:szCs w:val="21"/>
          <w:u w:val="none"/>
        </w:rPr>
        <w:t>指</w:t>
      </w:r>
      <w:r>
        <w:rPr>
          <w:rFonts w:hint="eastAsia" w:ascii="楷体" w:hAnsi="楷体" w:eastAsia="楷体" w:cs="楷体"/>
          <w:color w:val="000000" w:themeColor="text1"/>
          <w:szCs w:val="21"/>
          <w14:textFill>
            <w14:solidFill>
              <w14:schemeClr w14:val="tx1"/>
            </w14:solidFill>
          </w14:textFill>
        </w:rPr>
        <w:t>【上海银行股份有限公司】</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销售机</w:t>
      </w:r>
      <w:r>
        <w:rPr>
          <w:rFonts w:hint="eastAsia" w:ascii="楷体" w:hAnsi="楷体" w:eastAsia="楷体" w:cs="楷体"/>
          <w:b/>
          <w:bCs/>
          <w:spacing w:val="23"/>
          <w:sz w:val="21"/>
          <w:szCs w:val="21"/>
          <w:u w:val="none"/>
        </w:rPr>
        <w:t>构：</w:t>
      </w:r>
      <w:r>
        <w:rPr>
          <w:rFonts w:hint="eastAsia" w:ascii="楷体" w:hAnsi="楷体" w:eastAsia="楷体" w:cs="楷体"/>
          <w:b w:val="0"/>
          <w:bCs w:val="0"/>
          <w:szCs w:val="21"/>
          <w:u w:val="none"/>
          <w:lang w:val="en-US" w:eastAsia="zh-CN"/>
        </w:rPr>
        <w:t>指管理人指定的销售本理财产品的机构，包括管理人和代理销售机构。</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highlight w:val="none"/>
          <w:u w:val="none"/>
        </w:rPr>
        <w:t>指在产品认购期内签署理财产品销售文件并向理财产品管理人交付认购资金以购买理财产品份额的投资者。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申购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指在产品申购期内签署理财产品销售文件并向理财产品管理人交付申购资金以购买理财产品份额的投资者。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理财产品份额持有人/持有</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指其认购/申购申请经过管理人确认成功，从而持有理财产品份额的投资者。</w:t>
      </w:r>
    </w:p>
    <w:p>
      <w:pPr>
        <w:snapToGrid w:val="0"/>
        <w:spacing w:line="360" w:lineRule="auto"/>
        <w:ind w:firstLine="422" w:firstLineChars="200"/>
        <w:rPr>
          <w:rFonts w:hint="eastAsia" w:ascii="楷体" w:hAnsi="楷体" w:eastAsia="楷体" w:cs="楷体"/>
          <w:b w:val="0"/>
          <w:bCs w:val="0"/>
          <w:szCs w:val="21"/>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w:t>
      </w:r>
      <w:r>
        <w:rPr>
          <w:rFonts w:hint="eastAsia" w:ascii="楷体" w:hAnsi="楷体" w:eastAsia="楷体" w:cs="楷体"/>
          <w:b/>
          <w:bCs/>
          <w:spacing w:val="6"/>
          <w:sz w:val="21"/>
          <w:szCs w:val="21"/>
          <w:lang w:val="en-US" w:eastAsia="zh-CN"/>
        </w:rPr>
        <w:t>投资合作机构</w:t>
      </w:r>
      <w:r>
        <w:rPr>
          <w:rFonts w:hint="eastAsia" w:ascii="楷体" w:hAnsi="楷体" w:eastAsia="楷体" w:cs="楷体"/>
          <w:b/>
          <w:bCs/>
          <w:spacing w:val="20"/>
          <w:sz w:val="21"/>
          <w:szCs w:val="21"/>
        </w:rPr>
        <w:t>：</w:t>
      </w:r>
      <w:r>
        <w:rPr>
          <w:rFonts w:hint="eastAsia" w:ascii="楷体" w:hAnsi="楷体" w:eastAsia="楷体" w:cs="楷体"/>
          <w:b w:val="0"/>
          <w:bCs w:val="0"/>
          <w:szCs w:val="21"/>
          <w:lang w:val="en-US" w:eastAsia="zh-CN"/>
        </w:rPr>
        <w:t>包括但不限于理财产品所投资资产管理产品的发行机构、根据合同约定从事理财产品受托投资的机构以及与理财产品投资管理相关的投资顾问等</w:t>
      </w:r>
      <w:r>
        <w:rPr>
          <w:rFonts w:hint="eastAsia" w:ascii="楷体" w:hAnsi="楷体" w:eastAsia="楷体" w:cs="楷体"/>
          <w:b w:val="0"/>
          <w:bCs w:val="0"/>
          <w:szCs w:val="21"/>
          <w:lang w:eastAsia="zh-CN"/>
        </w:rPr>
        <w:t>；主要职责为进行受托资金的投资管理，根据合同约定从事受托投资或提供投资顾问等服务，具体职责以管理人与投资合作机构签署的合同为准。</w:t>
      </w:r>
    </w:p>
    <w:p>
      <w:pPr>
        <w:snapToGrid w:val="0"/>
        <w:spacing w:line="360" w:lineRule="auto"/>
        <w:ind w:firstLine="422" w:firstLineChars="200"/>
        <w:rPr>
          <w:rFonts w:hint="eastAsia" w:ascii="楷体" w:hAnsi="楷体" w:eastAsia="楷体" w:cs="楷体"/>
          <w:b w:val="0"/>
          <w:bCs w:val="0"/>
          <w:color w:val="auto"/>
          <w:szCs w:val="21"/>
          <w:u w:val="none"/>
        </w:rPr>
      </w:pPr>
      <w:r>
        <w:rPr>
          <w:rFonts w:hint="eastAsia" w:ascii="楷体" w:hAnsi="楷体" w:eastAsia="楷体" w:cs="楷体"/>
          <w:b/>
          <w:bCs/>
          <w:szCs w:val="21"/>
          <w:lang w:val="en-US" w:eastAsia="zh-CN"/>
        </w:rPr>
        <w:t>8</w:t>
      </w:r>
      <w:r>
        <w:rPr>
          <w:rFonts w:hint="eastAsia" w:ascii="楷体" w:hAnsi="楷体" w:eastAsia="楷体" w:cs="楷体"/>
          <w:b/>
          <w:bCs/>
          <w:szCs w:val="21"/>
        </w:rPr>
        <w:t>.</w:t>
      </w:r>
      <w:r>
        <w:rPr>
          <w:rFonts w:hint="eastAsia" w:ascii="楷体" w:hAnsi="楷体" w:eastAsia="楷体" w:cs="楷体"/>
          <w:b/>
          <w:bCs/>
          <w:color w:val="auto"/>
          <w:spacing w:val="6"/>
          <w:szCs w:val="21"/>
          <w:u w:val="none"/>
        </w:rPr>
        <w:t>监管机</w:t>
      </w:r>
      <w:r>
        <w:rPr>
          <w:rFonts w:hint="eastAsia" w:ascii="楷体" w:hAnsi="楷体" w:eastAsia="楷体" w:cs="楷体"/>
          <w:b/>
          <w:bCs/>
          <w:spacing w:val="23"/>
          <w:sz w:val="21"/>
          <w:szCs w:val="21"/>
          <w:u w:val="none"/>
        </w:rPr>
        <w:t>构：</w:t>
      </w:r>
      <w:r>
        <w:rPr>
          <w:rFonts w:hint="eastAsia" w:ascii="楷体" w:hAnsi="楷体" w:eastAsia="楷体" w:cs="楷体"/>
          <w:b w:val="0"/>
          <w:bCs w:val="0"/>
          <w:color w:val="auto"/>
          <w:szCs w:val="21"/>
          <w:u w:val="none"/>
        </w:rPr>
        <w:t>指对管理人（包括本理财产品的管理人、所投资的信托计划/资管计划/基金的管理人/受托人、相关投资顾问（如有）等）实施监督管理的机构，包括但不限于中国人民银行、</w:t>
      </w:r>
      <w:r>
        <w:rPr>
          <w:rFonts w:hint="eastAsia" w:ascii="楷体" w:hAnsi="楷体" w:eastAsia="楷体" w:cs="楷体"/>
          <w:b w:val="0"/>
          <w:bCs w:val="0"/>
          <w:szCs w:val="21"/>
          <w:u w:val="none"/>
        </w:rPr>
        <w:t>国家金融监督管理总局</w:t>
      </w:r>
      <w:r>
        <w:rPr>
          <w:rFonts w:hint="eastAsia" w:ascii="楷体" w:hAnsi="楷体" w:eastAsia="楷体" w:cs="楷体"/>
          <w:b w:val="0"/>
          <w:bCs w:val="0"/>
          <w:color w:val="auto"/>
          <w:szCs w:val="21"/>
          <w:u w:val="none"/>
        </w:rPr>
        <w:t>、中国证券监督管理委员会、外汇管理局、银行业理财登记托管中心等。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（二）法律文件</w:t>
      </w:r>
    </w:p>
    <w:p>
      <w:pPr>
        <w:snapToGrid w:val="0"/>
        <w:spacing w:line="360" w:lineRule="auto"/>
        <w:ind w:firstLine="422" w:firstLineChars="200"/>
        <w:rPr>
          <w:rFonts w:hint="eastAsia" w:ascii="楷体" w:hAnsi="楷体" w:eastAsia="楷体" w:cs="楷体"/>
          <w:b w:val="0"/>
          <w:bCs w:val="0"/>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lang w:val="en-US" w:eastAsia="zh-CN"/>
        </w:rPr>
        <w:t>理财产品</w:t>
      </w:r>
      <w:r>
        <w:rPr>
          <w:rFonts w:hint="eastAsia" w:ascii="楷体" w:hAnsi="楷体" w:eastAsia="楷体" w:cs="楷体"/>
          <w:b/>
          <w:bCs/>
          <w:spacing w:val="6"/>
          <w:szCs w:val="21"/>
          <w:highlight w:val="none"/>
          <w:u w:val="none"/>
        </w:rPr>
        <w:t>销售文件</w:t>
      </w:r>
      <w:r>
        <w:rPr>
          <w:rFonts w:hint="eastAsia" w:ascii="楷体" w:hAnsi="楷体" w:eastAsia="楷体" w:cs="楷体"/>
          <w:b/>
          <w:bCs/>
          <w:spacing w:val="6"/>
          <w:szCs w:val="21"/>
          <w:highlight w:val="none"/>
          <w:u w:val="none"/>
          <w:lang w:val="en-US" w:eastAsia="zh-CN"/>
        </w:rPr>
        <w:t>/销售文</w:t>
      </w:r>
      <w:r>
        <w:rPr>
          <w:rFonts w:hint="eastAsia" w:ascii="楷体" w:hAnsi="楷体" w:eastAsia="楷体" w:cs="楷体"/>
          <w:b/>
          <w:bCs/>
          <w:spacing w:val="23"/>
          <w:sz w:val="21"/>
          <w:szCs w:val="21"/>
          <w:u w:val="none"/>
          <w:lang w:val="en-US" w:eastAsia="zh-CN"/>
        </w:rPr>
        <w:t>件</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rPr>
        <w:t>指《产品说明书》、《风险揭示书》、《投资协议书》、《销售（代理销售）协议书》和《投资者权益须知》的总称。</w:t>
      </w:r>
    </w:p>
    <w:p>
      <w:pPr>
        <w:snapToGrid w:val="0"/>
        <w:spacing w:line="360" w:lineRule="auto"/>
        <w:ind w:firstLine="422" w:firstLineChars="200"/>
        <w:rPr>
          <w:rFonts w:hint="eastAsia" w:ascii="楷体" w:hAnsi="楷体" w:eastAsia="楷体" w:cs="楷体"/>
          <w:b w:val="0"/>
          <w:bCs w:val="0"/>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理财产品合</w:t>
      </w:r>
      <w:r>
        <w:rPr>
          <w:rFonts w:hint="eastAsia" w:ascii="楷体" w:hAnsi="楷体" w:eastAsia="楷体" w:cs="楷体"/>
          <w:b/>
          <w:bCs/>
          <w:spacing w:val="23"/>
          <w:sz w:val="21"/>
          <w:szCs w:val="21"/>
          <w:u w:val="none"/>
        </w:rPr>
        <w:t>同：</w:t>
      </w:r>
      <w:r>
        <w:rPr>
          <w:rFonts w:hint="eastAsia" w:ascii="楷体" w:hAnsi="楷体" w:eastAsia="楷体" w:cs="楷体"/>
          <w:b w:val="0"/>
          <w:bCs w:val="0"/>
          <w:szCs w:val="21"/>
          <w:u w:val="none"/>
        </w:rPr>
        <w:t>指《产品说明书》、《风险揭示书》和《投资协议书》的总称。</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《产品说明书》：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【上银理财“易享利”系列开放式(3个月持有期)理财产品WPEK24M0308期】</w:t>
      </w:r>
      <w:r>
        <w:rPr>
          <w:rFonts w:hint="eastAsia" w:ascii="楷体" w:hAnsi="楷体" w:eastAsia="楷体" w:cs="楷体"/>
          <w:b w:val="0"/>
          <w:bCs w:val="0"/>
          <w:szCs w:val="21"/>
          <w:u w:val="none"/>
        </w:rPr>
        <w:t>产品说明书》，以及对该文件的有效修改或补充。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w:t>
      </w:r>
      <w:r>
        <w:rPr>
          <w:rFonts w:hint="eastAsia" w:ascii="楷体" w:hAnsi="楷体" w:eastAsia="楷体" w:cs="楷体"/>
          <w:b/>
          <w:bCs/>
          <w:spacing w:val="6"/>
          <w:szCs w:val="21"/>
          <w:u w:val="none"/>
        </w:rPr>
        <w:t>《风险揭示书》：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【上银理财“易享利”系列开放式(3个月持有期)理财产品WPEK24M0308期】</w:t>
      </w:r>
      <w:r>
        <w:rPr>
          <w:rFonts w:hint="eastAsia" w:ascii="楷体" w:hAnsi="楷体" w:eastAsia="楷体" w:cs="楷体"/>
          <w:b w:val="0"/>
          <w:bCs w:val="0"/>
          <w:szCs w:val="21"/>
          <w:u w:val="none"/>
        </w:rPr>
        <w:t>风险揭示书》，以及对该文件的有效修改或补充。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highlight w:val="none"/>
          <w:u w:val="none"/>
        </w:rPr>
        <w:t>《投资协议书》：</w:t>
      </w:r>
      <w:r>
        <w:rPr>
          <w:rFonts w:hint="eastAsia" w:ascii="楷体" w:hAnsi="楷体" w:eastAsia="楷体" w:cs="楷体"/>
          <w:b w:val="0"/>
          <w:bCs w:val="0"/>
          <w:szCs w:val="21"/>
          <w:highlight w:val="none"/>
          <w:u w:val="none"/>
          <w:lang w:val="en-US" w:eastAsia="zh-CN"/>
        </w:rPr>
        <w:t>指</w:t>
      </w:r>
      <w:r>
        <w:rPr>
          <w:rFonts w:hint="eastAsia" w:ascii="楷体" w:hAnsi="楷体" w:eastAsia="楷体" w:cs="楷体"/>
          <w:b w:val="0"/>
          <w:bCs w:val="0"/>
          <w:szCs w:val="21"/>
          <w:highlight w:val="none"/>
          <w:u w:val="none"/>
        </w:rPr>
        <w:t>《上银理财理财产品投资协议书》，以及对该文件的有效修改或补充。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《销售（代理销售）协议书》：</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指由投资者和销售机构签署的，作为本产品销售文件不可分割组成部分的《销售（代理销售）协议书》，以及对该文件的有效修改或补充。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《投资者权益须知》</w:t>
      </w:r>
      <w:r>
        <w:rPr>
          <w:rFonts w:hint="eastAsia" w:ascii="楷体" w:hAnsi="楷体" w:eastAsia="楷体" w:cs="楷体"/>
          <w:b/>
          <w:bCs/>
          <w:spacing w:val="6"/>
          <w:szCs w:val="21"/>
          <w:u w:val="none"/>
          <w:lang w:eastAsia="zh-CN"/>
        </w:rPr>
        <w:t>：</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指由投资者和销售机构签署的，作为本产品销售文件不可分割组成部分的《投资者权益须知》，以及对该文件的有效修改或补充。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（三）产品要素</w:t>
      </w:r>
    </w:p>
    <w:p>
      <w:pPr>
        <w:spacing w:line="360" w:lineRule="auto"/>
        <w:ind w:firstLine="422" w:firstLineChars="200"/>
        <w:contextualSpacing/>
        <w:rPr>
          <w:rFonts w:hint="eastAsia" w:ascii="楷体" w:hAnsi="楷体" w:eastAsia="楷体" w:cs="楷体"/>
          <w:b/>
          <w:bCs/>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理财产品/本产品</w:t>
      </w:r>
      <w:r>
        <w:rPr>
          <w:rFonts w:hint="eastAsia" w:ascii="楷体" w:hAnsi="楷体" w:eastAsia="楷体" w:cs="楷体"/>
          <w:b/>
          <w:bCs/>
          <w:spacing w:val="6"/>
          <w:szCs w:val="21"/>
          <w:highlight w:val="none"/>
          <w:u w:val="none"/>
        </w:rPr>
        <w:t>/产</w:t>
      </w:r>
      <w:r>
        <w:rPr>
          <w:rFonts w:hint="eastAsia" w:ascii="楷体" w:hAnsi="楷体" w:eastAsia="楷体" w:cs="楷体"/>
          <w:b/>
          <w:bCs/>
          <w:spacing w:val="23"/>
          <w:sz w:val="21"/>
          <w:szCs w:val="21"/>
          <w:u w:val="none"/>
        </w:rPr>
        <w:t>品：</w:t>
      </w:r>
      <w:r>
        <w:rPr>
          <w:rFonts w:hint="eastAsia" w:ascii="楷体" w:hAnsi="楷体" w:eastAsia="楷体" w:cs="楷体"/>
          <w:b w:val="0"/>
          <w:bCs w:val="0"/>
          <w:szCs w:val="21"/>
          <w:highlight w:val="none"/>
          <w:u w:val="none"/>
          <w:lang w:val="en-US" w:eastAsia="zh-CN"/>
        </w:rPr>
        <w:t>指【上银理财“易享利”系列开放式(3个月持有期)理财产品WPEK24M0308期】。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pacing w:val="6"/>
          <w:szCs w:val="21"/>
          <w:highlight w:val="none"/>
          <w:u w:val="none"/>
          <w:lang w:val="en-US" w:eastAsia="zh-CN"/>
        </w:rPr>
        <w:t>产品风险评</w:t>
      </w:r>
      <w:r>
        <w:rPr>
          <w:rFonts w:hint="eastAsia" w:ascii="楷体" w:hAnsi="楷体" w:eastAsia="楷体" w:cs="楷体"/>
          <w:b/>
          <w:bCs/>
          <w:spacing w:val="23"/>
          <w:sz w:val="21"/>
          <w:szCs w:val="21"/>
          <w:u w:val="none"/>
          <w:lang w:val="en-US" w:eastAsia="zh-CN"/>
        </w:rPr>
        <w:t>级：</w:t>
      </w:r>
      <w:r>
        <w:rPr>
          <w:rFonts w:hint="eastAsia" w:ascii="楷体" w:hAnsi="楷体" w:eastAsia="楷体" w:cs="楷体"/>
          <w:b w:val="0"/>
          <w:bCs w:val="0"/>
          <w:szCs w:val="21"/>
          <w:highlight w:val="none"/>
          <w:u w:val="none"/>
          <w:lang w:val="en-US" w:eastAsia="zh-CN"/>
        </w:rPr>
        <w:t>指管理人内部对本公司发行理财产品的评级结果。上银理财产品风险评级由低到高共分为五级：低风险（一级风险）、中低风险（二级风险）、中等风险（三级风险）、中高风险（四级风险）、高风险（五级风险）。产品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pacing w:line="360" w:lineRule="auto"/>
        <w:ind w:firstLine="422" w:firstLineChars="200"/>
        <w:contextualSpacing/>
        <w:rPr>
          <w:rFonts w:hint="eastAsia" w:ascii="楷体_GB2312" w:hAnsi="宋体" w:eastAsia="楷体_GB2312"/>
          <w:b w:val="0"/>
          <w:bCs w:val="0"/>
          <w:szCs w:val="21"/>
          <w:highlight w:val="none"/>
          <w:u w:val="none"/>
          <w:lang w:val="en-US" w:eastAsia="zh-CN"/>
        </w:rPr>
      </w:pPr>
      <w:r>
        <w:rPr>
          <w:rFonts w:hint="eastAsia" w:ascii="楷体" w:hAnsi="楷体" w:eastAsia="楷体" w:cs="楷体"/>
          <w:b/>
          <w:bCs/>
          <w:szCs w:val="21"/>
          <w:highlight w:val="none"/>
          <w:u w:val="none"/>
          <w:lang w:val="en-US" w:eastAsia="zh-CN"/>
        </w:rPr>
        <w:t>3</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认购/申购资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指在认购期或申购开放日，认购人/申购人为认购/申购理财产品份额而向管理人交付的货币资金。为免疑义，认购/申购资金不包含认购/申购资金在认购/申购期内所产生的利息。</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理财产品募集资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指认购人按照理财产品合同的约定交付，并经管理人确认认购成功而进入理财产品账户的认购资金的总和。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5</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指理财产品募集资金，以及管理人管理、运用、处分该等理财产品募集资金而取得且归于理财产品所有的货币资金。</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6</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管理人为成立理财产品及处理理财产品事务目的而支出的所有费用，包括但不限于管理人收取的固定投资管理费、浮动投资管理费（如有）、托管人收取的托管费、销售机构收取的销售管理费、因投资资产而产生的资产服务费（如有）、交易费用（包括但不限于交易佣金、撮合费用等）、理财产品验资费、审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执行费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为理财产品利益目的而进行的诉讼或仲裁等法律程序相关的费用，包括但不限于诉讼费、仲裁费、财产保全费、律师费和执行费，以及因诉讼或仲裁之需要而委托中介机构或司法机构进行鉴定、评估等而产生的费用。</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理财产品税</w:t>
      </w:r>
      <w:r>
        <w:rPr>
          <w:rFonts w:hint="eastAsia" w:ascii="楷体" w:hAnsi="楷体" w:eastAsia="楷体" w:cs="楷体"/>
          <w:b/>
          <w:bCs/>
          <w:spacing w:val="23"/>
          <w:sz w:val="21"/>
          <w:szCs w:val="21"/>
          <w:u w:val="none"/>
        </w:rPr>
        <w:t>费：</w:t>
      </w:r>
      <w:r>
        <w:rPr>
          <w:rFonts w:hint="eastAsia" w:ascii="楷体" w:hAnsi="楷体" w:eastAsia="楷体" w:cs="楷体"/>
          <w:b w:val="0"/>
          <w:bCs w:val="0"/>
          <w:szCs w:val="21"/>
          <w:highlight w:val="none"/>
          <w:u w:val="none"/>
          <w:lang w:val="en-US" w:eastAsia="zh-CN"/>
        </w:rPr>
        <w:t>指根据适用法律和理财产品销售文件规定，理财产品应缴纳和承担的税收和有权政府部门向理财产品征收的税费、规费。</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9</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理财产品利</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指投资者因持有理财产品份额，按照销售文件约定取得或有权取得的理财产品管理人分配的理财产品资产。在理财产品对外投资资产正常回收的情况下，该等财产性利益包括投资本金及理财产品收益。</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投资本</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就每一投资者而言，指投资者为认购/申购理财产品份额而向理财产品管理人交付的货币资金，即该投资者在本理财产品下的初始投资资金。就每一理财产品份额而言，在本理财产品成立时每一理财产品份额的投资本金为1元。为避免疑义，投资本金的称谓仅为方便计算理财产品利益而创设的，并非对投资者投资本金不受损失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理财产品收</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指投资者投资理财产品获得的投资收益，该收益为其获得分配的全部理财产品利益中扣除投资本金的部分。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lang w:val="en-US" w:eastAsia="zh-CN"/>
        </w:rPr>
        <w:t>收益</w:t>
      </w:r>
      <w:r>
        <w:rPr>
          <w:rFonts w:hint="eastAsia" w:ascii="楷体" w:hAnsi="楷体" w:eastAsia="楷体" w:cs="楷体"/>
          <w:b/>
          <w:bCs/>
          <w:spacing w:val="6"/>
          <w:szCs w:val="21"/>
          <w:u w:val="none"/>
        </w:rPr>
        <w:t>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指理财产品管理人向投资者进行理财产品收益分配。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期间分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指在理财产品终止日（不含当日）前的理财产品收益分配。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终止分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指在理财产品终止日当日及之后的理财产品可得资金分配，该等可得资金包括本金和理财收益（如有）。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w:t>
      </w:r>
      <w:r>
        <w:rPr>
          <w:rFonts w:hint="eastAsia" w:ascii="楷体" w:hAnsi="楷体" w:eastAsia="楷体" w:cs="楷体"/>
          <w:b/>
          <w:bCs/>
          <w:spacing w:val="23"/>
          <w:sz w:val="21"/>
          <w:szCs w:val="21"/>
          <w:u w:val="none"/>
        </w:rPr>
        <w:t>额：</w:t>
      </w:r>
      <w:r>
        <w:rPr>
          <w:rFonts w:hint="eastAsia" w:ascii="楷体" w:hAnsi="楷体" w:eastAsia="楷体" w:cs="楷体"/>
          <w:b w:val="0"/>
          <w:bCs w:val="0"/>
          <w:szCs w:val="21"/>
          <w:highlight w:val="none"/>
          <w:u w:val="none"/>
          <w:lang w:val="en-US" w:eastAsia="zh-CN"/>
        </w:rPr>
        <w:t>指管理人依据理财产品销售文件向投资者发行的一种资产受益凭证。理财产品份额持有人基于其所持有的理财产品份额享有理财产品利益，承担理财产品资产风险。</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16.</w:t>
      </w:r>
      <w:r>
        <w:rPr>
          <w:rFonts w:hint="eastAsia" w:ascii="楷体" w:hAnsi="楷体" w:eastAsia="楷体" w:cs="楷体"/>
          <w:b/>
          <w:bCs/>
          <w:spacing w:val="6"/>
          <w:szCs w:val="21"/>
          <w:u w:val="none"/>
        </w:rPr>
        <w:t>理财产品资产净值/理财资产净值/产品资产净</w:t>
      </w:r>
      <w:r>
        <w:rPr>
          <w:rFonts w:hint="eastAsia" w:ascii="楷体" w:hAnsi="楷体" w:eastAsia="楷体" w:cs="楷体"/>
          <w:b/>
          <w:bCs/>
          <w:spacing w:val="23"/>
          <w:sz w:val="21"/>
          <w:szCs w:val="21"/>
          <w:u w:val="none"/>
        </w:rPr>
        <w:t>值</w:t>
      </w:r>
      <w:r>
        <w:rPr>
          <w:rFonts w:hint="eastAsia" w:ascii="楷体" w:hAnsi="楷体" w:eastAsia="楷体" w:cs="楷体"/>
          <w:b/>
          <w:bCs/>
          <w:spacing w:val="23"/>
          <w:sz w:val="21"/>
          <w:szCs w:val="21"/>
          <w:u w:val="none"/>
          <w:lang w:eastAsia="zh-CN"/>
        </w:rPr>
        <w:t>：</w:t>
      </w:r>
      <w:r>
        <w:rPr>
          <w:rFonts w:hint="eastAsia" w:ascii="楷体" w:hAnsi="楷体" w:eastAsia="楷体" w:cs="楷体"/>
          <w:b w:val="0"/>
          <w:bCs w:val="0"/>
          <w:szCs w:val="21"/>
          <w:highlight w:val="none"/>
          <w:u w:val="none"/>
          <w:lang w:val="en-US" w:eastAsia="zh-CN"/>
        </w:rPr>
        <w:t>理财产品资产净值=理财产品资产总值-理财产品负债总值。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17.</w:t>
      </w:r>
      <w:r>
        <w:rPr>
          <w:rFonts w:hint="eastAsia" w:ascii="楷体" w:hAnsi="楷体" w:eastAsia="楷体" w:cs="楷体"/>
          <w:b/>
          <w:bCs/>
          <w:spacing w:val="6"/>
          <w:szCs w:val="21"/>
          <w:u w:val="none"/>
          <w:lang w:val="en-US" w:eastAsia="zh-CN"/>
        </w:rPr>
        <w:t>理财产品资产总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是指理财产品拥有的各类有价证券、银行存款、应收款项及其他资产的价值总和。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18.</w:t>
      </w:r>
      <w:r>
        <w:rPr>
          <w:rFonts w:hint="eastAsia" w:ascii="楷体" w:hAnsi="楷体" w:eastAsia="楷体" w:cs="楷体"/>
          <w:b/>
          <w:bCs/>
          <w:spacing w:val="6"/>
          <w:szCs w:val="21"/>
          <w:u w:val="none"/>
          <w:lang w:val="en-US" w:eastAsia="zh-CN"/>
        </w:rPr>
        <w:t>理财产品负债总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是指理财产品运作及融资时形成的负债价值总和，包括融资资金本息、应付各项费用、应付税金及其他应付款项等。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指理财产品份额的单位净值，即每1份理财产品份额以人民币计价的价格。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20</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理财产品份额累计净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指理财产品份额的单位净值与产品成立后历次累计单位收益分配的总和。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理财产品估</w:t>
      </w:r>
      <w:r>
        <w:rPr>
          <w:rFonts w:hint="eastAsia" w:ascii="楷体" w:hAnsi="楷体" w:eastAsia="楷体" w:cs="楷体"/>
          <w:b/>
          <w:bCs/>
          <w:spacing w:val="23"/>
          <w:sz w:val="21"/>
          <w:szCs w:val="21"/>
          <w:u w:val="none"/>
        </w:rPr>
        <w:t>值：</w:t>
      </w:r>
      <w:r>
        <w:rPr>
          <w:rFonts w:hint="eastAsia" w:ascii="楷体" w:hAnsi="楷体" w:eastAsia="楷体" w:cs="楷体"/>
          <w:b w:val="0"/>
          <w:bCs w:val="0"/>
          <w:szCs w:val="21"/>
          <w:highlight w:val="none"/>
          <w:u w:val="none"/>
          <w:lang w:val="en-US" w:eastAsia="zh-CN"/>
        </w:rPr>
        <w:t>指评估理财产品资产及负债以确定理财产品份额净值的过程。</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22</w:t>
      </w:r>
      <w:r>
        <w:rPr>
          <w:rFonts w:hint="eastAsia" w:ascii="楷体" w:hAnsi="楷体" w:eastAsia="楷体" w:cs="楷体"/>
          <w:b/>
          <w:bCs/>
          <w:szCs w:val="21"/>
          <w:u w:val="none"/>
        </w:rPr>
        <w:t>.</w:t>
      </w:r>
      <w:r>
        <w:rPr>
          <w:rFonts w:hint="eastAsia" w:ascii="楷体" w:hAnsi="楷体" w:eastAsia="楷体" w:cs="楷体"/>
          <w:b/>
          <w:bCs/>
          <w:spacing w:val="6"/>
          <w:szCs w:val="21"/>
          <w:u w:val="none"/>
        </w:rPr>
        <w:t>业绩比较基</w:t>
      </w:r>
      <w:r>
        <w:rPr>
          <w:rFonts w:hint="eastAsia" w:ascii="楷体" w:hAnsi="楷体" w:eastAsia="楷体" w:cs="楷体"/>
          <w:b/>
          <w:bCs/>
          <w:spacing w:val="23"/>
          <w:sz w:val="21"/>
          <w:szCs w:val="21"/>
          <w:u w:val="none"/>
        </w:rPr>
        <w:t>准：</w:t>
      </w:r>
      <w:r>
        <w:rPr>
          <w:rFonts w:hint="eastAsia" w:ascii="楷体" w:hAnsi="楷体" w:eastAsia="楷体" w:cs="楷体"/>
          <w:b w:val="0"/>
          <w:bCs w:val="0"/>
          <w:szCs w:val="21"/>
          <w:highlight w:val="none"/>
          <w:u w:val="none"/>
          <w:lang w:val="en-US" w:eastAsia="zh-CN"/>
        </w:rPr>
        <w:t>业绩比较基准是管理人基于产品性质、投资策略、过往经验等因素对产品设定的投资目标，业绩比较基准不是预期收益率，不代表产品的未来表现和实际收益，不构成对产品收益的承诺。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23</w:t>
      </w:r>
      <w:r>
        <w:rPr>
          <w:rFonts w:hint="eastAsia" w:ascii="楷体" w:hAnsi="楷体" w:eastAsia="楷体" w:cs="楷体"/>
          <w:b/>
          <w:bCs/>
          <w:szCs w:val="21"/>
          <w:u w:val="none"/>
        </w:rPr>
        <w:t>.</w:t>
      </w:r>
      <w:r>
        <w:rPr>
          <w:rFonts w:hint="eastAsia" w:ascii="楷体" w:hAnsi="楷体" w:eastAsia="楷体" w:cs="楷体"/>
          <w:b/>
          <w:bCs/>
          <w:spacing w:val="6"/>
          <w:szCs w:val="21"/>
          <w:u w:val="none"/>
        </w:rPr>
        <w:t>认</w:t>
      </w:r>
      <w:r>
        <w:rPr>
          <w:rFonts w:hint="eastAsia" w:ascii="楷体" w:hAnsi="楷体" w:eastAsia="楷体" w:cs="楷体"/>
          <w:b/>
          <w:bCs/>
          <w:spacing w:val="23"/>
          <w:sz w:val="21"/>
          <w:szCs w:val="21"/>
          <w:u w:val="none"/>
        </w:rPr>
        <w:t>购：</w:t>
      </w:r>
      <w:r>
        <w:rPr>
          <w:rFonts w:hint="eastAsia" w:ascii="楷体" w:hAnsi="楷体" w:eastAsia="楷体" w:cs="楷体"/>
          <w:b w:val="0"/>
          <w:bCs w:val="0"/>
          <w:szCs w:val="21"/>
          <w:highlight w:val="none"/>
          <w:u w:val="none"/>
          <w:lang w:val="en-US" w:eastAsia="zh-CN"/>
        </w:rPr>
        <w:t>指在理财产品的募集期内，投资者根据《产品说明书》约定申请购买本产品理财产品份额的行为。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24</w:t>
      </w:r>
      <w:r>
        <w:rPr>
          <w:rFonts w:hint="eastAsia" w:ascii="楷体" w:hAnsi="楷体" w:eastAsia="楷体" w:cs="楷体"/>
          <w:b/>
          <w:bCs/>
          <w:szCs w:val="21"/>
          <w:u w:val="none"/>
        </w:rPr>
        <w:t>.</w:t>
      </w:r>
      <w:r>
        <w:rPr>
          <w:rFonts w:hint="eastAsia" w:ascii="楷体" w:hAnsi="楷体" w:eastAsia="楷体" w:cs="楷体"/>
          <w:b/>
          <w:bCs/>
          <w:spacing w:val="6"/>
          <w:szCs w:val="21"/>
          <w:u w:val="none"/>
        </w:rPr>
        <w:t>申购/赎</w:t>
      </w:r>
      <w:r>
        <w:rPr>
          <w:rFonts w:hint="eastAsia" w:ascii="楷体" w:hAnsi="楷体" w:eastAsia="楷体" w:cs="楷体"/>
          <w:b/>
          <w:bCs/>
          <w:spacing w:val="23"/>
          <w:sz w:val="21"/>
          <w:szCs w:val="21"/>
          <w:u w:val="none"/>
        </w:rPr>
        <w:t>回：</w:t>
      </w:r>
      <w:r>
        <w:rPr>
          <w:rFonts w:hint="eastAsia" w:ascii="楷体" w:hAnsi="楷体" w:eastAsia="楷体" w:cs="楷体"/>
          <w:b w:val="0"/>
          <w:bCs w:val="0"/>
          <w:szCs w:val="21"/>
          <w:highlight w:val="none"/>
          <w:u w:val="none"/>
          <w:lang w:val="en-US" w:eastAsia="zh-CN"/>
        </w:rPr>
        <w:t>指在理财产品的开放日，投资者向销售机构提出对理财产品份额进行购买/卖出的行为。</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25</w:t>
      </w:r>
      <w:r>
        <w:rPr>
          <w:rFonts w:hint="eastAsia" w:ascii="楷体" w:hAnsi="楷体" w:eastAsia="楷体" w:cs="楷体"/>
          <w:b/>
          <w:bCs/>
          <w:szCs w:val="21"/>
          <w:u w:val="none"/>
        </w:rPr>
        <w:t>.</w:t>
      </w:r>
      <w:r>
        <w:rPr>
          <w:rFonts w:hint="eastAsia" w:ascii="楷体" w:hAnsi="楷体" w:eastAsia="楷体" w:cs="楷体"/>
          <w:b/>
          <w:bCs/>
          <w:spacing w:val="6"/>
          <w:szCs w:val="21"/>
          <w:u w:val="none"/>
        </w:rPr>
        <w:t>巨额赎</w:t>
      </w:r>
      <w:r>
        <w:rPr>
          <w:rFonts w:hint="eastAsia" w:ascii="楷体" w:hAnsi="楷体" w:eastAsia="楷体" w:cs="楷体"/>
          <w:b/>
          <w:bCs/>
          <w:spacing w:val="23"/>
          <w:sz w:val="21"/>
          <w:szCs w:val="21"/>
          <w:u w:val="none"/>
        </w:rPr>
        <w:t>回：</w:t>
      </w:r>
      <w:r>
        <w:rPr>
          <w:rFonts w:hint="eastAsia" w:ascii="楷体" w:hAnsi="楷体" w:eastAsia="楷体" w:cs="楷体"/>
          <w:b w:val="0"/>
          <w:bCs w:val="0"/>
          <w:color w:val="auto"/>
          <w:szCs w:val="21"/>
          <w:highlight w:val="none"/>
          <w:u w:val="none"/>
          <w:lang w:val="en-US" w:eastAsia="zh-CN"/>
        </w:rPr>
        <w:t>在理财产品存续期内，若理财产品任一赎回开放日净赎回申请份额（赎回申请份额总数扣除申购申请份额总数）超过本理财产品上一【交易日】日终份额的</w:t>
      </w:r>
      <w:r>
        <w:rPr>
          <w:rFonts w:hint="eastAsia" w:ascii="楷体" w:hAnsi="楷体" w:eastAsia="楷体" w:cs="楷体"/>
          <w:b w:val="0"/>
          <w:bCs w:val="0"/>
          <w:color w:val="auto"/>
          <w:szCs w:val="21"/>
          <w:u w:val="none"/>
        </w:rPr>
        <w:t>10%</w:t>
      </w:r>
      <w:r>
        <w:rPr>
          <w:rFonts w:hint="eastAsia" w:ascii="楷体" w:hAnsi="楷体" w:eastAsia="楷体" w:cs="楷体"/>
          <w:b w:val="0"/>
          <w:bCs w:val="0"/>
          <w:color w:val="auto"/>
          <w:szCs w:val="21"/>
          <w:highlight w:val="none"/>
          <w:u w:val="none"/>
          <w:lang w:val="en-US" w:eastAsia="zh-CN"/>
        </w:rPr>
        <w:t>时，即为发生巨额赎回。</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26.</w:t>
      </w:r>
      <w:r>
        <w:rPr>
          <w:rFonts w:hint="eastAsia" w:ascii="楷体" w:hAnsi="楷体" w:eastAsia="楷体" w:cs="楷体"/>
          <w:b/>
          <w:bCs/>
          <w:color w:val="auto"/>
          <w:spacing w:val="6"/>
          <w:szCs w:val="21"/>
          <w:u w:val="none"/>
          <w:lang w:val="en-US" w:eastAsia="zh-CN"/>
        </w:rPr>
        <w:t>高流动性资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指现金或者到期日在一年以内的国债、中央银行票据和政策性金融债券。</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27.</w:t>
      </w:r>
      <w:r>
        <w:rPr>
          <w:rFonts w:hint="eastAsia" w:ascii="楷体" w:hAnsi="楷体" w:eastAsia="楷体" w:cs="楷体"/>
          <w:b/>
          <w:bCs/>
          <w:color w:val="auto"/>
          <w:spacing w:val="6"/>
          <w:szCs w:val="21"/>
          <w:u w:val="none"/>
          <w:lang w:val="en-US" w:eastAsia="zh-CN"/>
        </w:rPr>
        <w:t>流动性受限资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法律法规或监管机构另有规定的，从其规定。</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28.</w:t>
      </w:r>
      <w:r>
        <w:rPr>
          <w:rFonts w:hint="eastAsia" w:ascii="楷体" w:hAnsi="楷体" w:eastAsia="楷体" w:cs="楷体"/>
          <w:b/>
          <w:bCs/>
          <w:color w:val="auto"/>
          <w:spacing w:val="6"/>
          <w:szCs w:val="21"/>
          <w:u w:val="none"/>
          <w:lang w:val="en-US" w:eastAsia="zh-CN"/>
        </w:rPr>
        <w:t>7个工作日可变现资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highlight w:val="none"/>
          <w:u w:val="none"/>
          <w:lang w:val="en-US" w:eastAsia="zh-CN"/>
        </w:rPr>
        <w:t>29.</w:t>
      </w:r>
      <w:r>
        <w:rPr>
          <w:rFonts w:hint="eastAsia" w:ascii="楷体" w:hAnsi="楷体" w:eastAsia="楷体" w:cs="楷体"/>
          <w:b/>
          <w:bCs/>
          <w:color w:val="auto"/>
          <w:spacing w:val="6"/>
          <w:szCs w:val="21"/>
          <w:highlight w:val="none"/>
          <w:u w:val="none"/>
          <w:lang w:val="en-US" w:eastAsia="zh-CN"/>
        </w:rPr>
        <w:t>摆动定价机</w:t>
      </w:r>
      <w:r>
        <w:rPr>
          <w:rFonts w:hint="eastAsia" w:ascii="楷体" w:hAnsi="楷体" w:eastAsia="楷体" w:cs="楷体"/>
          <w:b/>
          <w:bCs/>
          <w:spacing w:val="23"/>
          <w:sz w:val="21"/>
          <w:szCs w:val="21"/>
          <w:u w:val="none"/>
          <w:lang w:val="en-US" w:eastAsia="zh-CN"/>
        </w:rPr>
        <w:t>制：</w:t>
      </w:r>
      <w:r>
        <w:rPr>
          <w:rFonts w:hint="eastAsia" w:ascii="楷体" w:hAnsi="楷体" w:eastAsia="楷体" w:cs="楷体"/>
          <w:b w:val="0"/>
          <w:bCs w:val="0"/>
          <w:szCs w:val="21"/>
          <w:highlight w:val="none"/>
          <w:u w:val="none"/>
          <w:lang w:val="en-US" w:eastAsia="zh-CN"/>
        </w:rPr>
        <w:t>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确保投资者的合法权益不受损害并得到公平对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（四）相关账户</w:t>
      </w:r>
    </w:p>
    <w:p>
      <w:pPr>
        <w:spacing w:line="360" w:lineRule="auto"/>
        <w:ind w:firstLine="446"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pacing w:val="6"/>
          <w:szCs w:val="21"/>
          <w:u w:val="none"/>
        </w:rPr>
        <w:t>理财托管账户/理财产品账</w:t>
      </w:r>
      <w:r>
        <w:rPr>
          <w:rFonts w:hint="eastAsia" w:ascii="楷体" w:hAnsi="楷体" w:eastAsia="楷体" w:cs="楷体"/>
          <w:b/>
          <w:bCs/>
          <w:spacing w:val="23"/>
          <w:sz w:val="21"/>
          <w:szCs w:val="21"/>
          <w:u w:val="none"/>
        </w:rPr>
        <w:t>户：</w:t>
      </w:r>
      <w:r>
        <w:rPr>
          <w:rFonts w:hint="eastAsia" w:ascii="楷体" w:hAnsi="楷体" w:eastAsia="楷体" w:cs="楷体"/>
          <w:b w:val="0"/>
          <w:bCs w:val="0"/>
          <w:szCs w:val="21"/>
          <w:highlight w:val="none"/>
          <w:u w:val="none"/>
          <w:lang w:val="en-US" w:eastAsia="zh-CN"/>
        </w:rPr>
        <w:t>指理财产品管理人以理财产品的名义在托管人处单独开立的资金管理账户，理财产品资金的一切收支活动，均必须通过该账户进行。</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（五）期间与日期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交易</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指上海证券交易所和深圳证券交易所的正常开盘交易日。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2.</w:t>
      </w:r>
      <w:r>
        <w:rPr>
          <w:rFonts w:hint="eastAsia" w:ascii="楷体" w:hAnsi="楷体" w:eastAsia="楷体" w:cs="楷体"/>
          <w:b/>
          <w:bCs/>
          <w:spacing w:val="6"/>
          <w:szCs w:val="21"/>
          <w:u w:val="none"/>
        </w:rPr>
        <w:t>银行工作</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指除中国法定节假日和公休日外的其他日。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3.工作日：</w:t>
      </w:r>
      <w:r>
        <w:rPr>
          <w:rFonts w:hint="eastAsia" w:ascii="楷体" w:hAnsi="楷体" w:eastAsia="楷体" w:cs="楷体"/>
          <w:b w:val="0"/>
          <w:bCs w:val="0"/>
          <w:szCs w:val="21"/>
          <w:highlight w:val="none"/>
          <w:u w:val="none"/>
          <w:lang w:val="en-US" w:eastAsia="zh-CN"/>
        </w:rPr>
        <w:t>指交易日或银行工作日，本《产品说明书》中“工作日”指【交易日】。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自然</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包括正常的工作日和周末休假日，也包括假期。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认购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前，理财产品管理人接受理财产品认购的时间。但在该期间内如认购人提交认购申请的认购份额提前达到《产品说明书》所载的发行规模上限的，管理人有权暂停接受认购申请，该情况下产品成立日保持不变。</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产品成立</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指达到《产品说明书》约定的成立条件后理财产品成立的日期。</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理财产品预计到期日/预计到期</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指《产品说明书》约定的预计到期日，</w:t>
      </w:r>
      <w:r>
        <w:rPr>
          <w:rFonts w:hint="eastAsia" w:ascii="楷体" w:hAnsi="楷体" w:eastAsia="楷体" w:cs="楷体"/>
          <w:b w:val="0"/>
          <w:bCs w:val="0"/>
          <w:color w:val="auto"/>
          <w:szCs w:val="21"/>
          <w:highlight w:val="none"/>
          <w:u w:val="none"/>
          <w:lang w:val="en-US" w:eastAsia="zh-CN"/>
        </w:rPr>
        <w:t>如遇非【交易日】顺延至下一个【交易日】。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理财产品到期日/终止日：</w:t>
      </w:r>
      <w:r>
        <w:rPr>
          <w:rFonts w:hint="eastAsia" w:ascii="楷体" w:hAnsi="楷体" w:eastAsia="楷体" w:cs="楷体"/>
          <w:b w:val="0"/>
          <w:bCs w:val="0"/>
          <w:szCs w:val="21"/>
          <w:highlight w:val="none"/>
          <w:u w:val="none"/>
          <w:lang w:val="en-US" w:eastAsia="zh-CN"/>
        </w:rPr>
        <w:t>指理财产品实际终止之日，根据实际情况，是指理财产品预计到期日，或管理人根据本《产品说明书》约定宣布本理财产品早于理财产品预计到期日而终止之日或宣布本理财产品延长后的终止之日（含延长后的到期终止之日，以及管理人在延期期限内根据本《产品说明书》约定宣布本理财产品终止之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预计存续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指理财产品成立日起，至理财产品预计到期日的期间。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产品存续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指自理财产品成立日起，至理财产品终止日的期间。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估值日：</w:t>
      </w:r>
      <w:r>
        <w:rPr>
          <w:rFonts w:hint="eastAsia" w:ascii="楷体" w:hAnsi="楷体" w:eastAsia="楷体" w:cs="楷体"/>
          <w:b w:val="0"/>
          <w:bCs w:val="0"/>
          <w:szCs w:val="21"/>
          <w:highlight w:val="none"/>
          <w:u w:val="none"/>
          <w:lang w:val="en-US" w:eastAsia="zh-CN"/>
        </w:rPr>
        <w:t>指产品管理人对理财产品项下资产进行估值的日期。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投资封闭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产品发售后暂停受理申购、赎回业务的一段封闭的时间。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3</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开放</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指为投资者办理本理财产品份额申购、赎回或其他业务的日期。</w:t>
      </w:r>
    </w:p>
    <w:p>
      <w:pPr>
        <w:spacing w:line="360" w:lineRule="auto"/>
        <w:ind w:left="105" w:leftChars="50" w:firstLine="316" w:firstLineChars="15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确认</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产品管理人对投资者的有效申请进行确认的时间。</w:t>
      </w:r>
    </w:p>
    <w:p>
      <w:pPr>
        <w:spacing w:line="360" w:lineRule="auto"/>
        <w:ind w:left="0" w:leftChars="0"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5</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收益分配基</w:t>
      </w:r>
      <w:r>
        <w:rPr>
          <w:rFonts w:hint="eastAsia" w:ascii="楷体" w:hAnsi="楷体" w:eastAsia="楷体" w:cs="楷体"/>
          <w:b/>
          <w:bCs/>
          <w:spacing w:val="23"/>
          <w:sz w:val="21"/>
          <w:szCs w:val="21"/>
          <w:u w:val="none"/>
        </w:rPr>
        <w:t>准日</w:t>
      </w:r>
      <w:r>
        <w:rPr>
          <w:rFonts w:hint="eastAsia" w:ascii="楷体" w:hAnsi="楷体" w:eastAsia="楷体" w:cs="楷体"/>
          <w:b/>
          <w:bCs/>
          <w:color w:val="auto"/>
          <w:spacing w:val="6"/>
          <w:szCs w:val="21"/>
          <w:u w:val="none"/>
        </w:rPr>
        <w:t>：</w:t>
      </w:r>
      <w:r>
        <w:rPr>
          <w:rFonts w:hint="eastAsia" w:ascii="楷体" w:hAnsi="楷体" w:eastAsia="楷体" w:cs="楷体"/>
          <w:b w:val="0"/>
          <w:bCs w:val="0"/>
          <w:szCs w:val="21"/>
          <w:highlight w:val="none"/>
          <w:u w:val="none"/>
          <w:lang w:val="en-US" w:eastAsia="zh-CN"/>
        </w:rPr>
        <w:t>是指可供分配利润的计算截止日。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6</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最短持有</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即每笔理财产品份额从认/申购对应的成立日/确认日起，到可以提出赎回申请的最短时间限制。</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节假日临时调</w:t>
      </w:r>
      <w:r>
        <w:rPr>
          <w:rFonts w:hint="eastAsia" w:ascii="楷体" w:hAnsi="楷体" w:eastAsia="楷体" w:cs="楷体"/>
          <w:b/>
          <w:bCs/>
          <w:spacing w:val="23"/>
          <w:sz w:val="21"/>
          <w:szCs w:val="21"/>
          <w:u w:val="none"/>
        </w:rPr>
        <w:t>整：</w:t>
      </w:r>
      <w:r>
        <w:rPr>
          <w:rFonts w:hint="eastAsia" w:ascii="楷体" w:hAnsi="楷体" w:eastAsia="楷体" w:cs="楷体"/>
          <w:b w:val="0"/>
          <w:bCs w:val="0"/>
          <w:szCs w:val="21"/>
          <w:highlight w:val="none"/>
          <w:u w:val="none"/>
          <w:lang w:val="en-US" w:eastAsia="zh-CN"/>
        </w:rPr>
        <w:t>如因国家相关主管部门临时调整节假日安排，导致产品原定开放日、估值日等日期安排发生变化的，原则上采用顺延方式对原定日期安排进行调整，如有特殊安排，</w:t>
      </w:r>
      <w:bookmarkStart w:id="0" w:name="_Hlk99533877"/>
      <w:r>
        <w:rPr>
          <w:rFonts w:hint="eastAsia" w:ascii="楷体" w:hAnsi="楷体" w:eastAsia="楷体" w:cs="楷体"/>
          <w:b w:val="0"/>
          <w:bCs w:val="0"/>
          <w:szCs w:val="21"/>
          <w:highlight w:val="none"/>
          <w:u w:val="none"/>
          <w:lang w:val="en-US" w:eastAsia="zh-CN"/>
        </w:rPr>
        <w:t>以管理人通过《产品说明书》“信息披露”约定的信息披露方式披露的调整方式为准。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18.</w:t>
      </w:r>
      <w:r>
        <w:rPr>
          <w:rFonts w:hint="eastAsia" w:ascii="楷体" w:hAnsi="楷体" w:eastAsia="楷体" w:cs="楷体"/>
          <w:b/>
          <w:bCs/>
          <w:color w:val="auto"/>
          <w:spacing w:val="6"/>
          <w:szCs w:val="21"/>
          <w:u w:val="none"/>
          <w:lang w:val="en-US" w:eastAsia="zh-CN"/>
        </w:rPr>
        <w:t>清算</w:t>
      </w:r>
      <w:r>
        <w:rPr>
          <w:rFonts w:hint="eastAsia" w:ascii="楷体" w:hAnsi="楷体" w:eastAsia="楷体" w:cs="楷体"/>
          <w:b/>
          <w:bCs/>
          <w:spacing w:val="23"/>
          <w:sz w:val="21"/>
          <w:szCs w:val="21"/>
          <w:u w:val="none"/>
          <w:lang w:val="en-US" w:eastAsia="zh-CN"/>
        </w:rPr>
        <w:t>期：</w:t>
      </w:r>
      <w:r>
        <w:rPr>
          <w:rFonts w:hint="eastAsia" w:ascii="楷体" w:hAnsi="楷体" w:eastAsia="楷体" w:cs="楷体"/>
          <w:b w:val="0"/>
          <w:bCs w:val="0"/>
          <w:szCs w:val="21"/>
          <w:highlight w:val="none"/>
          <w:u w:val="none"/>
          <w:lang w:val="en-US" w:eastAsia="zh-CN"/>
        </w:rPr>
        <w:t>指自本理财产品终止日至投资者理财利益到账日之间的期间。</w:t>
      </w:r>
    </w:p>
    <w:bookmarkEnd w:id="0"/>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（六）相关事件用语</w:t>
      </w:r>
    </w:p>
    <w:p>
      <w:pPr>
        <w:spacing w:line="360" w:lineRule="auto"/>
        <w:ind w:firstLine="446" w:firstLineChars="200"/>
        <w:contextualSpacing/>
        <w:rPr>
          <w:rFonts w:hint="eastAsia" w:ascii="楷体" w:hAnsi="楷体" w:eastAsia="楷体" w:cs="楷体"/>
          <w:b w:val="0"/>
          <w:bCs w:val="0"/>
          <w:szCs w:val="21"/>
          <w:u w:val="none"/>
        </w:rPr>
      </w:pPr>
      <w:r>
        <w:rPr>
          <w:rFonts w:hint="eastAsia" w:ascii="楷体" w:hAnsi="楷体" w:eastAsia="楷体" w:cs="楷体"/>
          <w:b/>
          <w:bCs/>
          <w:spacing w:val="6"/>
          <w:szCs w:val="21"/>
          <w:u w:val="none"/>
        </w:rPr>
        <w:t>不可抗力：</w:t>
      </w:r>
      <w:r>
        <w:rPr>
          <w:rFonts w:hint="eastAsia" w:ascii="楷体" w:hAnsi="楷体" w:eastAsia="楷体" w:cs="楷体"/>
          <w:b w:val="0"/>
          <w:bCs w:val="0"/>
          <w:szCs w:val="21"/>
          <w:u w:val="none"/>
        </w:rPr>
        <w:t>指理财产品各方不能预见、不能避免且不能克服的客观情况，该事件妨碍、影响或延误任何一方依相关理财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履行其全部或部分义务。该事件包括但不限于：</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a</w:t>
      </w:r>
      <w:r>
        <w:rPr>
          <w:rFonts w:hint="eastAsia" w:ascii="楷体" w:hAnsi="楷体" w:eastAsia="楷体" w:cs="楷体"/>
          <w:b w:val="0"/>
          <w:bCs w:val="0"/>
          <w:szCs w:val="21"/>
          <w:u w:val="none"/>
        </w:rPr>
        <w:t>.地震、台风、海啸、洪水、火灾、停电、瘟疫；</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b.战争、政变、恐怖主义行动、骚乱、罢工；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c.</w:t>
      </w:r>
      <w:r>
        <w:rPr>
          <w:rFonts w:hint="eastAsia" w:ascii="楷体" w:hAnsi="楷体" w:eastAsia="楷体" w:cs="楷体"/>
          <w:b w:val="0"/>
          <w:bCs w:val="0"/>
          <w:szCs w:val="21"/>
          <w:u w:val="none"/>
          <w:lang w:val="en-US" w:eastAsia="zh-CN"/>
        </w:rPr>
        <w:t>新的</w:t>
      </w:r>
      <w:r>
        <w:rPr>
          <w:rFonts w:hint="eastAsia" w:ascii="楷体" w:hAnsi="楷体" w:eastAsia="楷体" w:cs="楷体"/>
          <w:b w:val="0"/>
          <w:bCs w:val="0"/>
          <w:szCs w:val="21"/>
          <w:u w:val="none"/>
        </w:rPr>
        <w:t>适用法律或国家政策的颁布或实施、对原适用法律或国家政策的新修改；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d.金融管理部门强制要求终止理财产品（该等要求不可归咎于任何一方）；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e.因理财产品各方和/或其关联方运营网络系统遭受黑客攻击、电信部门技术调整或故障等原因而造成的理财产品各方和/或其关联方之服务、营业的中断或者延迟。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（七）其他</w:t>
      </w:r>
    </w:p>
    <w:p>
      <w:pPr>
        <w:spacing w:line="360" w:lineRule="auto"/>
        <w:ind w:firstLine="422" w:firstLineChars="200"/>
        <w:contextualSpacing/>
        <w:rPr>
          <w:rFonts w:hint="eastAsia" w:ascii="楷体_GB2312" w:hAnsi="宋体" w:eastAsia="楷体_GB2312"/>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pacing w:val="6"/>
          <w:szCs w:val="21"/>
          <w:u w:val="none"/>
        </w:rPr>
        <w:t>适用法</w:t>
      </w:r>
      <w:r>
        <w:rPr>
          <w:rFonts w:hint="eastAsia" w:ascii="楷体" w:hAnsi="楷体" w:eastAsia="楷体" w:cs="楷体"/>
          <w:b/>
          <w:bCs/>
          <w:spacing w:val="23"/>
          <w:sz w:val="21"/>
          <w:szCs w:val="21"/>
          <w:u w:val="none"/>
        </w:rPr>
        <w:t>律：</w:t>
      </w:r>
      <w:r>
        <w:rPr>
          <w:rFonts w:hint="eastAsia" w:ascii="楷体" w:hAnsi="楷体" w:eastAsia="楷体" w:cs="楷体"/>
          <w:b w:val="0"/>
          <w:bCs w:val="0"/>
          <w:szCs w:val="21"/>
          <w:u w:val="none"/>
        </w:rPr>
        <w:t>指在理财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三</w:t>
      </w:r>
      <w:r>
        <w:rPr>
          <w:rFonts w:ascii="楷体" w:hAnsi="楷体" w:eastAsia="楷体"/>
          <w:sz w:val="28"/>
          <w:szCs w:val="28"/>
          <w:u w:val="none"/>
        </w:rPr>
        <w:t>、</w:t>
      </w:r>
      <w:r>
        <w:rPr>
          <w:rFonts w:hint="eastAsia" w:ascii="楷体" w:hAnsi="楷体" w:eastAsia="楷体"/>
          <w:sz w:val="28"/>
          <w:szCs w:val="28"/>
          <w:u w:val="none"/>
        </w:rPr>
        <w:t>产品概述</w:t>
      </w:r>
    </w:p>
    <w:tbl>
      <w:tblPr>
        <w:tblStyle w:val="31"/>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76"/>
        <w:gridCol w:w="6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cs="Times New Roman"/>
                <w:b/>
                <w:bCs/>
                <w:u w:val="none"/>
              </w:rPr>
            </w:pPr>
            <w:r>
              <w:rPr>
                <w:rFonts w:hint="eastAsia" w:ascii="楷体" w:hAnsi="楷体" w:eastAsia="楷体" w:cs="Times New Roman"/>
                <w:b/>
                <w:bCs/>
                <w:u w:val="none"/>
                <w:lang w:val="en-US" w:eastAsia="zh-CN"/>
              </w:rPr>
              <w:t>理财</w:t>
            </w:r>
            <w:r>
              <w:rPr>
                <w:rFonts w:hint="eastAsia" w:ascii="楷体" w:hAnsi="楷体" w:eastAsia="楷体" w:cs="Times New Roman"/>
                <w:b/>
                <w:bCs/>
                <w:u w:val="none"/>
              </w:rPr>
              <w:t>产品名称</w:t>
            </w:r>
          </w:p>
        </w:tc>
        <w:tc>
          <w:tcPr>
            <w:tcW w:w="6146" w:type="dxa"/>
          </w:tcPr>
          <w:p>
            <w:pPr>
              <w:rPr>
                <w:rFonts w:ascii="楷体" w:hAnsi="楷体" w:eastAsia="楷体"/>
                <w:b w:val="0"/>
                <w:bCs w:val="0"/>
                <w:u w:val="none"/>
              </w:rPr>
            </w:pPr>
            <w:r>
              <w:rPr>
                <w:rFonts w:hint="eastAsia" w:ascii="楷体" w:hAnsi="楷体" w:eastAsia="楷体"/>
                <w:b w:val="0"/>
                <w:bCs w:val="0"/>
                <w:color w:val="auto"/>
                <w:u w:val="none"/>
                <w:lang w:eastAsia="zh-CN"/>
              </w:rPr>
              <w:t>【上银理财“易享利”系列开放式(3个月持有期)理财产品WPEK24M0308期】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Times New Roman"/>
                <w:b/>
                <w:bCs/>
                <w:u w:val="none"/>
                <w:lang w:val="en-US" w:eastAsia="zh-CN"/>
              </w:rPr>
            </w:pPr>
            <w:r>
              <w:rPr>
                <w:rFonts w:hint="eastAsia" w:ascii="楷体" w:hAnsi="楷体" w:eastAsia="楷体" w:cs="Times New Roman"/>
                <w:b/>
                <w:bCs/>
                <w:u w:val="none"/>
              </w:rPr>
              <w:t>产品</w:t>
            </w:r>
            <w:r>
              <w:rPr>
                <w:rFonts w:hint="eastAsia" w:ascii="楷体" w:hAnsi="楷体" w:eastAsia="楷体" w:cs="Times New Roman"/>
                <w:b/>
                <w:bCs/>
                <w:u w:val="none"/>
                <w:lang w:val="en-US" w:eastAsia="zh-CN"/>
              </w:rPr>
              <w:t>销售名称</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【上银理财易享利-90天持有期8号B】</w:t>
            </w:r>
            <w:r>
              <w:rPr>
                <w:rFonts w:hint="eastAsia" w:ascii="楷体" w:hAnsi="楷体" w:eastAsia="楷体"/>
                <w:b w:val="0"/>
                <w:bCs w:val="0"/>
                <w:color w:val="auto"/>
                <w:u w:val="none"/>
                <w:lang w:val="en-US" w:eastAsia="zh-CN"/>
              </w:rPr>
              <w:t>，</w:t>
            </w:r>
          </w:p>
          <w:p>
            <w:pPr>
              <w:rPr>
                <w:rFonts w:hint="eastAsia" w:ascii="楷体" w:hAnsi="楷体" w:eastAsia="楷体"/>
                <w:b w:val="0"/>
                <w:bCs w:val="0"/>
                <w:u w:val="none"/>
                <w:lang w:val="en-US" w:eastAsia="zh-CN"/>
              </w:rPr>
            </w:pPr>
            <w:r>
              <w:rPr>
                <w:rFonts w:hint="eastAsia" w:ascii="楷体" w:hAnsi="楷体" w:eastAsia="楷体"/>
                <w:b w:val="0"/>
                <w:bCs w:val="0"/>
                <w:color w:val="auto"/>
                <w:u w:val="none"/>
                <w:lang w:val="en-US" w:eastAsia="zh-CN"/>
              </w:rPr>
              <w:t>适用于</w:t>
            </w:r>
            <w:r>
              <w:rPr>
                <w:rFonts w:hint="eastAsia" w:ascii="楷体" w:hAnsi="楷体" w:eastAsia="楷体"/>
                <w:b w:val="0"/>
                <w:bCs w:val="0"/>
                <w:color w:val="auto"/>
                <w:u w:val="none"/>
                <w:lang w:eastAsia="zh-CN"/>
              </w:rPr>
              <w:t>【B】</w:t>
            </w:r>
            <w:r>
              <w:rPr>
                <w:rFonts w:hint="eastAsia" w:ascii="楷体" w:hAnsi="楷体" w:eastAsia="楷体"/>
                <w:b w:val="0"/>
                <w:bCs w:val="0"/>
                <w:color w:val="auto"/>
                <w:u w:val="none"/>
                <w:lang w:val="en-US" w:eastAsia="zh-CN"/>
              </w:rPr>
              <w:t>类份额</w:t>
            </w:r>
            <w:r>
              <w:rPr>
                <w:rFonts w:hint="eastAsia" w:ascii="楷体" w:hAnsi="楷体" w:eastAsia="楷体"/>
                <w:b w:val="0"/>
                <w:bCs w:val="0"/>
                <w:u w:val="none"/>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b/>
                <w:bCs/>
                <w:u w:val="none"/>
              </w:rPr>
            </w:pPr>
            <w:r>
              <w:rPr>
                <w:rFonts w:ascii="楷体" w:hAnsi="楷体" w:eastAsia="楷体"/>
                <w:b/>
                <w:bCs/>
                <w:u w:val="none"/>
              </w:rPr>
              <w:t>产品</w:t>
            </w:r>
            <w:r>
              <w:rPr>
                <w:rFonts w:hint="eastAsia" w:ascii="楷体" w:hAnsi="楷体" w:eastAsia="楷体"/>
                <w:b/>
                <w:bCs/>
                <w:u w:val="none"/>
                <w:lang w:val="en-US" w:eastAsia="zh-CN"/>
              </w:rPr>
              <w:t>登记</w:t>
            </w:r>
            <w:r>
              <w:rPr>
                <w:rFonts w:ascii="楷体" w:hAnsi="楷体" w:eastAsia="楷体"/>
                <w:b/>
                <w:bCs/>
                <w:u w:val="none"/>
              </w:rPr>
              <w:t>编码</w:t>
            </w:r>
          </w:p>
        </w:tc>
        <w:tc>
          <w:tcPr>
            <w:tcW w:w="6146" w:type="dxa"/>
            <w:vAlign w:val="center"/>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【Z7007124000362】</w:t>
            </w:r>
          </w:p>
          <w:p>
            <w:pPr>
              <w:jc w:val="both"/>
              <w:rPr>
                <w:rFonts w:ascii="楷体" w:hAnsi="楷体" w:eastAsia="楷体"/>
                <w:b w:val="0"/>
                <w:bCs w:val="0"/>
                <w:color w:val="auto"/>
                <w:u w:val="none"/>
              </w:rPr>
            </w:pPr>
            <w:r>
              <w:rPr>
                <w:rFonts w:hint="eastAsia" w:ascii="楷体" w:hAnsi="楷体" w:eastAsia="楷体"/>
                <w:b w:val="0"/>
                <w:bCs w:val="0"/>
                <w:color w:val="auto"/>
                <w:szCs w:val="22"/>
                <w:u w:val="none"/>
                <w:lang w:val="en-US" w:eastAsia="zh-CN" w:bidi="ar"/>
              </w:rPr>
              <w:t>本理财产品在全国银行业理财信息登记系统对理财产品进行信息登记后，由全国银行业理财信息登记系统发放的唯一性的理财产品编码。投资者可依据登记编码在中国理财网（</w:t>
            </w:r>
            <w:r>
              <w:rPr>
                <w:rFonts w:ascii="楷体" w:hAnsi="楷体" w:eastAsia="楷体"/>
                <w:b w:val="0"/>
                <w:bCs w:val="0"/>
                <w:color w:val="auto"/>
                <w:u w:val="none"/>
              </w:rPr>
              <w:t>www.chinawealth.com.cn</w:t>
            </w:r>
            <w:r>
              <w:rPr>
                <w:rFonts w:hint="eastAsia" w:ascii="楷体" w:hAnsi="楷体" w:eastAsia="楷体"/>
                <w:b w:val="0"/>
                <w:bCs w:val="0"/>
                <w:color w:val="auto"/>
                <w:szCs w:val="22"/>
                <w:u w:val="none"/>
                <w:lang w:val="en-US" w:eastAsia="zh-CN" w:bidi="ar"/>
              </w:rPr>
              <w:t>）查询产品信息。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产品代码</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【WPEK24M0308】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销售</w:t>
            </w:r>
            <w:r>
              <w:rPr>
                <w:rFonts w:hint="eastAsia" w:ascii="楷体" w:hAnsi="楷体" w:eastAsia="楷体" w:cs="Times New Roman"/>
                <w:b/>
                <w:bCs/>
                <w:u w:val="none"/>
              </w:rPr>
              <w:t>代码</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【B】</w:t>
            </w:r>
            <w:r>
              <w:rPr>
                <w:rFonts w:hint="eastAsia" w:ascii="楷体" w:hAnsi="楷体" w:eastAsia="楷体"/>
                <w:b w:val="0"/>
                <w:bCs w:val="0"/>
                <w:color w:val="auto"/>
                <w:u w:val="none"/>
                <w:lang w:val="en-US" w:eastAsia="zh-CN"/>
              </w:rPr>
              <w:t>类份额，</w:t>
            </w:r>
            <w:r>
              <w:rPr>
                <w:rFonts w:hint="eastAsia" w:ascii="楷体" w:hAnsi="楷体" w:eastAsia="楷体"/>
                <w:b w:val="0"/>
                <w:bCs w:val="0"/>
                <w:color w:val="auto"/>
                <w:u w:val="none"/>
                <w:lang w:eastAsia="zh-CN"/>
              </w:rPr>
              <w:t>【WPEK24M0308B】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u w:val="none"/>
              </w:rPr>
            </w:pPr>
            <w:r>
              <w:rPr>
                <w:rFonts w:hint="eastAsia" w:ascii="楷体" w:hAnsi="楷体" w:eastAsia="楷体"/>
                <w:b/>
                <w:bCs/>
                <w:u w:val="none"/>
                <w:lang w:val="en-US" w:eastAsia="zh-CN"/>
              </w:rPr>
              <w:t>产品份额类别</w:t>
            </w:r>
          </w:p>
        </w:tc>
        <w:tc>
          <w:tcPr>
            <w:tcW w:w="6146" w:type="dxa"/>
            <w:vAlign w:val="top"/>
          </w:tcPr>
          <w:p>
            <w:pPr>
              <w:keepNext w:val="0"/>
              <w:keepLines w:val="0"/>
              <w:widowControl/>
              <w:numPr>
                <w:ilvl w:val="0"/>
                <w:numId w:val="7"/>
              </w:numPr>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本产品根据投资者购买理财产品的金额、投资者类型、</w:t>
            </w:r>
            <w:r>
              <w:rPr>
                <w:rFonts w:hint="eastAsia" w:ascii="楷体" w:hAnsi="楷体" w:eastAsia="楷体" w:cstheme="minorBidi"/>
                <w:b w:val="0"/>
                <w:bCs w:val="0"/>
                <w:kern w:val="2"/>
                <w:sz w:val="21"/>
                <w:szCs w:val="22"/>
                <w:u w:val="none"/>
                <w:lang w:val="en-US" w:eastAsia="zh-CN" w:bidi="ar"/>
              </w:rPr>
              <w:t>销售渠道</w:t>
            </w:r>
            <w:r>
              <w:rPr>
                <w:rFonts w:hint="eastAsia" w:ascii="楷体" w:hAnsi="楷体" w:eastAsia="楷体" w:cstheme="minorBidi"/>
                <w:b w:val="0"/>
                <w:bCs w:val="0"/>
                <w:color w:val="auto"/>
                <w:kern w:val="2"/>
                <w:sz w:val="21"/>
                <w:szCs w:val="22"/>
                <w:u w:val="none"/>
                <w:lang w:val="en-US" w:eastAsia="zh-CN" w:bidi="ar"/>
              </w:rPr>
              <w:t>等因素，对投资者所持有的理财产品份额设置不同的理财产品份额类别。</w:t>
            </w:r>
          </w:p>
          <w:p>
            <w:pPr>
              <w:keepNext w:val="0"/>
              <w:keepLines w:val="0"/>
              <w:widowControl/>
              <w:suppressLineNumbers w:val="0"/>
              <w:jc w:val="left"/>
              <w:rPr>
                <w:rFonts w:hint="eastAsia" w:ascii="楷体" w:hAnsi="楷体" w:eastAsia="楷体"/>
                <w:b w:val="0"/>
                <w:bCs w:val="0"/>
                <w:u w:val="none"/>
              </w:rPr>
            </w:pPr>
            <w:r>
              <w:rPr>
                <w:rFonts w:hint="eastAsia" w:ascii="楷体" w:hAnsi="楷体" w:eastAsia="楷体" w:cstheme="minorBidi"/>
                <w:b w:val="0"/>
                <w:bCs w:val="0"/>
                <w:kern w:val="2"/>
                <w:sz w:val="21"/>
                <w:szCs w:val="22"/>
                <w:u w:val="none"/>
                <w:lang w:val="en-US" w:eastAsia="zh-CN" w:bidi="ar"/>
              </w:rPr>
              <w:t>2、</w:t>
            </w:r>
            <w:r>
              <w:rPr>
                <w:rFonts w:hint="eastAsia" w:ascii="楷体" w:hAnsi="楷体" w:eastAsia="楷体" w:cstheme="minorBidi"/>
                <w:b w:val="0"/>
                <w:bCs w:val="0"/>
                <w:color w:val="auto"/>
                <w:kern w:val="2"/>
                <w:sz w:val="21"/>
                <w:szCs w:val="22"/>
                <w:u w:val="none"/>
                <w:lang w:val="en-US" w:eastAsia="zh-CN" w:bidi="ar"/>
              </w:rPr>
              <w:t>本产品设置不同的理财产品份额，每类理财产品份额</w:t>
            </w:r>
            <w:r>
              <w:rPr>
                <w:rFonts w:hint="eastAsia" w:ascii="楷体" w:hAnsi="楷体" w:eastAsia="楷体" w:cstheme="minorBidi"/>
                <w:b w:val="0"/>
                <w:bCs w:val="0"/>
                <w:kern w:val="2"/>
                <w:sz w:val="21"/>
                <w:szCs w:val="22"/>
                <w:u w:val="none"/>
                <w:lang w:val="en-US" w:eastAsia="zh-CN" w:bidi="ar"/>
              </w:rPr>
              <w:t>以下内容将可能</w:t>
            </w:r>
            <w:r>
              <w:rPr>
                <w:rFonts w:hint="eastAsia" w:ascii="楷体" w:hAnsi="楷体" w:eastAsia="楷体" w:cstheme="minorBidi"/>
                <w:b w:val="0"/>
                <w:bCs w:val="0"/>
                <w:color w:val="auto"/>
                <w:kern w:val="2"/>
                <w:sz w:val="21"/>
                <w:szCs w:val="22"/>
                <w:u w:val="none"/>
                <w:lang w:val="en-US" w:eastAsia="zh-CN" w:bidi="ar"/>
              </w:rPr>
              <w:t>单独设置：</w:t>
            </w:r>
          </w:p>
          <w:p>
            <w:pPr>
              <w:keepNext w:val="0"/>
              <w:keepLines w:val="0"/>
              <w:widowControl/>
              <w:suppressLineNumbers w:val="0"/>
              <w:jc w:val="left"/>
              <w:rPr>
                <w:rFonts w:hint="eastAsia" w:ascii="楷体" w:hAnsi="楷体" w:eastAsia="楷体"/>
                <w:b w:val="0"/>
                <w:bCs w:val="0"/>
                <w:color w:val="auto"/>
                <w:u w:val="none"/>
                <w:lang w:bidi="ar"/>
              </w:rPr>
            </w:pPr>
            <w:r>
              <w:rPr>
                <w:rFonts w:hint="eastAsia" w:ascii="楷体" w:hAnsi="楷体" w:eastAsia="楷体" w:cstheme="minorBidi"/>
                <w:b w:val="0"/>
                <w:bCs w:val="0"/>
                <w:color w:val="auto"/>
                <w:kern w:val="2"/>
                <w:sz w:val="21"/>
                <w:szCs w:val="22"/>
                <w:u w:val="none"/>
                <w:lang w:val="en-US" w:eastAsia="zh-CN" w:bidi="ar"/>
              </w:rPr>
              <w:t>（1）产品销售名称</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（2）销售代码</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（3）销售机构</w:t>
            </w:r>
          </w:p>
          <w:p>
            <w:pPr>
              <w:keepNext w:val="0"/>
              <w:keepLines w:val="0"/>
              <w:widowControl/>
              <w:suppressLineNumbers w:val="0"/>
              <w:jc w:val="left"/>
              <w:rPr>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（4）发售对象</w:t>
            </w:r>
          </w:p>
          <w:p>
            <w:pPr>
              <w:keepNext w:val="0"/>
              <w:keepLines w:val="0"/>
              <w:widowControl/>
              <w:suppressLineNumbers w:val="0"/>
              <w:jc w:val="left"/>
              <w:rPr>
                <w:rFonts w:hint="eastAsia"/>
                <w:b w:val="0"/>
                <w:bCs w:val="0"/>
                <w:color w:val="auto"/>
                <w:highlight w:val="none"/>
                <w:u w:val="none"/>
                <w:lang w:val="en-US" w:eastAsia="zh-CN"/>
              </w:rPr>
            </w:pPr>
            <w:r>
              <w:rPr>
                <w:rFonts w:hint="eastAsia" w:ascii="楷体" w:hAnsi="楷体" w:eastAsia="楷体" w:cstheme="minorBidi"/>
                <w:b w:val="0"/>
                <w:bCs w:val="0"/>
                <w:color w:val="auto"/>
                <w:kern w:val="2"/>
                <w:sz w:val="21"/>
                <w:szCs w:val="22"/>
                <w:highlight w:val="none"/>
                <w:u w:val="none"/>
                <w:lang w:val="en-US" w:eastAsia="zh-CN" w:bidi="ar"/>
              </w:rPr>
              <w:t>（5）费率设置</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（6）收费方式</w:t>
            </w:r>
          </w:p>
          <w:p>
            <w:pPr>
              <w:keepNext w:val="0"/>
              <w:keepLines w:val="0"/>
              <w:widowControl/>
              <w:suppressLineNumbers w:val="0"/>
              <w:jc w:val="left"/>
              <w:rPr>
                <w:rFonts w:hint="default"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（7）业绩比较基准</w:t>
            </w:r>
          </w:p>
          <w:p>
            <w:pPr>
              <w:keepNext w:val="0"/>
              <w:keepLines w:val="0"/>
              <w:widowControl/>
              <w:suppressLineNumbers w:val="0"/>
              <w:jc w:val="left"/>
              <w:rPr>
                <w:rFonts w:hint="eastAsia"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（8）销售起点金额及递增金额（认购、申购的起点金额）</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（9）投资者认购、申购和赎回的数量限制</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（10）投资者持有本产品的最高限额、最低限额</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（11）产品规模上限</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（12）分别计算和公告产品份额净值</w:t>
            </w:r>
          </w:p>
          <w:p>
            <w:pPr>
              <w:keepNext w:val="0"/>
              <w:keepLines w:val="0"/>
              <w:widowControl/>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w:t>
            </w:r>
            <w:r>
              <w:rPr>
                <w:rFonts w:hint="eastAsia" w:ascii="楷体" w:hAnsi="楷体" w:eastAsia="楷体" w:cstheme="minorBidi"/>
                <w:b w:val="0"/>
                <w:bCs w:val="0"/>
                <w:kern w:val="2"/>
                <w:sz w:val="21"/>
                <w:szCs w:val="22"/>
                <w:u w:val="none"/>
                <w:lang w:val="en-US" w:eastAsia="zh-CN" w:bidi="ar"/>
              </w:rPr>
              <w:t>、</w:t>
            </w:r>
            <w:r>
              <w:rPr>
                <w:rFonts w:hint="eastAsia" w:ascii="楷体" w:hAnsi="楷体" w:eastAsia="楷体" w:cstheme="minorBidi"/>
                <w:b w:val="0"/>
                <w:bCs w:val="0"/>
                <w:color w:val="auto"/>
                <w:kern w:val="2"/>
                <w:sz w:val="21"/>
                <w:szCs w:val="22"/>
                <w:u w:val="none"/>
                <w:lang w:val="en-US" w:eastAsia="zh-CN" w:bidi="ar"/>
              </w:rPr>
              <w:t>投资者可根据实际情况自行选择认购的产品份额类别。</w:t>
            </w:r>
          </w:p>
          <w:p>
            <w:pPr>
              <w:keepNext w:val="0"/>
              <w:keepLines w:val="0"/>
              <w:widowControl/>
              <w:suppressLineNumbers w:val="0"/>
              <w:jc w:val="left"/>
              <w:rPr>
                <w:rFonts w:hint="default" w:ascii="楷体" w:hAnsi="楷体" w:eastAsia="楷体"/>
                <w:b w:val="0"/>
                <w:bCs w:val="0"/>
                <w:u w:val="none"/>
                <w:lang w:bidi="ar"/>
              </w:rPr>
            </w:pPr>
            <w:r>
              <w:rPr>
                <w:rFonts w:hint="eastAsia" w:ascii="楷体" w:hAnsi="楷体" w:eastAsia="楷体" w:cstheme="minorBidi"/>
                <w:b w:val="0"/>
                <w:bCs w:val="0"/>
                <w:kern w:val="2"/>
                <w:sz w:val="21"/>
                <w:szCs w:val="22"/>
                <w:u w:val="none"/>
                <w:lang w:val="en-US" w:eastAsia="zh-CN" w:bidi="ar"/>
              </w:rPr>
              <w:t>4、管理人有权根据实际情况增加新的产品份额类别、停止现有产品份额类别的销售、调整产品份额类别设置或对份额分类方法及规则进行调整。如有调整，以管理人公告为准。</w:t>
            </w:r>
          </w:p>
          <w:p>
            <w:pPr>
              <w:widowControl/>
              <w:jc w:val="left"/>
              <w:rPr>
                <w:rFonts w:hint="eastAsia" w:ascii="楷体" w:hAnsi="楷体" w:eastAsia="楷体"/>
                <w:b w:val="0"/>
                <w:bCs w:val="0"/>
                <w:color w:val="C00000"/>
                <w:u w:val="none"/>
                <w:lang w:val="en-US" w:eastAsia="zh-CN"/>
              </w:rPr>
            </w:pPr>
            <w:r>
              <w:rPr>
                <w:rFonts w:hint="eastAsia" w:ascii="楷体" w:hAnsi="楷体" w:eastAsia="楷体" w:cstheme="minorBidi"/>
                <w:b w:val="0"/>
                <w:bCs w:val="0"/>
                <w:color w:val="auto"/>
                <w:kern w:val="2"/>
                <w:sz w:val="21"/>
                <w:szCs w:val="22"/>
                <w:u w:val="none"/>
                <w:lang w:val="en-US" w:eastAsia="zh-CN" w:bidi="ar"/>
              </w:rPr>
              <w:t>注：本《产品说明书》所列示产品份额类别仅为本产品项下某</w:t>
            </w:r>
            <w:r>
              <w:rPr>
                <w:rFonts w:hint="eastAsia" w:ascii="楷体" w:hAnsi="楷体" w:eastAsia="楷体" w:cstheme="minorBidi"/>
                <w:b w:val="0"/>
                <w:bCs w:val="0"/>
                <w:kern w:val="2"/>
                <w:sz w:val="21"/>
                <w:szCs w:val="22"/>
                <w:u w:val="none"/>
                <w:lang w:val="en-US" w:eastAsia="zh-CN" w:bidi="ar"/>
              </w:rPr>
              <w:t>一</w:t>
            </w:r>
            <w:r>
              <w:rPr>
                <w:rFonts w:hint="eastAsia" w:ascii="楷体" w:hAnsi="楷体" w:eastAsia="楷体" w:cstheme="minorBidi"/>
                <w:b w:val="0"/>
                <w:bCs w:val="0"/>
                <w:color w:val="auto"/>
                <w:kern w:val="2"/>
                <w:sz w:val="21"/>
                <w:szCs w:val="22"/>
                <w:u w:val="none"/>
                <w:lang w:val="en-US" w:eastAsia="zh-CN" w:bidi="ar"/>
              </w:rPr>
              <w:t>类或某几类产品份额。其他类别的产品份额情况以产品管理人披露为准。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heme="minorBidi"/>
                <w:b/>
                <w:bCs/>
                <w:kern w:val="2"/>
                <w:sz w:val="21"/>
                <w:szCs w:val="22"/>
                <w:u w:val="none"/>
                <w:lang w:val="en-US" w:eastAsia="zh-CN" w:bidi="ar-SA"/>
              </w:rPr>
            </w:pPr>
            <w:r>
              <w:rPr>
                <w:rFonts w:hint="eastAsia" w:ascii="楷体" w:hAnsi="楷体" w:eastAsia="楷体"/>
                <w:b/>
                <w:bCs/>
                <w:u w:val="none"/>
              </w:rPr>
              <w:t>募集方式</w:t>
            </w:r>
          </w:p>
        </w:tc>
        <w:tc>
          <w:tcPr>
            <w:tcW w:w="6146" w:type="dxa"/>
            <w:vAlign w:val="top"/>
          </w:tcPr>
          <w:p>
            <w:pPr>
              <w:rPr>
                <w:rFonts w:hint="eastAsia" w:ascii="楷体" w:hAnsi="楷体" w:eastAsia="楷体" w:cstheme="minorBidi"/>
                <w:b w:val="0"/>
                <w:bCs w:val="0"/>
                <w:color w:val="auto"/>
                <w:kern w:val="2"/>
                <w:sz w:val="21"/>
                <w:szCs w:val="22"/>
                <w:u w:val="none"/>
                <w:lang w:val="en-US" w:eastAsia="zh-CN" w:bidi="ar-SA"/>
              </w:rPr>
            </w:pPr>
            <w:r>
              <w:rPr>
                <w:rFonts w:hint="eastAsia" w:ascii="楷体" w:hAnsi="楷体" w:eastAsia="楷体"/>
                <w:b w:val="0"/>
                <w:bCs w:val="0"/>
                <w:color w:val="auto"/>
                <w:u w:val="none"/>
              </w:rPr>
              <w:t>公募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产品运作方式</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开放式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rPr>
              <w:t>产品</w:t>
            </w:r>
            <w:r>
              <w:rPr>
                <w:rFonts w:hint="eastAsia" w:ascii="楷体" w:hAnsi="楷体" w:eastAsia="楷体"/>
                <w:b/>
                <w:bCs/>
                <w:u w:val="none"/>
                <w:lang w:val="en-US" w:eastAsia="zh-CN"/>
              </w:rPr>
              <w:t>类型</w:t>
            </w:r>
          </w:p>
        </w:tc>
        <w:tc>
          <w:tcPr>
            <w:tcW w:w="6146" w:type="dxa"/>
            <w:vAlign w:val="top"/>
          </w:tcPr>
          <w:p>
            <w:pPr>
              <w:rPr>
                <w:rFonts w:hint="eastAsia" w:ascii="楷体" w:hAnsi="楷体" w:eastAsia="楷体"/>
                <w:b/>
                <w:bCs/>
                <w:color w:val="auto"/>
                <w:u w:val="none"/>
              </w:rPr>
            </w:pPr>
            <w:r>
              <w:rPr>
                <w:rFonts w:hint="eastAsia" w:ascii="楷体" w:hAnsi="楷体" w:eastAsia="楷体"/>
                <w:b/>
                <w:bCs/>
                <w:color w:val="auto"/>
                <w:u w:val="none"/>
              </w:rPr>
              <w:t>固定收益类</w:t>
            </w:r>
          </w:p>
          <w:p>
            <w:pPr>
              <w:rPr>
                <w:rFonts w:hint="eastAsia" w:ascii="楷体" w:hAnsi="楷体" w:eastAsia="楷体"/>
                <w:b/>
                <w:bCs/>
                <w:color w:val="auto"/>
                <w:u w:val="none"/>
                <w:lang w:val="en-US" w:eastAsia="zh-CN"/>
              </w:rPr>
            </w:pPr>
            <w:r>
              <w:rPr>
                <w:rFonts w:hint="eastAsia" w:ascii="楷体" w:hAnsi="楷体" w:eastAsia="楷体"/>
              </w:rPr>
              <w:t>固定收益类理财产品</w:t>
            </w:r>
            <w:r>
              <w:rPr>
                <w:rFonts w:hint="eastAsia" w:ascii="楷体" w:hAnsi="楷体" w:eastAsia="楷体"/>
                <w:lang w:val="en-US" w:eastAsia="zh-CN"/>
              </w:rPr>
              <w:t>是</w:t>
            </w:r>
            <w:r>
              <w:rPr>
                <w:rFonts w:hint="eastAsia" w:ascii="楷体" w:hAnsi="楷体" w:eastAsia="楷体"/>
              </w:rPr>
              <w:t>指投资于存款、债券等债权类资产的比例不低于80%的理财产品。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lang w:val="en-US" w:eastAsia="zh-CN"/>
              </w:rPr>
              <w:t>产品</w:t>
            </w:r>
            <w:r>
              <w:rPr>
                <w:rFonts w:hint="eastAsia" w:ascii="楷体" w:hAnsi="楷体" w:eastAsia="楷体"/>
                <w:b/>
                <w:bCs/>
                <w:u w:val="none"/>
              </w:rPr>
              <w:t>收益类型</w:t>
            </w:r>
          </w:p>
        </w:tc>
        <w:tc>
          <w:tcPr>
            <w:tcW w:w="6146" w:type="dxa"/>
            <w:vAlign w:val="top"/>
          </w:tcPr>
          <w:p>
            <w:pPr>
              <w:rPr>
                <w:rFonts w:hint="eastAsia" w:ascii="楷体" w:hAnsi="楷体" w:eastAsia="楷体" w:cstheme="minorBidi"/>
                <w:b/>
                <w:bCs/>
                <w:color w:val="auto"/>
                <w:kern w:val="2"/>
                <w:sz w:val="21"/>
                <w:szCs w:val="22"/>
                <w:u w:val="none"/>
                <w:lang w:val="en-US" w:eastAsia="zh-CN" w:bidi="ar-SA"/>
              </w:rPr>
            </w:pPr>
            <w:r>
              <w:rPr>
                <w:rFonts w:hint="eastAsia" w:ascii="楷体" w:hAnsi="楷体" w:eastAsia="楷体"/>
                <w:b/>
                <w:bCs/>
                <w:color w:val="C00000"/>
                <w:u w:val="none"/>
              </w:rPr>
              <w:t>非保本浮动收益型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投资及收益币种</w:t>
            </w:r>
          </w:p>
        </w:tc>
        <w:tc>
          <w:tcPr>
            <w:tcW w:w="6146" w:type="dxa"/>
            <w:vAlign w:val="top"/>
          </w:tcPr>
          <w:p>
            <w:pPr>
              <w:rPr>
                <w:rFonts w:hint="eastAsia" w:ascii="楷体" w:hAnsi="楷体" w:eastAsia="楷体"/>
                <w:b/>
                <w:bCs/>
                <w:color w:val="auto"/>
                <w:u w:val="none"/>
                <w:lang w:eastAsia="zh-CN"/>
              </w:rPr>
            </w:pPr>
            <w:r>
              <w:rPr>
                <w:rFonts w:hint="eastAsia" w:ascii="楷体" w:hAnsi="楷体" w:eastAsia="楷体"/>
                <w:b w:val="0"/>
                <w:bCs w:val="0"/>
                <w:color w:val="auto"/>
                <w:u w:val="none"/>
              </w:rPr>
              <w:t>人民币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产品风险评级</w:t>
            </w:r>
          </w:p>
        </w:tc>
        <w:tc>
          <w:tcPr>
            <w:tcW w:w="6146" w:type="dxa"/>
            <w:vAlign w:val="top"/>
          </w:tcPr>
          <w:p>
            <w:pPr>
              <w:rPr>
                <w:rFonts w:hint="eastAsia" w:ascii="楷体" w:hAnsi="楷体" w:eastAsia="楷体"/>
                <w:b/>
                <w:bCs/>
                <w:u w:val="none"/>
              </w:rPr>
            </w:pPr>
            <w:r>
              <w:rPr>
                <w:rFonts w:hint="eastAsia" w:ascii="楷体" w:hAnsi="楷体" w:eastAsia="楷体"/>
                <w:b w:val="0"/>
                <w:bCs w:val="0"/>
                <w:u w:val="none"/>
              </w:rPr>
              <w:t>本产品管理人内部评级为</w:t>
            </w:r>
            <w:r>
              <w:rPr>
                <w:rFonts w:hint="eastAsia" w:ascii="楷体" w:hAnsi="楷体" w:eastAsia="楷体"/>
                <w:b/>
                <w:bCs/>
                <w:color w:val="C00000"/>
                <w:u w:val="none"/>
              </w:rPr>
              <w:t>中低风险（二级风险）</w:t>
            </w:r>
            <w:r>
              <w:rPr>
                <w:rFonts w:hint="eastAsia" w:ascii="楷体" w:hAnsi="楷体" w:eastAsia="楷体"/>
                <w:b w:val="0"/>
                <w:bCs w:val="0"/>
                <w:color w:val="auto"/>
                <w:u w:val="none"/>
                <w:lang w:eastAsia="zh-CN"/>
              </w:rPr>
              <w:t>。</w:t>
            </w:r>
            <w:r>
              <w:rPr>
                <w:rFonts w:hint="eastAsia" w:ascii="楷体" w:hAnsi="楷体" w:eastAsia="楷体"/>
                <w:b w:val="0"/>
                <w:bCs w:val="0"/>
                <w:u w:val="none"/>
                <w:lang w:val="en-US" w:eastAsia="zh-CN"/>
              </w:rPr>
              <w:t>产品</w:t>
            </w:r>
            <w:r>
              <w:rPr>
                <w:rFonts w:ascii="楷体" w:hAnsi="楷体" w:eastAsia="楷体"/>
                <w:b w:val="0"/>
                <w:bCs w:val="0"/>
                <w:u w:val="none"/>
              </w:rPr>
              <w:t>通过</w:t>
            </w:r>
            <w:r>
              <w:rPr>
                <w:rFonts w:hint="eastAsia" w:ascii="楷体" w:hAnsi="楷体" w:eastAsia="楷体"/>
                <w:b w:val="0"/>
                <w:bCs w:val="0"/>
                <w:u w:val="none"/>
              </w:rPr>
              <w:t>代理销售</w:t>
            </w:r>
            <w:r>
              <w:rPr>
                <w:rFonts w:ascii="楷体" w:hAnsi="楷体" w:eastAsia="楷体"/>
                <w:b w:val="0"/>
                <w:bCs w:val="0"/>
                <w:u w:val="none"/>
              </w:rPr>
              <w:t>机构销售的，</w:t>
            </w:r>
            <w:r>
              <w:rPr>
                <w:rFonts w:hint="eastAsia" w:ascii="楷体" w:hAnsi="楷体" w:eastAsia="楷体"/>
                <w:b w:val="0"/>
                <w:bCs w:val="0"/>
                <w:u w:val="none"/>
              </w:rPr>
              <w:t>代理销售</w:t>
            </w:r>
            <w:r>
              <w:rPr>
                <w:rFonts w:ascii="楷体" w:hAnsi="楷体" w:eastAsia="楷体"/>
                <w:b w:val="0"/>
                <w:bCs w:val="0"/>
                <w:u w:val="none"/>
              </w:rPr>
              <w:t>机构</w:t>
            </w:r>
            <w:r>
              <w:rPr>
                <w:rFonts w:hint="eastAsia" w:ascii="楷体" w:hAnsi="楷体" w:eastAsia="楷体"/>
                <w:b w:val="0"/>
                <w:bCs w:val="0"/>
                <w:u w:val="none"/>
              </w:rPr>
              <w:t>将</w:t>
            </w:r>
            <w:r>
              <w:rPr>
                <w:rFonts w:ascii="楷体" w:hAnsi="楷体" w:eastAsia="楷体"/>
                <w:b w:val="0"/>
                <w:bCs w:val="0"/>
                <w:u w:val="none"/>
              </w:rPr>
              <w:t>根据</w:t>
            </w:r>
            <w:r>
              <w:rPr>
                <w:rFonts w:hint="eastAsia" w:ascii="楷体" w:hAnsi="楷体" w:eastAsia="楷体"/>
                <w:b w:val="0"/>
                <w:bCs w:val="0"/>
                <w:u w:val="none"/>
              </w:rPr>
              <w:t>代理销售</w:t>
            </w:r>
            <w:r>
              <w:rPr>
                <w:rFonts w:ascii="楷体" w:hAnsi="楷体" w:eastAsia="楷体"/>
                <w:b w:val="0"/>
                <w:bCs w:val="0"/>
                <w:u w:val="none"/>
              </w:rPr>
              <w:t>机构的方式和方法，独立、审慎地对代理销售的本理财</w:t>
            </w:r>
            <w:r>
              <w:rPr>
                <w:rFonts w:hint="eastAsia" w:ascii="楷体" w:hAnsi="楷体" w:eastAsia="楷体"/>
                <w:b w:val="0"/>
                <w:bCs w:val="0"/>
                <w:u w:val="none"/>
              </w:rPr>
              <w:t>产品</w:t>
            </w:r>
            <w:r>
              <w:rPr>
                <w:rFonts w:ascii="楷体" w:hAnsi="楷体" w:eastAsia="楷体"/>
                <w:b w:val="0"/>
                <w:bCs w:val="0"/>
                <w:u w:val="none"/>
              </w:rPr>
              <w:t>进行销售评级，销售评级与管理人评级结果不一致的，</w:t>
            </w:r>
            <w:r>
              <w:rPr>
                <w:rFonts w:hint="eastAsia" w:ascii="楷体" w:hAnsi="楷体" w:eastAsia="楷体"/>
                <w:b w:val="0"/>
                <w:bCs w:val="0"/>
                <w:u w:val="none"/>
              </w:rPr>
              <w:t>代理销售机构将采用对应较高风险等级的评级结果并予以披露，本理财产品的</w:t>
            </w:r>
            <w:r>
              <w:rPr>
                <w:rFonts w:ascii="楷体" w:hAnsi="楷体" w:eastAsia="楷体"/>
                <w:b w:val="0"/>
                <w:bCs w:val="0"/>
                <w:u w:val="none"/>
              </w:rPr>
              <w:t>最终</w:t>
            </w:r>
            <w:r>
              <w:rPr>
                <w:rFonts w:hint="eastAsia" w:ascii="楷体" w:hAnsi="楷体" w:eastAsia="楷体"/>
                <w:b w:val="0"/>
                <w:bCs w:val="0"/>
                <w:u w:val="none"/>
              </w:rPr>
              <w:t>评级以代理销售机构最终披露的评级结果为准。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lang w:val="en-US" w:eastAsia="zh-CN"/>
              </w:rPr>
              <w:t>销售对象</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本产品适合以下类型投资者：</w:t>
            </w:r>
          </w:p>
          <w:p>
            <w:pPr>
              <w:rPr>
                <w:rFonts w:hint="eastAsia" w:ascii="楷体" w:hAnsi="楷体" w:eastAsia="楷体" w:cs="Times New Roman"/>
                <w:b w:val="0"/>
                <w:bCs w:val="0"/>
                <w:color w:val="auto"/>
                <w:u w:val="none"/>
                <w:lang w:val="en-US" w:eastAsia="zh-CN"/>
              </w:rPr>
            </w:pPr>
            <w:bookmarkStart w:id="1" w:name="特殊字符7"/>
            <w:r>
              <w:rPr>
                <w:rFonts w:hint="eastAsia" w:ascii="Wingdings 2" w:hAnsi="Wingdings 2" w:eastAsia="Wingdings 2" w:cs="Wingdings 2"/>
                <w:b w:val="0"/>
                <w:bCs w:val="0"/>
                <w:color w:val="auto"/>
                <w:u w:val="none"/>
                <w:lang w:val="en-US" w:eastAsia="zh-CN"/>
              </w:rPr>
              <w:t>R</w:t>
            </w:r>
            <w:bookmarkEnd w:id="1"/>
            <w:r>
              <w:rPr>
                <w:rFonts w:hint="eastAsia" w:ascii="楷体" w:hAnsi="楷体" w:eastAsia="楷体" w:cs="Times New Roman"/>
                <w:b w:val="0"/>
                <w:bCs w:val="0"/>
                <w:color w:val="auto"/>
                <w:u w:val="none"/>
                <w:lang w:val="en-US" w:eastAsia="zh-CN"/>
              </w:rPr>
              <w:t>【个人投资者】</w:t>
            </w:r>
            <w:r>
              <w:rPr>
                <w:rFonts w:hint="eastAsia" w:ascii="楷体" w:hAnsi="楷体" w:eastAsia="楷体"/>
                <w:b w:val="0"/>
                <w:bCs w:val="0"/>
                <w:color w:val="auto"/>
                <w:u w:val="none"/>
                <w:lang w:eastAsia="zh-CN"/>
              </w:rPr>
              <w:t>【（客户风险承受能力评级为稳健型,平衡型,成长型,进取型）】</w:t>
            </w:r>
          </w:p>
          <w:p>
            <w:pPr>
              <w:rPr>
                <w:rFonts w:hint="default" w:ascii="楷体" w:hAnsi="楷体" w:eastAsia="楷体"/>
                <w:b w:val="0"/>
                <w:bCs w:val="0"/>
                <w:color w:val="auto"/>
                <w:u w:val="none"/>
                <w:lang w:val="en-US" w:eastAsia="zh-CN"/>
              </w:rPr>
            </w:pPr>
            <w:bookmarkStart w:id="2" w:name="特殊字符8"/>
            <w:r>
              <w:rPr>
                <w:rFonts w:hint="eastAsia" w:ascii="Wingdings 2" w:hAnsi="Wingdings 2" w:eastAsia="Wingdings 2" w:cs="Wingdings 2"/>
                <w:b w:val="0"/>
                <w:bCs w:val="0"/>
                <w:color w:val="auto"/>
                <w:u w:val="none"/>
                <w:lang w:val="en-US" w:eastAsia="zh-CN"/>
              </w:rPr>
              <w:t>£</w:t>
            </w:r>
            <w:bookmarkEnd w:id="2"/>
            <w:r>
              <w:rPr>
                <w:rFonts w:hint="eastAsia" w:ascii="楷体" w:hAnsi="楷体" w:eastAsia="楷体" w:cs="Times New Roman"/>
                <w:b w:val="0"/>
                <w:bCs w:val="0"/>
                <w:color w:val="auto"/>
                <w:u w:val="none"/>
                <w:lang w:val="en-US" w:eastAsia="zh-CN"/>
              </w:rPr>
              <w:t>【机构投资者】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销售场景</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val="en-US" w:eastAsia="zh-CN"/>
              </w:rPr>
              <w:t>本产品可在销售机构线上渠道或线下渠道等场景进行销售。</w:t>
            </w:r>
          </w:p>
          <w:p>
            <w:pPr>
              <w:rPr>
                <w:rFonts w:hint="eastAsia" w:ascii="楷体" w:hAnsi="楷体" w:eastAsia="楷体"/>
                <w:b w:val="0"/>
                <w:bCs w:val="0"/>
                <w:color w:val="auto"/>
                <w:u w:val="none"/>
              </w:rPr>
            </w:pPr>
            <w:r>
              <w:rPr>
                <w:rFonts w:hint="eastAsia" w:ascii="楷体" w:hAnsi="楷体" w:eastAsia="楷体"/>
                <w:b/>
                <w:bCs/>
                <w:color w:val="auto"/>
                <w:u w:val="none"/>
                <w:lang w:val="en-US" w:eastAsia="zh-CN"/>
              </w:rPr>
              <w:t>特别提示：</w:t>
            </w:r>
            <w:r>
              <w:rPr>
                <w:rFonts w:hint="eastAsia" w:ascii="楷体" w:hAnsi="楷体" w:eastAsia="楷体"/>
                <w:b w:val="0"/>
                <w:bCs w:val="0"/>
                <w:color w:val="auto"/>
                <w:u w:val="none"/>
                <w:lang w:val="en-US" w:eastAsia="zh-CN"/>
              </w:rPr>
              <w:t>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lang w:val="en-US" w:eastAsia="zh-CN"/>
              </w:rPr>
            </w:pPr>
            <w:r>
              <w:rPr>
                <w:rFonts w:hint="eastAsia" w:ascii="楷体" w:hAnsi="楷体" w:eastAsia="楷体" w:cs="楷体"/>
                <w:b/>
                <w:bCs/>
                <w:u w:val="none"/>
                <w:lang w:val="en-US" w:eastAsia="zh-CN"/>
              </w:rPr>
              <w:t>销售机构</w:t>
            </w:r>
          </w:p>
        </w:tc>
        <w:tc>
          <w:tcPr>
            <w:tcW w:w="6146" w:type="dxa"/>
            <w:vAlign w:val="top"/>
          </w:tcPr>
          <w:p>
            <w:pPr>
              <w:rPr>
                <w:rFonts w:hint="eastAsia" w:ascii="楷体" w:hAnsi="楷体" w:eastAsia="楷体" w:cs="楷体"/>
                <w:b w:val="0"/>
                <w:bCs w:val="0"/>
                <w:color w:val="auto"/>
                <w:u w:val="none"/>
                <w:lang w:val="en-US" w:eastAsia="zh-CN"/>
              </w:rPr>
            </w:pPr>
            <w:bookmarkStart w:id="3" w:name="特殊字符3"/>
            <w:r>
              <w:rPr>
                <w:rFonts w:hint="eastAsia" w:ascii="Wingdings 2" w:hAnsi="Wingdings 2" w:eastAsia="Wingdings 2" w:cs="Wingdings 2"/>
                <w:b w:val="0"/>
                <w:bCs w:val="0"/>
                <w:color w:val="auto"/>
                <w:u w:val="none"/>
                <w:lang w:val="en-US" w:eastAsia="zh-CN"/>
              </w:rPr>
              <w:t>£</w:t>
            </w:r>
            <w:bookmarkEnd w:id="3"/>
            <w:r>
              <w:rPr>
                <w:rFonts w:hint="eastAsia" w:ascii="楷体" w:hAnsi="楷体" w:eastAsia="楷体" w:cs="楷体"/>
                <w:b w:val="0"/>
                <w:bCs w:val="0"/>
                <w:color w:val="auto"/>
                <w:u w:val="none"/>
                <w:lang w:val="en-US" w:eastAsia="zh-CN"/>
              </w:rPr>
              <w:t>【直销适用】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本产品由产品管理人销售。</w:t>
            </w:r>
          </w:p>
          <w:p>
            <w:pPr>
              <w:rPr>
                <w:rFonts w:hint="eastAsia" w:ascii="楷体" w:hAnsi="楷体" w:eastAsia="楷体" w:cs="楷体"/>
                <w:b w:val="0"/>
                <w:bCs w:val="0"/>
                <w:color w:val="auto"/>
                <w:u w:val="none"/>
                <w:lang w:val="en-US" w:eastAsia="zh-CN"/>
              </w:rPr>
            </w:pPr>
            <w:bookmarkStart w:id="4" w:name="特殊字符4"/>
            <w:r>
              <w:rPr>
                <w:rFonts w:hint="eastAsia" w:ascii="Wingdings 2" w:hAnsi="Wingdings 2" w:eastAsia="Wingdings 2" w:cs="Wingdings 2"/>
                <w:b w:val="0"/>
                <w:bCs w:val="0"/>
                <w:color w:val="auto"/>
                <w:u w:val="none"/>
                <w:lang w:val="en-US" w:eastAsia="zh-CN"/>
              </w:rPr>
              <w:t>R</w:t>
            </w:r>
            <w:bookmarkEnd w:id="4"/>
            <w:r>
              <w:rPr>
                <w:rFonts w:hint="eastAsia" w:ascii="楷体" w:hAnsi="楷体" w:eastAsia="楷体" w:cs="楷体"/>
                <w:b w:val="0"/>
                <w:bCs w:val="0"/>
                <w:color w:val="auto"/>
                <w:u w:val="none"/>
                <w:lang w:val="en-US" w:eastAsia="zh-CN"/>
              </w:rPr>
              <w:t>【代销适用】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本产品由代理销售机构销售。</w:t>
            </w:r>
          </w:p>
          <w:p>
            <w:pPr>
              <w:rPr>
                <w:rFonts w:hint="eastAsia" w:ascii="楷体" w:hAnsi="楷体" w:eastAsia="楷体" w:cs="楷体"/>
                <w:b/>
                <w:bCs/>
                <w:color w:val="auto"/>
                <w:u w:val="none"/>
              </w:rPr>
            </w:pPr>
            <w:r>
              <w:rPr>
                <w:rFonts w:hint="eastAsia" w:ascii="楷体" w:hAnsi="楷体" w:eastAsia="楷体" w:cs="楷体"/>
                <w:b w:val="0"/>
                <w:bCs w:val="0"/>
                <w:color w:val="auto"/>
                <w:u w:val="none"/>
                <w:lang w:val="en-US" w:eastAsia="zh-CN"/>
              </w:rPr>
              <w:t>代理销售机构合作业务情况以产品管理人公告为准，具体代理销售机构以《</w:t>
            </w:r>
            <w:r>
              <w:rPr>
                <w:rFonts w:hint="eastAsia" w:ascii="楷体" w:hAnsi="楷体" w:eastAsia="楷体" w:cs="楷体"/>
                <w:b w:val="0"/>
                <w:bCs w:val="0"/>
                <w:color w:val="auto"/>
                <w:szCs w:val="21"/>
                <w:u w:val="none"/>
              </w:rPr>
              <w:t>销售（代理销售）协议书</w:t>
            </w:r>
            <w:r>
              <w:rPr>
                <w:rFonts w:hint="eastAsia" w:ascii="楷体" w:hAnsi="楷体" w:eastAsia="楷体" w:cs="楷体"/>
                <w:b w:val="0"/>
                <w:bCs w:val="0"/>
                <w:color w:val="auto"/>
                <w:u w:val="none"/>
                <w:lang w:val="en-US" w:eastAsia="zh-CN"/>
              </w:rPr>
              <w:t>》为准。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lang w:val="en-US" w:eastAsia="zh-CN"/>
              </w:rPr>
              <w:t>发售对象</w:t>
            </w:r>
          </w:p>
        </w:tc>
        <w:tc>
          <w:tcPr>
            <w:tcW w:w="6146" w:type="dxa"/>
            <w:vAlign w:val="top"/>
          </w:tcPr>
          <w:p>
            <w:pPr>
              <w:numPr>
                <w:ilvl w:val="12"/>
                <w:numId w:val="0"/>
              </w:numPr>
              <w:ind w:left="0" w:leftChars="0" w:firstLine="0" w:firstLineChars="0"/>
              <w:rPr>
                <w:rFonts w:hint="eastAsia" w:ascii="楷体" w:hAnsi="楷体" w:eastAsia="楷体"/>
                <w:b w:val="0"/>
                <w:bCs w:val="0"/>
                <w:u w:val="none"/>
                <w:lang w:val="en-US" w:eastAsia="zh-CN"/>
              </w:rPr>
            </w:pPr>
            <w:r>
              <w:rPr>
                <w:rFonts w:hint="eastAsia" w:ascii="楷体" w:hAnsi="楷体" w:eastAsia="楷体"/>
                <w:b w:val="0"/>
                <w:bCs w:val="0"/>
                <w:color w:val="auto"/>
                <w:highlight w:val="none"/>
                <w:u w:val="none"/>
                <w:lang w:val="en-US" w:eastAsia="zh-CN"/>
              </w:rPr>
              <w:t>【B】类份额：【特邀客户】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发行规模</w:t>
            </w:r>
            <w:r>
              <w:rPr>
                <w:rFonts w:hint="eastAsia" w:ascii="楷体" w:hAnsi="楷体" w:eastAsia="楷体"/>
                <w:b/>
                <w:bCs/>
                <w:u w:val="none"/>
                <w:lang w:val="en-US" w:eastAsia="zh-CN"/>
              </w:rPr>
              <w:t>上限</w:t>
            </w:r>
          </w:p>
        </w:tc>
        <w:tc>
          <w:tcPr>
            <w:tcW w:w="6146" w:type="dxa"/>
            <w:vAlign w:val="top"/>
          </w:tcPr>
          <w:p>
            <w:pPr>
              <w:numPr>
                <w:ilvl w:val="12"/>
                <w:numId w:val="0"/>
              </w:numPr>
              <w:ind w:left="0" w:firstLine="0"/>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发行规模上限【200.00亿元】。</w:t>
            </w:r>
          </w:p>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若产品募集金额超出规模上限，管理人有权暂停接受认购或申购申请。管理人有权对本理财产品规模上限进行调整。</w:t>
            </w:r>
          </w:p>
          <w:p>
            <w:pPr>
              <w:numPr>
                <w:ilvl w:val="12"/>
                <w:numId w:val="0"/>
              </w:numPr>
              <w:ind w:left="0" w:leftChars="0" w:firstLine="0" w:firstLineChars="0"/>
              <w:rPr>
                <w:rFonts w:hint="eastAsia" w:ascii="楷体" w:hAnsi="楷体" w:eastAsia="楷体"/>
                <w:b w:val="0"/>
                <w:bCs w:val="0"/>
                <w:color w:val="auto"/>
                <w:u w:val="none"/>
                <w:lang w:val="en-US" w:eastAsia="zh-CN"/>
              </w:rPr>
            </w:pPr>
            <w:r>
              <w:rPr>
                <w:rFonts w:hint="eastAsia" w:ascii="楷体" w:hAnsi="楷体" w:eastAsia="楷体"/>
                <w:b/>
                <w:bCs/>
              </w:rPr>
              <w:t>销售机构实际销售规模限制可能与《产品说明书》不一致，具体以销售机构规则为准。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lang w:val="en-US" w:eastAsia="zh-CN"/>
              </w:rPr>
              <w:t>最低发行规模</w:t>
            </w:r>
          </w:p>
        </w:tc>
        <w:tc>
          <w:tcPr>
            <w:tcW w:w="6146" w:type="dxa"/>
            <w:vAlign w:val="top"/>
          </w:tcPr>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本理财产品最低发行规模为</w:t>
            </w:r>
            <w:r>
              <w:rPr>
                <w:rFonts w:hint="eastAsia" w:ascii="楷体" w:hAnsi="楷体" w:eastAsia="楷体"/>
                <w:b w:val="0"/>
                <w:bCs w:val="0"/>
                <w:color w:val="auto"/>
                <w:u w:val="none"/>
                <w:lang w:eastAsia="zh-CN"/>
              </w:rPr>
              <w:t>【1.00万元】</w:t>
            </w:r>
            <w:r>
              <w:rPr>
                <w:rFonts w:hint="eastAsia" w:ascii="楷体" w:hAnsi="楷体" w:eastAsia="楷体"/>
                <w:b w:val="0"/>
                <w:bCs w:val="0"/>
                <w:color w:val="auto"/>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auto"/>
                <w:u w:val="none"/>
              </w:rPr>
            </w:pPr>
            <w:r>
              <w:rPr>
                <w:rFonts w:hint="eastAsia" w:ascii="楷体" w:hAnsi="楷体" w:eastAsia="楷体"/>
                <w:b/>
                <w:bCs/>
                <w:color w:val="auto"/>
                <w:highlight w:val="none"/>
                <w:u w:val="none"/>
                <w:lang w:val="en-US" w:eastAsia="zh-CN"/>
              </w:rPr>
              <w:t>产品期限</w:t>
            </w:r>
          </w:p>
        </w:tc>
        <w:tc>
          <w:tcPr>
            <w:tcW w:w="6146" w:type="dxa"/>
            <w:vAlign w:val="top"/>
          </w:tcPr>
          <w:p>
            <w:pPr>
              <w:rPr>
                <w:rFonts w:hint="default" w:ascii="楷体" w:hAnsi="楷体" w:eastAsia="楷体"/>
                <w:b w:val="0"/>
                <w:bCs w:val="0"/>
                <w:color w:val="auto"/>
                <w:highlight w:val="none"/>
                <w:u w:val="none"/>
                <w:lang w:val="en-US" w:eastAsia="zh-CN"/>
              </w:rPr>
            </w:pPr>
            <w:bookmarkStart w:id="5" w:name="特殊字符5"/>
            <w:r>
              <w:rPr>
                <w:rFonts w:hint="eastAsia" w:ascii="Wingdings 2" w:hAnsi="Wingdings 2" w:eastAsia="Wingdings 2" w:cs="Wingdings 2"/>
                <w:b w:val="0"/>
                <w:bCs w:val="0"/>
                <w:color w:val="auto"/>
                <w:u w:val="none"/>
                <w:lang w:val="en-US" w:eastAsia="zh-CN"/>
              </w:rPr>
              <w:t>R</w:t>
            </w:r>
            <w:bookmarkEnd w:id="5"/>
            <w:r>
              <w:rPr>
                <w:rFonts w:hint="eastAsia" w:ascii="楷体" w:hAnsi="楷体" w:eastAsia="楷体"/>
                <w:b w:val="0"/>
                <w:bCs w:val="0"/>
                <w:color w:val="auto"/>
                <w:u w:val="none"/>
                <w:lang w:val="en-US" w:eastAsia="zh-CN"/>
              </w:rPr>
              <w:t>【有固定期限】【10年】</w:t>
            </w:r>
          </w:p>
          <w:p>
            <w:pPr>
              <w:rPr>
                <w:rFonts w:hint="default" w:ascii="楷体" w:hAnsi="楷体" w:eastAsia="楷体"/>
                <w:b w:val="0"/>
                <w:bCs w:val="0"/>
                <w:color w:val="auto"/>
                <w:u w:val="none"/>
                <w:lang w:val="en-US"/>
              </w:rPr>
            </w:pPr>
            <w:bookmarkStart w:id="6" w:name="特殊字符6"/>
            <w:r>
              <w:rPr>
                <w:rFonts w:hint="eastAsia" w:ascii="Wingdings 2" w:hAnsi="Wingdings 2" w:eastAsia="Wingdings 2" w:cs="Wingdings 2"/>
                <w:b w:val="0"/>
                <w:bCs w:val="0"/>
                <w:color w:val="auto"/>
                <w:u w:val="none"/>
                <w:lang w:eastAsia="zh-CN"/>
              </w:rPr>
              <w:t>£</w:t>
            </w:r>
            <w:bookmarkEnd w:id="6"/>
            <w:r>
              <w:rPr>
                <w:rFonts w:hint="eastAsia" w:ascii="楷体" w:hAnsi="楷体" w:eastAsia="楷体"/>
                <w:b w:val="0"/>
                <w:bCs w:val="0"/>
                <w:color w:val="auto"/>
                <w:u w:val="none"/>
                <w:lang w:eastAsia="zh-CN"/>
              </w:rPr>
              <w:t>【无固定期限】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FF0000"/>
                <w:highlight w:val="none"/>
                <w:u w:val="none"/>
                <w:lang w:val="en-US" w:eastAsia="zh-CN"/>
              </w:rPr>
            </w:pPr>
            <w:r>
              <w:rPr>
                <w:rFonts w:hint="eastAsia" w:ascii="楷体" w:hAnsi="楷体" w:eastAsia="楷体"/>
                <w:b/>
                <w:bCs/>
                <w:u w:val="none"/>
              </w:rPr>
              <w:t>产品认购期</w:t>
            </w:r>
          </w:p>
        </w:tc>
        <w:tc>
          <w:tcPr>
            <w:tcW w:w="6146" w:type="dxa"/>
            <w:vAlign w:val="top"/>
          </w:tcPr>
          <w:p>
            <w:pPr>
              <w:rPr>
                <w:rFonts w:hint="eastAsia" w:ascii="楷体" w:hAnsi="楷体" w:eastAsia="楷体"/>
                <w:b w:val="0"/>
                <w:bCs w:val="0"/>
                <w:color w:val="auto"/>
                <w:highlight w:val="none"/>
                <w:u w:val="none"/>
                <w:lang w:val="en-US" w:eastAsia="zh-CN"/>
              </w:rPr>
            </w:pPr>
            <w:r>
              <w:rPr>
                <w:rFonts w:hint="eastAsia" w:ascii="楷体" w:hAnsi="楷体" w:eastAsia="楷体"/>
                <w:b w:val="0"/>
                <w:bCs w:val="0"/>
                <w:color w:val="auto"/>
                <w:u w:val="none"/>
                <w:lang w:eastAsia="zh-CN"/>
              </w:rPr>
              <w:t>【2024】</w:t>
            </w:r>
            <w:r>
              <w:rPr>
                <w:rFonts w:ascii="楷体" w:hAnsi="楷体" w:eastAsia="楷体"/>
                <w:b w:val="0"/>
                <w:bCs w:val="0"/>
                <w:color w:val="auto"/>
                <w:u w:val="none"/>
              </w:rPr>
              <w:t>年</w:t>
            </w:r>
            <w:r>
              <w:rPr>
                <w:rFonts w:hint="eastAsia" w:ascii="楷体" w:hAnsi="楷体" w:eastAsia="楷体"/>
                <w:b w:val="0"/>
                <w:bCs w:val="0"/>
                <w:color w:val="auto"/>
                <w:u w:val="none"/>
                <w:lang w:eastAsia="zh-CN"/>
              </w:rPr>
              <w:t>【11】</w:t>
            </w:r>
            <w:r>
              <w:rPr>
                <w:rFonts w:ascii="楷体" w:hAnsi="楷体" w:eastAsia="楷体"/>
                <w:b w:val="0"/>
                <w:bCs w:val="0"/>
                <w:color w:val="auto"/>
                <w:u w:val="none"/>
              </w:rPr>
              <w:t>月</w:t>
            </w:r>
            <w:r>
              <w:rPr>
                <w:rFonts w:hint="eastAsia" w:ascii="楷体" w:hAnsi="楷体" w:eastAsia="楷体"/>
                <w:b w:val="0"/>
                <w:bCs w:val="0"/>
                <w:color w:val="auto"/>
                <w:u w:val="none"/>
                <w:lang w:eastAsia="zh-CN"/>
              </w:rPr>
              <w:t>【01】</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【08:00】</w:t>
            </w:r>
            <w:r>
              <w:rPr>
                <w:rFonts w:hint="eastAsia" w:ascii="楷体" w:hAnsi="楷体" w:eastAsia="楷体"/>
                <w:b w:val="0"/>
                <w:bCs w:val="0"/>
                <w:color w:val="auto"/>
                <w:u w:val="none"/>
              </w:rPr>
              <w:t>至</w:t>
            </w:r>
            <w:r>
              <w:rPr>
                <w:rFonts w:hint="eastAsia" w:ascii="楷体" w:hAnsi="楷体" w:eastAsia="楷体"/>
                <w:b w:val="0"/>
                <w:bCs w:val="0"/>
                <w:color w:val="auto"/>
                <w:u w:val="none"/>
                <w:lang w:eastAsia="zh-CN"/>
              </w:rPr>
              <w:t>【2024】</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【11】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【04】</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【16:00】。</w:t>
            </w:r>
            <w:r>
              <w:rPr>
                <w:rFonts w:hint="eastAsia" w:ascii="楷体" w:hAnsi="楷体" w:eastAsia="楷体"/>
                <w:b/>
                <w:bCs/>
                <w:color w:val="auto"/>
                <w:u w:val="none"/>
              </w:rPr>
              <w:t>销售机构实际受理时间可能与</w:t>
            </w:r>
            <w:r>
              <w:rPr>
                <w:rFonts w:hint="eastAsia" w:ascii="楷体" w:hAnsi="楷体" w:eastAsia="楷体"/>
                <w:b/>
                <w:bCs/>
                <w:color w:val="auto"/>
                <w:u w:val="none"/>
                <w:lang w:eastAsia="zh-CN"/>
              </w:rPr>
              <w:t>《</w:t>
            </w:r>
            <w:r>
              <w:rPr>
                <w:rFonts w:hint="eastAsia" w:ascii="楷体" w:hAnsi="楷体" w:eastAsia="楷体"/>
                <w:b/>
                <w:bCs/>
                <w:color w:val="auto"/>
                <w:u w:val="none"/>
              </w:rPr>
              <w:t>产品说明书</w:t>
            </w:r>
            <w:r>
              <w:rPr>
                <w:rFonts w:hint="eastAsia" w:ascii="楷体" w:hAnsi="楷体" w:eastAsia="楷体"/>
                <w:b/>
                <w:bCs/>
                <w:color w:val="auto"/>
                <w:u w:val="none"/>
                <w:lang w:eastAsia="zh-CN"/>
              </w:rPr>
              <w:t>》</w:t>
            </w:r>
            <w:r>
              <w:rPr>
                <w:rFonts w:hint="eastAsia" w:ascii="楷体" w:hAnsi="楷体" w:eastAsia="楷体"/>
                <w:b/>
                <w:bCs/>
                <w:color w:val="auto"/>
                <w:u w:val="none"/>
              </w:rPr>
              <w:t>不一致，具体以销售机构</w:t>
            </w:r>
            <w:r>
              <w:rPr>
                <w:rFonts w:hint="eastAsia" w:ascii="楷体" w:hAnsi="楷体" w:eastAsia="楷体"/>
                <w:b/>
                <w:bCs/>
                <w:color w:val="auto"/>
                <w:u w:val="none"/>
                <w:lang w:val="en-US" w:eastAsia="zh-CN"/>
              </w:rPr>
              <w:t>规则</w:t>
            </w:r>
            <w:r>
              <w:rPr>
                <w:rFonts w:hint="eastAsia" w:ascii="楷体" w:hAnsi="楷体" w:eastAsia="楷体"/>
                <w:b/>
                <w:bCs/>
                <w:color w:val="auto"/>
                <w:u w:val="none"/>
              </w:rPr>
              <w:t>为准。</w:t>
            </w:r>
            <w:r>
              <w:rPr>
                <w:rFonts w:hint="eastAsia" w:ascii="楷体" w:hAnsi="楷体" w:eastAsia="楷体"/>
                <w:b w:val="0"/>
                <w:bCs w:val="0"/>
                <w:color w:val="auto"/>
                <w:u w:val="none"/>
              </w:rPr>
              <w:t>管理人可在认购期内公告延长或提前终止产品认购期，实际认购期以管理人公告为准。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产品成立日</w:t>
            </w:r>
          </w:p>
        </w:tc>
        <w:tc>
          <w:tcPr>
            <w:tcW w:w="6146" w:type="dxa"/>
            <w:vAlign w:val="top"/>
          </w:tcPr>
          <w:p>
            <w:pPr>
              <w:rPr>
                <w:rFonts w:ascii="楷体" w:hAnsi="楷体" w:eastAsia="楷体"/>
                <w:b w:val="0"/>
                <w:bCs w:val="0"/>
                <w:color w:val="auto"/>
                <w:u w:val="none"/>
              </w:rPr>
            </w:pPr>
            <w:r>
              <w:rPr>
                <w:rFonts w:hint="eastAsia" w:ascii="楷体" w:hAnsi="楷体" w:eastAsia="楷体"/>
                <w:b w:val="0"/>
                <w:bCs w:val="0"/>
                <w:color w:val="auto"/>
                <w:u w:val="none"/>
                <w:lang w:eastAsia="zh-CN"/>
              </w:rPr>
              <w:t>【2024】</w:t>
            </w:r>
            <w:r>
              <w:rPr>
                <w:rFonts w:ascii="楷体" w:hAnsi="楷体" w:eastAsia="楷体"/>
                <w:b w:val="0"/>
                <w:bCs w:val="0"/>
                <w:color w:val="auto"/>
                <w:u w:val="none"/>
              </w:rPr>
              <w:t>年</w:t>
            </w:r>
            <w:r>
              <w:rPr>
                <w:rFonts w:hint="eastAsia" w:ascii="楷体" w:hAnsi="楷体" w:eastAsia="楷体"/>
                <w:b w:val="0"/>
                <w:bCs w:val="0"/>
                <w:color w:val="auto"/>
                <w:u w:val="none"/>
                <w:lang w:eastAsia="zh-CN"/>
              </w:rPr>
              <w:t>【11】</w:t>
            </w:r>
            <w:r>
              <w:rPr>
                <w:rFonts w:ascii="楷体" w:hAnsi="楷体" w:eastAsia="楷体"/>
                <w:b w:val="0"/>
                <w:bCs w:val="0"/>
                <w:color w:val="auto"/>
                <w:u w:val="none"/>
              </w:rPr>
              <w:t>月</w:t>
            </w:r>
            <w:r>
              <w:rPr>
                <w:rFonts w:hint="eastAsia" w:ascii="楷体" w:hAnsi="楷体" w:eastAsia="楷体"/>
                <w:b w:val="0"/>
                <w:bCs w:val="0"/>
                <w:color w:val="auto"/>
                <w:u w:val="none"/>
                <w:lang w:eastAsia="zh-CN"/>
              </w:rPr>
              <w:t>【05】</w:t>
            </w:r>
            <w:r>
              <w:rPr>
                <w:rFonts w:ascii="楷体" w:hAnsi="楷体" w:eastAsia="楷体"/>
                <w:b w:val="0"/>
                <w:bCs w:val="0"/>
                <w:color w:val="auto"/>
                <w:u w:val="none"/>
              </w:rPr>
              <w:t>日</w:t>
            </w:r>
          </w:p>
          <w:p>
            <w:pPr>
              <w:rPr>
                <w:rFonts w:ascii="楷体" w:hAnsi="楷体" w:eastAsia="楷体"/>
                <w:b w:val="0"/>
                <w:bCs w:val="0"/>
                <w:color w:val="auto"/>
                <w:u w:val="none"/>
              </w:rPr>
            </w:pP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p>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rPr>
              <w:t>产品管理人有权根据实际募集情况提前或延后产品成立日期，并相应调整其他产品要素，将依约定进行公告。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w:t>
            </w:r>
            <w:r>
              <w:rPr>
                <w:rFonts w:ascii="楷体" w:hAnsi="楷体" w:eastAsia="楷体"/>
                <w:b/>
                <w:bCs/>
                <w:u w:val="none"/>
              </w:rPr>
              <w:t>预计到期日</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【2034】</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【11】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【07】</w:t>
            </w:r>
            <w:r>
              <w:rPr>
                <w:rFonts w:hint="eastAsia" w:ascii="楷体" w:hAnsi="楷体" w:eastAsia="楷体"/>
                <w:b w:val="0"/>
                <w:bCs w:val="0"/>
                <w:color w:val="auto"/>
                <w:u w:val="none"/>
              </w:rPr>
              <w:t>日</w:t>
            </w:r>
            <w:r>
              <w:rPr>
                <w:rFonts w:ascii="楷体" w:hAnsi="楷体" w:eastAsia="楷体"/>
                <w:b w:val="0"/>
                <w:bCs w:val="0"/>
                <w:color w:val="auto"/>
                <w:u w:val="none"/>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r>
              <w:rPr>
                <w:rFonts w:hint="eastAsia" w:ascii="楷体" w:hAnsi="楷体" w:eastAsia="楷体"/>
                <w:b w:val="0"/>
                <w:bCs w:val="0"/>
                <w:color w:val="auto"/>
                <w:u w:val="none"/>
              </w:rPr>
              <w:t>。在</w:t>
            </w:r>
            <w:r>
              <w:rPr>
                <w:rFonts w:ascii="楷体" w:hAnsi="楷体" w:eastAsia="楷体"/>
                <w:b w:val="0"/>
                <w:bCs w:val="0"/>
                <w:color w:val="auto"/>
                <w:u w:val="none"/>
              </w:rPr>
              <w:t>理财产品</w:t>
            </w:r>
            <w:r>
              <w:rPr>
                <w:rFonts w:hint="eastAsia" w:ascii="楷体" w:hAnsi="楷体" w:eastAsia="楷体"/>
                <w:b w:val="0"/>
                <w:bCs w:val="0"/>
                <w:color w:val="auto"/>
                <w:u w:val="none"/>
              </w:rPr>
              <w:t>存续期内，管理人有权根据本</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产品说明书</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约定事由宣布提前或延期终止本</w:t>
            </w:r>
            <w:r>
              <w:rPr>
                <w:rFonts w:ascii="楷体" w:hAnsi="楷体" w:eastAsia="楷体"/>
                <w:b w:val="0"/>
                <w:bCs w:val="0"/>
                <w:color w:val="auto"/>
                <w:u w:val="none"/>
              </w:rPr>
              <w:t>理财产品</w:t>
            </w:r>
            <w:r>
              <w:rPr>
                <w:rFonts w:hint="eastAsia" w:ascii="楷体" w:hAnsi="楷体" w:eastAsia="楷体"/>
                <w:b w:val="0"/>
                <w:bCs w:val="0"/>
                <w:color w:val="auto"/>
                <w:u w:val="none"/>
              </w:rPr>
              <w:t>。如管理人提前终止或延长</w:t>
            </w:r>
            <w:r>
              <w:rPr>
                <w:rFonts w:ascii="楷体" w:hAnsi="楷体" w:eastAsia="楷体"/>
                <w:b w:val="0"/>
                <w:bCs w:val="0"/>
                <w:color w:val="auto"/>
                <w:u w:val="none"/>
              </w:rPr>
              <w:t>理财产品</w:t>
            </w:r>
            <w:r>
              <w:rPr>
                <w:rFonts w:hint="eastAsia" w:ascii="楷体" w:hAnsi="楷体" w:eastAsia="楷体"/>
                <w:b w:val="0"/>
                <w:bCs w:val="0"/>
                <w:color w:val="auto"/>
                <w:u w:val="none"/>
              </w:rPr>
              <w:t>期限，将提前</w:t>
            </w:r>
            <w:r>
              <w:rPr>
                <w:rFonts w:ascii="楷体" w:hAnsi="楷体" w:eastAsia="楷体"/>
                <w:b w:val="0"/>
                <w:bCs w:val="0"/>
                <w:color w:val="auto"/>
                <w:u w:val="none"/>
              </w:rPr>
              <w:t>2</w:t>
            </w:r>
            <w:r>
              <w:rPr>
                <w:rFonts w:hint="eastAsia" w:ascii="楷体" w:hAnsi="楷体" w:eastAsia="楷体"/>
                <w:b w:val="0"/>
                <w:bCs w:val="0"/>
                <w:color w:val="auto"/>
                <w:u w:val="none"/>
              </w:rPr>
              <w:t>个工作日按</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产品实际</w:t>
            </w:r>
            <w:r>
              <w:rPr>
                <w:rFonts w:ascii="楷体" w:hAnsi="楷体" w:eastAsia="楷体"/>
                <w:b/>
                <w:bCs/>
                <w:u w:val="none"/>
              </w:rPr>
              <w:t>到期日</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指理财产品实际</w:t>
            </w:r>
            <w:r>
              <w:rPr>
                <w:rFonts w:ascii="楷体" w:hAnsi="楷体" w:eastAsia="楷体"/>
                <w:b w:val="0"/>
                <w:bCs w:val="0"/>
                <w:color w:val="auto"/>
                <w:u w:val="none"/>
              </w:rPr>
              <w:t>终止之日，包括理财</w:t>
            </w:r>
            <w:r>
              <w:rPr>
                <w:rFonts w:hint="eastAsia" w:ascii="楷体" w:hAnsi="楷体" w:eastAsia="楷体"/>
                <w:b w:val="0"/>
                <w:bCs w:val="0"/>
                <w:color w:val="auto"/>
                <w:u w:val="none"/>
              </w:rPr>
              <w:t>产品预计到期日，或管理人根据本《产品说明书》约定宣布本理财产品</w:t>
            </w:r>
            <w:r>
              <w:rPr>
                <w:rFonts w:ascii="楷体" w:hAnsi="楷体" w:eastAsia="楷体"/>
                <w:b w:val="0"/>
                <w:bCs w:val="0"/>
                <w:color w:val="auto"/>
                <w:u w:val="none"/>
              </w:rPr>
              <w:t>早于理财</w:t>
            </w:r>
            <w:r>
              <w:rPr>
                <w:rFonts w:hint="eastAsia" w:ascii="楷体" w:hAnsi="楷体" w:eastAsia="楷体"/>
                <w:b w:val="0"/>
                <w:bCs w:val="0"/>
                <w:color w:val="auto"/>
                <w:u w:val="none"/>
              </w:rPr>
              <w:t>产品预计到期日而终止之日或宣布本理财产品延长后的终止之日。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rPr>
              <w:t>投资封闭期</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highlight w:val="none"/>
                <w:u w:val="none"/>
                <w:lang w:eastAsia="zh-CN"/>
              </w:rPr>
              <w:t>【2024年11月05日起至2024年12月18日止。在封闭期内不提供申购/赎回交易，管理人有权选择在上述期限内提前结束封闭期。】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u w:val="none"/>
              </w:rPr>
            </w:pPr>
            <w:r>
              <w:rPr>
                <w:rFonts w:hint="eastAsia" w:ascii="楷体" w:hAnsi="楷体" w:eastAsia="楷体"/>
                <w:b/>
                <w:bCs/>
                <w:u w:val="none"/>
              </w:rPr>
              <w:t>产品开放日</w:t>
            </w:r>
          </w:p>
        </w:tc>
        <w:tc>
          <w:tcPr>
            <w:tcW w:w="6146" w:type="dxa"/>
            <w:vAlign w:val="top"/>
          </w:tcPr>
          <w:p>
            <w:pPr>
              <w:rPr>
                <w:rFonts w:hint="eastAsia" w:ascii="楷体" w:hAnsi="楷体" w:eastAsia="楷体"/>
                <w:b w:val="0"/>
                <w:bCs w:val="0"/>
                <w:color w:val="auto"/>
                <w:highlight w:val="none"/>
                <w:u w:val="none"/>
                <w:lang w:eastAsia="zh-CN"/>
              </w:rPr>
            </w:pPr>
            <w:r>
              <w:rPr>
                <w:rFonts w:hint="eastAsia" w:ascii="楷体" w:hAnsi="楷体" w:eastAsia="楷体"/>
                <w:b w:val="0"/>
                <w:bCs w:val="0"/>
                <w:color w:val="auto"/>
                <w:highlight w:val="none"/>
                <w:u w:val="none"/>
                <w:lang w:val="en-US" w:eastAsia="zh-CN"/>
              </w:rPr>
              <w:t>【在理财产品存续期内，除投资封闭期外每一自然日为产品开放日】</w:t>
            </w:r>
            <w:r>
              <w:rPr>
                <w:rFonts w:hint="eastAsia" w:ascii="楷体" w:hAnsi="楷体" w:eastAsia="楷体"/>
                <w:b w:val="0"/>
                <w:bCs w:val="0"/>
                <w:color w:val="auto"/>
                <w:u w:val="none"/>
                <w:lang w:eastAsia="zh-CN"/>
              </w:rPr>
              <w:t>，</w:t>
            </w:r>
            <w:r>
              <w:rPr>
                <w:rFonts w:hint="eastAsia" w:ascii="楷体" w:hAnsi="楷体" w:eastAsia="楷体"/>
                <w:b w:val="0"/>
                <w:bCs w:val="0"/>
                <w:color w:val="auto"/>
              </w:rPr>
              <w:t>管理人将在产品开放日受理本理财产品的申购申请</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在理财产品存续期内，管理人有权根据市场情况变化暂停本理财产品的申购，暂停公告通过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最短持有期</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指本理财产品对投资者的每笔有效认</w:t>
            </w:r>
            <w:r>
              <w:rPr>
                <w:rFonts w:ascii="楷体" w:hAnsi="楷体" w:eastAsia="楷体"/>
                <w:b w:val="0"/>
                <w:bCs w:val="0"/>
                <w:color w:val="auto"/>
                <w:u w:val="none"/>
              </w:rPr>
              <w:t>/</w:t>
            </w:r>
            <w:r>
              <w:rPr>
                <w:rFonts w:hint="eastAsia" w:ascii="楷体" w:hAnsi="楷体" w:eastAsia="楷体"/>
                <w:b w:val="0"/>
                <w:bCs w:val="0"/>
                <w:color w:val="auto"/>
                <w:u w:val="none"/>
              </w:rPr>
              <w:t>申购设置</w:t>
            </w:r>
            <w:r>
              <w:rPr>
                <w:rFonts w:hint="eastAsia" w:ascii="楷体" w:hAnsi="楷体" w:eastAsia="楷体"/>
                <w:b w:val="0"/>
                <w:bCs w:val="0"/>
                <w:color w:val="auto"/>
                <w:u w:val="none"/>
                <w:lang w:eastAsia="zh-CN"/>
              </w:rPr>
              <w:t>【90】</w:t>
            </w:r>
            <w:r>
              <w:rPr>
                <w:rFonts w:hint="eastAsia" w:ascii="楷体" w:hAnsi="楷体" w:eastAsia="楷体"/>
                <w:b w:val="0"/>
                <w:bCs w:val="0"/>
                <w:color w:val="auto"/>
                <w:u w:val="none"/>
                <w:lang w:val="en-US" w:eastAsia="zh-CN"/>
              </w:rPr>
              <w:t>个自然日</w:t>
            </w:r>
            <w:r>
              <w:rPr>
                <w:rFonts w:hint="eastAsia" w:ascii="楷体" w:hAnsi="楷体" w:eastAsia="楷体"/>
                <w:b w:val="0"/>
                <w:bCs w:val="0"/>
                <w:color w:val="auto"/>
                <w:u w:val="none"/>
              </w:rPr>
              <w:t>的最短持有期限</w:t>
            </w:r>
            <w:r>
              <w:rPr>
                <w:rFonts w:hint="eastAsia" w:ascii="楷体" w:hAnsi="楷体" w:eastAsia="楷体"/>
                <w:b w:val="0"/>
                <w:bCs w:val="0"/>
                <w:color w:val="auto"/>
                <w:u w:val="none"/>
                <w:lang w:eastAsia="zh-CN"/>
              </w:rPr>
              <w:t>。</w:t>
            </w:r>
          </w:p>
          <w:p>
            <w:pPr>
              <w:rPr>
                <w:rFonts w:hint="eastAsia" w:ascii="楷体" w:hAnsi="楷体" w:eastAsia="楷体" w:cs="楷体"/>
                <w:b w:val="0"/>
                <w:bCs w:val="0"/>
                <w:color w:val="auto"/>
                <w:u w:val="none"/>
                <w:lang w:eastAsia="zh-CN"/>
              </w:rPr>
            </w:pPr>
            <w:r>
              <w:rPr>
                <w:rFonts w:hint="eastAsia" w:ascii="楷体" w:hAnsi="楷体" w:eastAsia="楷体"/>
                <w:color w:val="auto"/>
                <w:u w:val="none"/>
                <w:lang w:val="en-US" w:eastAsia="zh-CN"/>
              </w:rPr>
              <w:t>最短持有期起始日</w:t>
            </w:r>
            <w:r>
              <w:rPr>
                <w:rFonts w:hint="eastAsia" w:ascii="楷体" w:hAnsi="楷体" w:eastAsia="楷体" w:cs="楷体"/>
                <w:b w:val="0"/>
                <w:bCs w:val="0"/>
                <w:color w:val="auto"/>
                <w:u w:val="none"/>
              </w:rPr>
              <w:t>即</w:t>
            </w:r>
            <w:r>
              <w:rPr>
                <w:rFonts w:hint="eastAsia" w:ascii="楷体" w:hAnsi="楷体" w:eastAsia="楷体"/>
                <w:color w:val="auto"/>
                <w:u w:val="none"/>
              </w:rPr>
              <w:t>认</w:t>
            </w:r>
            <w:r>
              <w:rPr>
                <w:rFonts w:ascii="楷体" w:hAnsi="楷体" w:eastAsia="楷体"/>
                <w:color w:val="auto"/>
                <w:u w:val="none"/>
              </w:rPr>
              <w:t>/</w:t>
            </w:r>
            <w:r>
              <w:rPr>
                <w:rFonts w:hint="eastAsia" w:ascii="楷体" w:hAnsi="楷体" w:eastAsia="楷体"/>
                <w:color w:val="auto"/>
                <w:u w:val="none"/>
              </w:rPr>
              <w:t>申购</w:t>
            </w:r>
            <w:r>
              <w:rPr>
                <w:rFonts w:hint="eastAsia" w:ascii="楷体" w:hAnsi="楷体" w:eastAsia="楷体"/>
                <w:color w:val="auto"/>
                <w:u w:val="none"/>
                <w:lang w:val="en-US" w:eastAsia="zh-CN"/>
              </w:rPr>
              <w:t>对应的</w:t>
            </w:r>
            <w:r>
              <w:rPr>
                <w:rFonts w:hint="eastAsia" w:ascii="楷体" w:hAnsi="楷体" w:eastAsia="楷体"/>
                <w:color w:val="auto"/>
                <w:u w:val="none"/>
              </w:rPr>
              <w:t>成立日</w:t>
            </w:r>
            <w:r>
              <w:rPr>
                <w:rFonts w:hint="eastAsia" w:ascii="楷体" w:hAnsi="楷体" w:eastAsia="楷体"/>
                <w:color w:val="auto"/>
                <w:u w:val="none"/>
                <w:lang w:val="en-US" w:eastAsia="zh-CN"/>
              </w:rPr>
              <w:t>/确认</w:t>
            </w:r>
            <w:r>
              <w:rPr>
                <w:rFonts w:hint="eastAsia" w:ascii="楷体" w:hAnsi="楷体" w:eastAsia="楷体"/>
                <w:color w:val="auto"/>
                <w:u w:val="none"/>
              </w:rPr>
              <w:t>日</w:t>
            </w:r>
            <w:r>
              <w:rPr>
                <w:rFonts w:hint="eastAsia" w:ascii="楷体" w:hAnsi="楷体" w:eastAsia="楷体"/>
                <w:color w:val="auto"/>
                <w:u w:val="none"/>
                <w:lang w:eastAsia="zh-CN"/>
              </w:rPr>
              <w:t>，</w:t>
            </w:r>
            <w:r>
              <w:rPr>
                <w:rFonts w:hint="eastAsia" w:ascii="楷体" w:hAnsi="楷体" w:eastAsia="楷体" w:cs="楷体"/>
                <w:b w:val="0"/>
                <w:bCs w:val="0"/>
                <w:color w:val="auto"/>
                <w:u w:val="none"/>
              </w:rPr>
              <w:t>每笔理财产品份额</w:t>
            </w:r>
            <w:r>
              <w:rPr>
                <w:rFonts w:hint="eastAsia" w:ascii="楷体" w:hAnsi="楷体" w:eastAsia="楷体"/>
                <w:color w:val="auto"/>
                <w:u w:val="none"/>
                <w:lang w:val="en-US" w:eastAsia="zh-CN"/>
              </w:rPr>
              <w:t>从最短持有期起始日</w:t>
            </w:r>
            <w:r>
              <w:rPr>
                <w:rFonts w:hint="eastAsia" w:ascii="楷体" w:hAnsi="楷体" w:eastAsia="楷体" w:cs="楷体"/>
                <w:b w:val="0"/>
                <w:bCs w:val="0"/>
                <w:color w:val="auto"/>
                <w:u w:val="none"/>
              </w:rPr>
              <w:t>起，至其后第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个自然日（不含）内，投资者不能提出赎回申请</w:t>
            </w:r>
            <w:r>
              <w:rPr>
                <w:rFonts w:hint="eastAsia" w:ascii="楷体" w:hAnsi="楷体" w:eastAsia="楷体" w:cs="楷体"/>
                <w:b w:val="0"/>
                <w:bCs w:val="0"/>
                <w:color w:val="auto"/>
                <w:u w:val="none"/>
                <w:lang w:eastAsia="zh-CN"/>
              </w:rPr>
              <w:t>。</w:t>
            </w:r>
          </w:p>
          <w:p>
            <w:pPr>
              <w:rPr>
                <w:rFonts w:hint="eastAsia" w:ascii="楷体" w:hAnsi="楷体" w:eastAsia="楷体"/>
                <w:b w:val="0"/>
                <w:bCs w:val="0"/>
                <w:color w:val="auto"/>
                <w:u w:val="none"/>
              </w:rPr>
            </w:pPr>
            <w:r>
              <w:rPr>
                <w:rFonts w:hint="eastAsia" w:ascii="楷体" w:hAnsi="楷体" w:eastAsia="楷体"/>
                <w:color w:val="auto"/>
              </w:rPr>
              <w:t>最短持有期结束日为</w:t>
            </w:r>
            <w:r>
              <w:rPr>
                <w:rFonts w:hint="eastAsia" w:ascii="楷体" w:hAnsi="楷体" w:eastAsia="楷体" w:cs="楷体"/>
                <w:b w:val="0"/>
                <w:bCs w:val="0"/>
                <w:color w:val="auto"/>
                <w:u w:val="none"/>
              </w:rPr>
              <w:t>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w:t>
            </w:r>
            <w:r>
              <w:rPr>
                <w:rFonts w:hint="eastAsia" w:ascii="楷体" w:hAnsi="楷体" w:eastAsia="楷体" w:cs="楷体"/>
                <w:b w:val="0"/>
                <w:bCs w:val="0"/>
                <w:color w:val="auto"/>
                <w:u w:val="none"/>
                <w:lang w:val="en-US" w:eastAsia="zh-CN"/>
              </w:rPr>
              <w:t>如</w:t>
            </w:r>
            <w:r>
              <w:rPr>
                <w:rFonts w:hint="eastAsia" w:ascii="楷体" w:hAnsi="楷体" w:eastAsia="楷体" w:cs="楷体"/>
                <w:b w:val="0"/>
                <w:bCs w:val="0"/>
                <w:color w:val="auto"/>
                <w:u w:val="none"/>
              </w:rPr>
              <w:t>遇非</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lang w:val="en-US" w:eastAsia="zh-CN"/>
              </w:rPr>
              <w:t>则</w:t>
            </w:r>
            <w:r>
              <w:rPr>
                <w:rFonts w:hint="eastAsia" w:ascii="楷体" w:hAnsi="楷体" w:eastAsia="楷体" w:cs="楷体"/>
                <w:b w:val="0"/>
                <w:bCs w:val="0"/>
                <w:color w:val="auto"/>
                <w:u w:val="none"/>
              </w:rPr>
              <w:t>顺延至下一个</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w:t>
            </w:r>
            <w:r>
              <w:rPr>
                <w:rFonts w:hint="eastAsia" w:ascii="楷体" w:hAnsi="楷体" w:eastAsia="楷体" w:cs="楷体"/>
                <w:b w:val="0"/>
                <w:bCs w:val="0"/>
                <w:color w:val="auto"/>
                <w:u w:val="none"/>
                <w:lang w:eastAsia="zh-CN"/>
              </w:rPr>
              <w:t>，</w:t>
            </w:r>
            <w:r>
              <w:rPr>
                <w:rFonts w:hint="eastAsia" w:ascii="楷体" w:hAnsi="楷体" w:eastAsia="楷体"/>
                <w:color w:val="auto"/>
              </w:rPr>
              <w:t>从最短持有期结束日当日（含）起，</w:t>
            </w:r>
            <w:r>
              <w:rPr>
                <w:rFonts w:hint="eastAsia" w:ascii="楷体" w:hAnsi="楷体" w:eastAsia="楷体" w:cs="楷体"/>
                <w:b w:val="0"/>
                <w:bCs w:val="0"/>
                <w:color w:val="auto"/>
                <w:u w:val="none"/>
              </w:rPr>
              <w:t>投资者可以提出赎回申请。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tabs>
                <w:tab w:val="center" w:pos="1080"/>
              </w:tabs>
              <w:rPr>
                <w:rFonts w:hint="eastAsia" w:ascii="楷体" w:hAnsi="楷体" w:eastAsia="楷体"/>
                <w:b/>
                <w:bCs/>
                <w:u w:val="none"/>
                <w:lang w:eastAsia="zh-CN"/>
              </w:rPr>
            </w:pPr>
            <w:r>
              <w:rPr>
                <w:rFonts w:hint="eastAsia" w:ascii="楷体" w:hAnsi="楷体" w:eastAsia="楷体"/>
                <w:b/>
                <w:bCs/>
                <w:u w:val="none"/>
              </w:rPr>
              <w:t>开放持有期</w:t>
            </w:r>
            <w:r>
              <w:rPr>
                <w:rFonts w:hint="eastAsia" w:ascii="楷体" w:hAnsi="楷体" w:eastAsia="楷体"/>
                <w:b/>
                <w:bCs/>
                <w:u w:val="none"/>
                <w:lang w:eastAsia="zh-CN"/>
              </w:rPr>
              <w:tab/>
            </w:r>
          </w:p>
        </w:tc>
        <w:tc>
          <w:tcPr>
            <w:tcW w:w="6146" w:type="dxa"/>
            <w:vAlign w:val="top"/>
          </w:tcPr>
          <w:p>
            <w:pPr>
              <w:rPr>
                <w:rFonts w:ascii="楷体" w:hAnsi="楷体" w:eastAsia="楷体"/>
                <w:b w:val="0"/>
                <w:bCs w:val="0"/>
                <w:color w:val="auto"/>
                <w:u w:val="none"/>
              </w:rPr>
            </w:pPr>
            <w:r>
              <w:rPr>
                <w:rFonts w:hint="eastAsia" w:ascii="楷体" w:hAnsi="楷体" w:eastAsia="楷体"/>
                <w:color w:val="auto"/>
              </w:rPr>
              <w:t>对于每份产品份额，最短持有期结束即进入开放持有期，开放持有期首日</w:t>
            </w:r>
            <w:r>
              <w:rPr>
                <w:rFonts w:hint="eastAsia" w:ascii="楷体" w:hAnsi="楷体" w:eastAsia="楷体"/>
                <w:color w:val="auto"/>
                <w:lang w:val="en-US" w:eastAsia="zh-CN"/>
              </w:rPr>
              <w:t>即</w:t>
            </w:r>
            <w:r>
              <w:rPr>
                <w:rFonts w:hint="eastAsia" w:ascii="楷体" w:hAnsi="楷体" w:eastAsia="楷体"/>
                <w:color w:val="auto"/>
              </w:rPr>
              <w:t>最短持有期结束日。</w:t>
            </w:r>
            <w:r>
              <w:rPr>
                <w:rFonts w:hint="eastAsia" w:ascii="楷体" w:hAnsi="楷体" w:eastAsia="楷体"/>
                <w:b w:val="0"/>
                <w:bCs w:val="0"/>
                <w:color w:val="auto"/>
                <w:u w:val="none"/>
              </w:rPr>
              <w:t>管理人将在每份产品份额对应的开放持有期间受理该笔份额的赎回申请。</w:t>
            </w:r>
          </w:p>
          <w:p>
            <w:pPr>
              <w:rPr>
                <w:rFonts w:hint="eastAsia" w:ascii="楷体" w:hAnsi="楷体" w:eastAsia="楷体"/>
                <w:b w:val="0"/>
                <w:bCs w:val="0"/>
                <w:color w:val="auto"/>
                <w:u w:val="none"/>
              </w:rPr>
            </w:pPr>
            <w:r>
              <w:rPr>
                <w:rFonts w:hint="eastAsia" w:ascii="楷体" w:hAnsi="楷体" w:eastAsia="楷体"/>
                <w:b w:val="0"/>
                <w:bCs w:val="0"/>
                <w:color w:val="auto"/>
                <w:u w:val="none"/>
              </w:rPr>
              <w:t>在理财产品存续期内，管理人有权根据市场情况变化暂停本理财产品的赎回，暂停公告将通过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1" w:hRule="atLeast"/>
        </w:trPr>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交易时段</w:t>
            </w:r>
          </w:p>
        </w:tc>
        <w:tc>
          <w:tcPr>
            <w:tcW w:w="6146" w:type="dxa"/>
          </w:tcPr>
          <w:p>
            <w:pPr>
              <w:rPr>
                <w:rFonts w:hint="eastAsia" w:ascii="楷体" w:hAnsi="楷体" w:eastAsia="楷体" w:cs="楷体"/>
                <w:b w:val="0"/>
                <w:bCs w:val="0"/>
                <w:color w:val="auto"/>
                <w:u w:val="none"/>
              </w:rPr>
            </w:pPr>
            <w:r>
              <w:rPr>
                <w:rFonts w:hint="eastAsia" w:ascii="楷体" w:hAnsi="楷体" w:eastAsia="楷体" w:cs="楷体"/>
                <w:b w:val="0"/>
                <w:bCs w:val="0"/>
                <w:color w:val="auto"/>
                <w:u w:val="none"/>
              </w:rPr>
              <w:t>本理财产品交易时段为业务处理系统记录的每日北京时间</w:t>
            </w:r>
            <w:r>
              <w:rPr>
                <w:rFonts w:hint="eastAsia" w:ascii="楷体" w:hAnsi="楷体" w:eastAsia="楷体" w:cs="楷体"/>
                <w:b w:val="0"/>
                <w:bCs w:val="0"/>
                <w:color w:val="auto"/>
                <w:u w:val="none"/>
                <w:lang w:eastAsia="zh-CN"/>
              </w:rPr>
              <w:t>0:00</w:t>
            </w:r>
            <w:r>
              <w:rPr>
                <w:rFonts w:hint="eastAsia" w:ascii="楷体" w:hAnsi="楷体" w:eastAsia="楷体" w:cs="楷体"/>
                <w:b w:val="0"/>
                <w:bCs w:val="0"/>
                <w:color w:val="auto"/>
                <w:u w:val="none"/>
              </w:rPr>
              <w:t>起至</w:t>
            </w:r>
            <w:r>
              <w:rPr>
                <w:rFonts w:hint="eastAsia" w:ascii="楷体" w:hAnsi="楷体" w:eastAsia="楷体" w:cs="楷体"/>
                <w:b w:val="0"/>
                <w:bCs w:val="0"/>
                <w:color w:val="auto"/>
                <w:u w:val="none"/>
                <w:lang w:eastAsia="zh-CN"/>
              </w:rPr>
              <w:t>24:00</w:t>
            </w:r>
            <w:r>
              <w:rPr>
                <w:rFonts w:hint="eastAsia" w:ascii="楷体" w:hAnsi="楷体" w:eastAsia="楷体" w:cs="楷体"/>
                <w:b w:val="0"/>
                <w:bCs w:val="0"/>
                <w:color w:val="auto"/>
                <w:u w:val="none"/>
              </w:rPr>
              <w:t>止（系统清算时间除外），</w:t>
            </w:r>
            <w:r>
              <w:rPr>
                <w:rFonts w:hint="eastAsia" w:ascii="楷体" w:hAnsi="楷体" w:eastAsia="楷体" w:cs="楷体"/>
                <w:b w:val="0"/>
                <w:bCs w:val="0"/>
                <w:color w:val="auto"/>
                <w:szCs w:val="21"/>
                <w:u w:val="none"/>
                <w:lang w:val="en-US" w:eastAsia="zh-CN"/>
              </w:rPr>
              <w:t>销售机构</w:t>
            </w:r>
            <w:r>
              <w:rPr>
                <w:rFonts w:hint="eastAsia" w:ascii="楷体" w:hAnsi="楷体" w:eastAsia="楷体" w:cs="楷体"/>
                <w:b w:val="0"/>
                <w:bCs w:val="0"/>
                <w:color w:val="auto"/>
                <w:szCs w:val="21"/>
                <w:u w:val="none"/>
              </w:rPr>
              <w:t>实际受理申购或赎回的时间可能与说明书不一致，具体以销售机构</w:t>
            </w:r>
            <w:r>
              <w:rPr>
                <w:rFonts w:hint="eastAsia" w:ascii="楷体" w:hAnsi="楷体" w:eastAsia="楷体" w:cs="楷体"/>
                <w:b w:val="0"/>
                <w:bCs w:val="0"/>
                <w:color w:val="auto"/>
                <w:szCs w:val="21"/>
                <w:u w:val="none"/>
                <w:lang w:val="en-US" w:eastAsia="zh-CN"/>
              </w:rPr>
              <w:t>规则</w:t>
            </w:r>
            <w:r>
              <w:rPr>
                <w:rFonts w:hint="eastAsia" w:ascii="楷体" w:hAnsi="楷体" w:eastAsia="楷体" w:cs="楷体"/>
                <w:b w:val="0"/>
                <w:bCs w:val="0"/>
                <w:color w:val="auto"/>
                <w:szCs w:val="21"/>
                <w:u w:val="none"/>
              </w:rPr>
              <w:t>为准</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u w:val="none"/>
              </w:rPr>
              <w:t>具体规则详见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rPr>
            </w:pPr>
            <w:r>
              <w:rPr>
                <w:rFonts w:hint="eastAsia" w:ascii="楷体" w:hAnsi="楷体" w:eastAsia="楷体" w:cs="楷体"/>
                <w:b/>
                <w:bCs/>
                <w:szCs w:val="21"/>
                <w:highlight w:val="none"/>
                <w:u w:val="none"/>
              </w:rPr>
              <w:t>产品确认日</w:t>
            </w:r>
          </w:p>
        </w:tc>
        <w:tc>
          <w:tcPr>
            <w:tcW w:w="6146" w:type="dxa"/>
            <w:vAlign w:val="center"/>
          </w:tcPr>
          <w:p>
            <w:pPr>
              <w:rPr>
                <w:rFonts w:hint="eastAsia" w:ascii="楷体" w:hAnsi="楷体" w:eastAsia="楷体" w:cs="楷体"/>
                <w:b w:val="0"/>
                <w:bCs w:val="0"/>
                <w:color w:val="auto"/>
                <w:highlight w:val="none"/>
                <w:u w:val="none"/>
              </w:rPr>
            </w:pPr>
            <w:r>
              <w:rPr>
                <w:rFonts w:hint="eastAsia" w:ascii="楷体" w:hAnsi="楷体" w:eastAsia="楷体" w:cs="楷体"/>
                <w:b w:val="0"/>
                <w:bCs w:val="0"/>
                <w:color w:val="auto"/>
                <w:szCs w:val="21"/>
                <w:highlight w:val="none"/>
                <w:u w:val="none"/>
              </w:rPr>
              <w:t>【在理财产品存续期内，每个【交易日】为产品确认日。】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rPr>
              <w:t>产品估值日</w:t>
            </w:r>
          </w:p>
        </w:tc>
        <w:tc>
          <w:tcPr>
            <w:tcW w:w="6146" w:type="dxa"/>
            <w:vAlign w:val="center"/>
          </w:tcPr>
          <w:p>
            <w:pPr>
              <w:widowControl/>
              <w:jc w:val="left"/>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lang w:eastAsia="zh-CN"/>
              </w:rPr>
              <w:t>【本理财产品存续期间（除封闭期起始日至封闭期结束日前一日外），每个交易日、理财产品收益分配基准日以及理财产品终止日为估值日，投资封闭期内每月的27日（如遇非交易日则提前至上一个交易日）为产品估值日】</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份额</w:t>
            </w:r>
            <w:r>
              <w:rPr>
                <w:rFonts w:hint="eastAsia" w:ascii="楷体" w:hAnsi="楷体" w:eastAsia="楷体" w:cs="楷体"/>
                <w:b/>
                <w:bCs/>
                <w:color w:val="auto"/>
                <w:szCs w:val="21"/>
                <w:u w:val="none"/>
              </w:rPr>
              <w:t>净值</w:t>
            </w:r>
          </w:p>
        </w:tc>
        <w:tc>
          <w:tcPr>
            <w:tcW w:w="6146" w:type="dxa"/>
            <w:vAlign w:val="center"/>
          </w:tcPr>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理财产品份额</w:t>
            </w:r>
            <w:r>
              <w:rPr>
                <w:rFonts w:hint="eastAsia" w:ascii="楷体" w:hAnsi="楷体" w:eastAsia="楷体" w:cs="楷体"/>
                <w:b w:val="0"/>
                <w:bCs w:val="0"/>
                <w:color w:val="auto"/>
                <w:szCs w:val="21"/>
                <w:u w:val="none"/>
              </w:rPr>
              <w:t>净值为计提相关费用后的单位理财产品的净值，按去尾法保留小数点后</w:t>
            </w:r>
            <w:r>
              <w:rPr>
                <w:rFonts w:hint="eastAsia" w:ascii="楷体" w:hAnsi="楷体" w:eastAsia="楷体" w:cs="楷体"/>
                <w:b w:val="0"/>
                <w:bCs w:val="0"/>
                <w:color w:val="auto"/>
                <w:szCs w:val="21"/>
                <w:u w:val="none"/>
                <w:lang w:val="en-US"/>
              </w:rPr>
              <w:t>五</w:t>
            </w:r>
            <w:r>
              <w:rPr>
                <w:rFonts w:hint="eastAsia" w:ascii="楷体" w:hAnsi="楷体" w:eastAsia="楷体" w:cs="楷体"/>
                <w:b w:val="0"/>
                <w:bCs w:val="0"/>
                <w:color w:val="auto"/>
                <w:szCs w:val="21"/>
                <w:u w:val="none"/>
              </w:rPr>
              <w:t>位，管理人按照该净值对产品的申购、赎回和产品终止时的分配进行确认。管理人有权对以上净值计提方式进行修改，并通过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“信息披露”约定的方式，向投资者披露。</w:t>
            </w:r>
          </w:p>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净值为1元/份。</w:t>
            </w:r>
          </w:p>
          <w:p>
            <w:p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rPr>
              <w:t>产品的申购、赎回遵循“未知价”原则，即本理财产品申购和赎回价格为对应确认日</w:t>
            </w:r>
            <w:r>
              <w:rPr>
                <w:rFonts w:hint="eastAsia" w:ascii="楷体" w:hAnsi="楷体" w:eastAsia="楷体" w:cs="楷体"/>
                <w:b w:val="0"/>
                <w:bCs w:val="0"/>
                <w:color w:val="auto"/>
                <w:szCs w:val="21"/>
                <w:u w:val="none"/>
                <w:lang w:val="en-US" w:eastAsia="zh-CN"/>
              </w:rPr>
              <w:t>前【1】个【交易日】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购买规则</w:t>
            </w:r>
          </w:p>
        </w:tc>
        <w:tc>
          <w:tcPr>
            <w:tcW w:w="6146" w:type="dxa"/>
            <w:vAlign w:val="top"/>
          </w:tcPr>
          <w:p>
            <w:pPr>
              <w:numPr>
                <w:ilvl w:val="12"/>
                <w:numId w:val="0"/>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【B】</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8"/>
              </w:numPr>
              <w:tabs>
                <w:tab w:val="left" w:pos="360"/>
              </w:tabs>
              <w:rPr>
                <w:rFonts w:hint="eastAsia" w:ascii="楷体" w:hAnsi="楷体" w:eastAsia="楷体" w:cs="楷体"/>
                <w:b w:val="0"/>
                <w:bCs w:val="0"/>
                <w:color w:val="auto"/>
                <w:u w:val="none"/>
                <w:lang w:eastAsia="zh-CN"/>
              </w:rPr>
            </w:pPr>
            <w:r>
              <w:rPr>
                <w:rFonts w:hint="eastAsia" w:ascii="楷体" w:hAnsi="楷体" w:eastAsia="楷体" w:cs="楷体"/>
                <w:b w:val="0"/>
                <w:bCs w:val="0"/>
                <w:color w:val="auto"/>
                <w:u w:val="none"/>
              </w:rPr>
              <w:t>本理财产品购买顺序按时间优先原则进行确认</w:t>
            </w:r>
            <w:r>
              <w:rPr>
                <w:rFonts w:hint="eastAsia" w:ascii="楷体" w:hAnsi="楷体" w:eastAsia="楷体" w:cs="楷体"/>
                <w:b w:val="0"/>
                <w:bCs w:val="0"/>
                <w:color w:val="auto"/>
                <w:u w:val="none"/>
                <w:lang w:eastAsia="zh-CN"/>
              </w:rPr>
              <w:t>。</w:t>
            </w:r>
          </w:p>
          <w:p>
            <w:pPr>
              <w:numPr>
                <w:ilvl w:val="0"/>
                <w:numId w:val="8"/>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本理财产品</w:t>
            </w:r>
            <w:r>
              <w:rPr>
                <w:rFonts w:hint="eastAsia" w:ascii="楷体" w:hAnsi="楷体" w:eastAsia="楷体" w:cs="楷体"/>
                <w:b w:val="0"/>
                <w:bCs w:val="0"/>
                <w:color w:val="auto"/>
                <w:u w:val="none"/>
              </w:rPr>
              <w:t>客户首次购买的最低金额为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的整数倍。最低追加申购金额为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注：关于代理销售机构的实际销售起点金额的提示。</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（1）本理财产品在代理销售机构的实际销售起点金额，因代理销售机构的不同可能存在差异（可能高于销售文件约定的销售起点金额），应当以代理销售机构展示为准。</w:t>
            </w:r>
          </w:p>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（2）代理销售机构的实际销售起点金额，不得低于销售文件约定的销售起点金额。</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3</w:t>
            </w:r>
            <w:r>
              <w:rPr>
                <w:rFonts w:hint="eastAsia" w:ascii="楷体" w:hAnsi="楷体" w:eastAsia="楷体" w:cs="楷体"/>
                <w:b w:val="0"/>
                <w:bCs w:val="0"/>
                <w:color w:val="auto"/>
                <w:u w:val="none"/>
              </w:rPr>
              <w:t>、本理财产品单户最低持有份额为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（因产品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净值变化导致的情况除外）。</w:t>
            </w:r>
          </w:p>
          <w:p>
            <w:pPr>
              <w:tabs>
                <w:tab w:val="left" w:pos="360"/>
              </w:tabs>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highlight w:val="none"/>
                <w:u w:val="none"/>
                <w:lang w:val="en-US" w:eastAsia="zh-CN"/>
              </w:rPr>
              <w:t>4</w:t>
            </w:r>
            <w:r>
              <w:rPr>
                <w:rFonts w:hint="eastAsia" w:ascii="楷体" w:hAnsi="楷体" w:eastAsia="楷体" w:cs="楷体"/>
                <w:b w:val="0"/>
                <w:bCs w:val="0"/>
                <w:color w:val="auto"/>
                <w:highlight w:val="none"/>
                <w:u w:val="none"/>
              </w:rPr>
              <w:t>、</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注：本产品单一投资者持有份额不得超过产品总份额50%。</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（1）投资者认购或申购确认后可能导致其持有份额超过产品总份额50%的，管理人有权拒绝或暂停认购、申购。</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（2）非因管理人主观因素导致突破该比例限制的，在单一投资者持有比例降至50%以下之前，管理人不再接受该投资者对本产品的认购、申购申请。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赎回规则</w:t>
            </w:r>
          </w:p>
        </w:tc>
        <w:tc>
          <w:tcPr>
            <w:tcW w:w="6146" w:type="dxa"/>
            <w:vAlign w:val="top"/>
          </w:tcPr>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【B】</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9"/>
              </w:numPr>
              <w:rPr>
                <w:rFonts w:hint="eastAsia" w:ascii="楷体" w:hAnsi="楷体" w:eastAsia="楷体" w:cs="楷体"/>
                <w:b w:val="0"/>
                <w:bCs/>
                <w:color w:val="auto"/>
                <w:u w:val="none"/>
              </w:rPr>
            </w:pPr>
            <w:r>
              <w:rPr>
                <w:rFonts w:hint="eastAsia" w:ascii="楷体" w:hAnsi="楷体" w:eastAsia="楷体" w:cs="楷体"/>
                <w:b w:val="0"/>
                <w:bCs w:val="0"/>
                <w:color w:val="auto"/>
                <w:u w:val="none"/>
              </w:rPr>
              <w:t>本理财产品</w:t>
            </w:r>
            <w:r>
              <w:rPr>
                <w:rFonts w:hint="eastAsia" w:ascii="楷体" w:hAnsi="楷体" w:eastAsia="楷体" w:cs="楷体"/>
                <w:b w:val="0"/>
                <w:bCs w:val="0"/>
                <w:color w:val="auto"/>
                <w:u w:val="none"/>
                <w:lang w:val="en-US" w:eastAsia="zh-CN"/>
              </w:rPr>
              <w:t>客户</w:t>
            </w:r>
            <w:r>
              <w:rPr>
                <w:rFonts w:hint="eastAsia" w:ascii="楷体" w:hAnsi="楷体" w:eastAsia="楷体" w:cs="楷体"/>
                <w:b w:val="0"/>
                <w:bCs w:val="0"/>
                <w:color w:val="auto"/>
                <w:u w:val="none"/>
              </w:rPr>
              <w:t>赎回最低份额为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的整数倍，全额赎回除外。</w:t>
            </w:r>
            <w:r>
              <w:rPr>
                <w:rFonts w:hint="eastAsia" w:ascii="楷体" w:hAnsi="楷体" w:eastAsia="楷体" w:cs="楷体"/>
                <w:b w:val="0"/>
                <w:bCs w:val="0"/>
                <w:color w:val="auto"/>
                <w:u w:val="none"/>
                <w:lang w:val="en-US" w:eastAsia="zh-CN"/>
              </w:rPr>
              <w:t>投资者通过代理销售机构购买理财产品的，按照代理销售机构对于交易赎回设置的相关规定执行。</w:t>
            </w:r>
          </w:p>
          <w:p>
            <w:pPr>
              <w:numPr>
                <w:ilvl w:val="0"/>
                <w:numId w:val="9"/>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在每笔产品份额对应的开放持有期内，投资者可以根据本产品赎回规则申请赎回该笔份额，详见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p>
            <w:pPr>
              <w:numPr>
                <w:ilvl w:val="0"/>
                <w:numId w:val="9"/>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如投资者赎回申请为部分赎回的，则优先赎回最早认/申购的产品份额。</w:t>
            </w:r>
          </w:p>
          <w:p>
            <w:pPr>
              <w:numPr>
                <w:ilvl w:val="0"/>
                <w:numId w:val="9"/>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如投资者所持份额中，可赎回份额低于赎回申请的份额时，管理人有权拒绝该笔赎回申请。</w:t>
            </w:r>
          </w:p>
          <w:p>
            <w:pPr>
              <w:numPr>
                <w:ilvl w:val="0"/>
                <w:numId w:val="9"/>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管理人有权拒绝将导致客户持有份额低于单户最低持有份额的赎回申请。</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6、如本产品连</w:t>
            </w:r>
            <w:r>
              <w:rPr>
                <w:rFonts w:hint="eastAsia" w:ascii="楷体" w:hAnsi="楷体" w:eastAsia="楷体" w:cs="楷体"/>
                <w:b w:val="0"/>
                <w:bCs w:val="0"/>
                <w:color w:val="auto"/>
                <w:highlight w:val="none"/>
                <w:u w:val="none"/>
              </w:rPr>
              <w:t>续三个</w:t>
            </w:r>
            <w:r>
              <w:rPr>
                <w:rFonts w:hint="eastAsia" w:ascii="楷体" w:hAnsi="楷体" w:eastAsia="楷体" w:cs="楷体"/>
                <w:b w:val="0"/>
                <w:bCs w:val="0"/>
                <w:color w:val="auto"/>
                <w:highlight w:val="none"/>
                <w:u w:val="none"/>
                <w:lang w:val="en-US" w:eastAsia="zh-CN"/>
              </w:rPr>
              <w:t>开放日</w:t>
            </w:r>
            <w:r>
              <w:rPr>
                <w:rFonts w:hint="eastAsia" w:ascii="楷体" w:hAnsi="楷体" w:eastAsia="楷体" w:cs="楷体"/>
                <w:b w:val="0"/>
                <w:bCs w:val="0"/>
                <w:color w:val="auto"/>
                <w:highlight w:val="none"/>
                <w:u w:val="none"/>
              </w:rPr>
              <w:t>累计净赎回总份额达到产品份额的20%以上，管理人有权暂不接受赎回</w:t>
            </w:r>
            <w:r>
              <w:rPr>
                <w:rFonts w:hint="eastAsia" w:ascii="楷体" w:hAnsi="楷体" w:eastAsia="楷体" w:cs="楷体"/>
                <w:b w:val="0"/>
                <w:bCs w:val="0"/>
                <w:color w:val="auto"/>
                <w:u w:val="none"/>
              </w:rPr>
              <w:t>申请或按比例接受赎回申请。</w:t>
            </w:r>
          </w:p>
          <w:p>
            <w:pPr>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rPr>
              <w:t>7、</w:t>
            </w:r>
            <w:r>
              <w:rPr>
                <w:rFonts w:hint="eastAsia" w:ascii="楷体" w:hAnsi="楷体" w:eastAsia="楷体" w:cs="楷体"/>
                <w:b w:val="0"/>
                <w:bCs w:val="0"/>
                <w:color w:val="auto"/>
                <w:szCs w:val="21"/>
                <w:u w:val="none"/>
              </w:rPr>
              <w:t>开放式理财产品在前一估值日内，产品资产净值50%以上的资产不具备活跃交易市场或者在活跃市场中无报价，且不能采用估值技术可靠计量公允价值的，管理人有权暂停该产品估值，并采取延缓支付赎回款项或暂停接受理财产品申购、赎回申请等措施。</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8、产品赎回顺序按时间优先原则进行确认。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巨额赎回</w:t>
            </w:r>
          </w:p>
        </w:tc>
        <w:tc>
          <w:tcPr>
            <w:tcW w:w="6146" w:type="dxa"/>
            <w:vAlign w:val="top"/>
          </w:tcPr>
          <w:p>
            <w:pPr>
              <w:tabs>
                <w:tab w:val="center" w:pos="2965"/>
              </w:tabs>
              <w:rPr>
                <w:rFonts w:hint="eastAsia" w:ascii="楷体" w:hAnsi="楷体" w:eastAsia="楷体" w:cs="楷体"/>
                <w:b w:val="0"/>
                <w:bCs w:val="0"/>
                <w:u w:val="none"/>
              </w:rPr>
            </w:pPr>
            <w:r>
              <w:rPr>
                <w:rFonts w:hint="eastAsia" w:ascii="楷体" w:hAnsi="楷体" w:eastAsia="楷体" w:cs="楷体"/>
                <w:b w:val="0"/>
                <w:bCs w:val="0"/>
                <w:u w:val="none"/>
              </w:rPr>
              <w:t>投资者可于最短持有期届满后的开放日向销售机构提出赎回申请，若理财产品任一开放日净赎回</w:t>
            </w:r>
            <w:r>
              <w:rPr>
                <w:rFonts w:hint="eastAsia" w:ascii="楷体" w:hAnsi="楷体" w:eastAsia="楷体" w:cs="楷体"/>
                <w:b w:val="0"/>
                <w:bCs w:val="0"/>
                <w:u w:val="none"/>
                <w:lang w:val="en-US" w:eastAsia="zh-CN"/>
              </w:rPr>
              <w:t>申请</w:t>
            </w:r>
            <w:r>
              <w:rPr>
                <w:rFonts w:hint="eastAsia" w:ascii="楷体" w:hAnsi="楷体" w:eastAsia="楷体" w:cs="楷体"/>
                <w:b w:val="0"/>
                <w:bCs w:val="0"/>
                <w:u w:val="none"/>
              </w:rPr>
              <w:t>份额（赎回申请份额总数扣除申购申请份额总数）超过</w:t>
            </w:r>
            <w:r>
              <w:rPr>
                <w:rFonts w:hint="eastAsia" w:ascii="楷体" w:hAnsi="楷体" w:eastAsia="楷体" w:cs="楷体"/>
                <w:b w:val="0"/>
                <w:bCs w:val="0"/>
                <w:color w:val="auto"/>
                <w:u w:val="none"/>
              </w:rPr>
              <w:t>本理财产品上一</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日终份额的10%时，即为发生巨额赎回。</w:t>
            </w:r>
            <w:r>
              <w:rPr>
                <w:rFonts w:hint="eastAsia" w:ascii="楷体" w:hAnsi="楷体" w:eastAsia="楷体" w:cs="楷体"/>
                <w:b/>
                <w:bCs/>
                <w:color w:val="auto"/>
                <w:u w:val="none"/>
              </w:rPr>
              <w:t>在发生巨</w:t>
            </w:r>
            <w:r>
              <w:rPr>
                <w:rFonts w:hint="eastAsia" w:ascii="楷体" w:hAnsi="楷体" w:eastAsia="楷体" w:cs="楷体"/>
                <w:b/>
                <w:bCs/>
                <w:u w:val="none"/>
              </w:rPr>
              <w:t>额赎回时，管理人有权依照理财产品当时的资产组合状况选择全额赎回、部分赎回或延缓支付。</w:t>
            </w:r>
            <w:r>
              <w:rPr>
                <w:rFonts w:hint="eastAsia" w:ascii="楷体" w:hAnsi="楷体" w:eastAsia="楷体" w:cs="楷体"/>
                <w:b w:val="0"/>
                <w:bCs w:val="0"/>
                <w:szCs w:val="24"/>
                <w:u w:val="none"/>
              </w:rPr>
              <w:t>详细内容见</w:t>
            </w:r>
            <w:r>
              <w:rPr>
                <w:rFonts w:hint="eastAsia" w:ascii="楷体" w:hAnsi="楷体" w:eastAsia="楷体" w:cs="楷体"/>
                <w:b w:val="0"/>
                <w:bCs w:val="0"/>
                <w:szCs w:val="24"/>
                <w:u w:val="none"/>
                <w:lang w:eastAsia="zh-CN"/>
              </w:rPr>
              <w:t>《</w:t>
            </w:r>
            <w:r>
              <w:rPr>
                <w:rFonts w:hint="eastAsia" w:ascii="楷体" w:hAnsi="楷体" w:eastAsia="楷体" w:cs="楷体"/>
                <w:b w:val="0"/>
                <w:bCs w:val="0"/>
                <w:szCs w:val="24"/>
                <w:u w:val="none"/>
                <w:lang w:val="en-US" w:eastAsia="zh-CN"/>
              </w:rPr>
              <w:t>产品说明书</w:t>
            </w:r>
            <w:r>
              <w:rPr>
                <w:rFonts w:hint="eastAsia" w:ascii="楷体" w:hAnsi="楷体" w:eastAsia="楷体" w:cs="楷体"/>
                <w:b w:val="0"/>
                <w:bCs w:val="0"/>
                <w:szCs w:val="24"/>
                <w:u w:val="none"/>
                <w:lang w:eastAsia="zh-CN"/>
              </w:rPr>
              <w:t>》</w:t>
            </w:r>
            <w:r>
              <w:rPr>
                <w:rFonts w:hint="eastAsia" w:ascii="楷体" w:hAnsi="楷体" w:eastAsia="楷体" w:cs="楷体"/>
                <w:b/>
                <w:bCs/>
                <w:u w:val="none"/>
              </w:rPr>
              <w:t>“产品认购、申购和赎回”</w:t>
            </w:r>
            <w:r>
              <w:rPr>
                <w:rFonts w:hint="eastAsia" w:ascii="楷体" w:hAnsi="楷体" w:eastAsia="楷体" w:cs="楷体"/>
                <w:b w:val="0"/>
                <w:bCs w:val="0"/>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szCs w:val="21"/>
                <w:highlight w:val="none"/>
                <w:u w:val="none"/>
              </w:rPr>
              <w:t>理财产品</w:t>
            </w:r>
            <w:r>
              <w:rPr>
                <w:rFonts w:hint="eastAsia" w:ascii="楷体" w:hAnsi="楷体" w:eastAsia="楷体" w:cs="楷体"/>
                <w:b/>
                <w:bCs/>
                <w:szCs w:val="21"/>
                <w:highlight w:val="none"/>
                <w:u w:val="none"/>
                <w:lang w:val="en-US" w:eastAsia="zh-CN"/>
              </w:rPr>
              <w:t>收益</w:t>
            </w:r>
            <w:r>
              <w:rPr>
                <w:rFonts w:hint="eastAsia" w:ascii="楷体" w:hAnsi="楷体" w:eastAsia="楷体" w:cs="楷体"/>
                <w:b/>
                <w:bCs/>
                <w:szCs w:val="21"/>
                <w:highlight w:val="none"/>
                <w:u w:val="none"/>
              </w:rPr>
              <w:t>分配</w:t>
            </w:r>
          </w:p>
        </w:tc>
        <w:tc>
          <w:tcPr>
            <w:tcW w:w="6146" w:type="dxa"/>
            <w:vAlign w:val="center"/>
          </w:tcPr>
          <w:p>
            <w:pPr>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就期间分配而言，</w:t>
            </w:r>
            <w:r>
              <w:rPr>
                <w:rFonts w:hint="eastAsia" w:ascii="楷体" w:hAnsi="楷体" w:eastAsia="楷体" w:cs="楷体"/>
                <w:b w:val="0"/>
                <w:bCs w:val="0"/>
                <w:szCs w:val="21"/>
                <w:highlight w:val="none"/>
                <w:u w:val="none"/>
              </w:rPr>
              <w:t>在满足</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highlight w:val="none"/>
                <w:u w:val="none"/>
              </w:rPr>
              <w:t>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净值大于</w:t>
            </w:r>
            <w:r>
              <w:rPr>
                <w:rFonts w:hint="eastAsia" w:ascii="楷体" w:hAnsi="楷体" w:eastAsia="楷体" w:cs="楷体"/>
                <w:b w:val="0"/>
                <w:bCs w:val="0"/>
                <w:szCs w:val="21"/>
                <w:highlight w:val="none"/>
                <w:u w:val="none"/>
                <w:lang w:val="en-US" w:eastAsia="zh-CN"/>
              </w:rPr>
              <w:t>理财产品初始份额净值</w:t>
            </w:r>
            <w:r>
              <w:rPr>
                <w:rFonts w:hint="eastAsia" w:ascii="楷体" w:hAnsi="楷体" w:eastAsia="楷体" w:cs="楷体"/>
                <w:b w:val="0"/>
                <w:bCs w:val="0"/>
                <w:szCs w:val="21"/>
                <w:highlight w:val="none"/>
                <w:u w:val="none"/>
              </w:rPr>
              <w:t>的条件下，理财产品管理人可进行不定期分配，分配方式为现金分配</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理财产品管理人将根据理财产品投资收益情况决定分配基准日、当次分配比例和金额，并将于分红日后2个工作日内通过《产品说明书》“信息披露”约定的方式向投资者披露。</w:t>
            </w:r>
          </w:p>
          <w:p>
            <w:pPr>
              <w:rPr>
                <w:rFonts w:hint="eastAsia" w:ascii="楷体" w:hAnsi="楷体" w:eastAsia="楷体" w:cs="楷体"/>
                <w:b w:val="0"/>
                <w:bCs w:val="0"/>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就终止分配而言，</w:t>
            </w:r>
            <w:r>
              <w:rPr>
                <w:rFonts w:hint="eastAsia" w:ascii="楷体" w:hAnsi="楷体" w:eastAsia="楷体" w:cs="楷体"/>
                <w:b w:val="0"/>
                <w:bCs w:val="0"/>
                <w:szCs w:val="21"/>
                <w:highlight w:val="none"/>
                <w:u w:val="none"/>
              </w:rPr>
              <w:t>理财产品终止</w:t>
            </w:r>
            <w:r>
              <w:rPr>
                <w:rFonts w:hint="eastAsia" w:ascii="楷体" w:hAnsi="楷体" w:eastAsia="楷体" w:cs="楷体"/>
                <w:b w:val="0"/>
                <w:bCs w:val="0"/>
                <w:szCs w:val="21"/>
                <w:u w:val="none"/>
              </w:rPr>
              <w:t>日，如理财产品项下财产全部变现，管理人将在</w:t>
            </w:r>
            <w:r>
              <w:rPr>
                <w:rFonts w:hint="eastAsia" w:ascii="楷体" w:hAnsi="楷体" w:eastAsia="楷体" w:cs="楷体"/>
                <w:b w:val="0"/>
                <w:bCs w:val="0"/>
                <w:color w:val="auto"/>
                <w:szCs w:val="21"/>
                <w:u w:val="none"/>
              </w:rPr>
              <w:t>理财产品终止日后的5个工作日内扣除应由理财产品承担的税费及费用（包括但不限于固定投资管理费、销售管理费、托管费等）后将投资者应得资金（如有，下同）划转至投资者指定账户。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税费及费用（包括但不限于固定投资管理费、销售管理费、托管费等，或者由管理人、第三方垫付的费用）后，按照各投资者持有理财产品份额比例在5个工作日内向投资者分配。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bCs/>
                <w:color w:val="auto"/>
                <w:szCs w:val="21"/>
                <w:u w:val="none"/>
              </w:rPr>
              <w:t>“产品的收益、费用及税费”</w:t>
            </w:r>
            <w:r>
              <w:rPr>
                <w:rFonts w:hint="eastAsia" w:ascii="楷体" w:hAnsi="楷体" w:eastAsia="楷体" w:cs="楷体"/>
                <w:b w:val="0"/>
                <w:bCs w:val="0"/>
                <w:color w:val="auto"/>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楷体"/>
                <w:b/>
                <w:bCs/>
                <w:szCs w:val="21"/>
                <w:highlight w:val="none"/>
                <w:u w:val="none"/>
                <w:lang w:eastAsia="zh-CN"/>
              </w:rPr>
            </w:pPr>
            <w:r>
              <w:rPr>
                <w:rFonts w:hint="eastAsia" w:ascii="楷体" w:hAnsi="楷体" w:eastAsia="楷体" w:cs="楷体"/>
                <w:b/>
                <w:bCs/>
                <w:color w:val="auto"/>
                <w:szCs w:val="21"/>
                <w:u w:val="none"/>
              </w:rPr>
              <w:t>业绩比较基准</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lang w:val="en-US" w:eastAsia="zh-CN"/>
              </w:rPr>
              <w:t>年化</w:t>
            </w:r>
            <w:r>
              <w:rPr>
                <w:rFonts w:hint="eastAsia" w:ascii="楷体" w:hAnsi="楷体" w:eastAsia="楷体" w:cs="楷体"/>
                <w:b/>
                <w:bCs/>
                <w:color w:val="auto"/>
                <w:szCs w:val="21"/>
                <w:u w:val="none"/>
                <w:lang w:eastAsia="zh-CN"/>
              </w:rPr>
              <w:t>）</w:t>
            </w:r>
          </w:p>
        </w:tc>
        <w:tc>
          <w:tcPr>
            <w:tcW w:w="6146" w:type="dxa"/>
            <w:vAlign w:val="center"/>
          </w:tcPr>
          <w:p>
            <w:pPr>
              <w:numPr>
                <w:ilvl w:val="0"/>
                <w:numId w:val="0"/>
              </w:numPr>
              <w:rPr>
                <w:rFonts w:hint="eastAsia" w:ascii="楷体" w:hAnsi="楷体" w:eastAsia="楷体" w:cs="楷体"/>
                <w:b w:val="0"/>
                <w:bCs w:val="0"/>
                <w:color w:val="000000"/>
                <w:kern w:val="2"/>
                <w:sz w:val="21"/>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适用【B】类份额</w:t>
            </w:r>
            <w:r>
              <w:rPr>
                <w:rFonts w:hint="eastAsia" w:ascii="楷体" w:hAnsi="楷体" w:eastAsia="楷体" w:cs="楷体"/>
                <w:b w:val="0"/>
                <w:bCs w:val="0"/>
                <w:color w:val="auto"/>
                <w:szCs w:val="21"/>
                <w:u w:val="none"/>
                <w:lang w:eastAsia="zh-CN"/>
              </w:rPr>
              <w:t>）</w:t>
            </w:r>
          </w:p>
          <w:p>
            <w:pPr>
              <w:pStyle w:val="10"/>
              <w:widowControl/>
              <w:spacing w:beforeAutospacing="0" w:afterAutospacing="0"/>
              <w:rPr>
                <w:rFonts w:hint="eastAsia" w:ascii="楷体" w:hAnsi="楷体" w:eastAsia="楷体" w:cs="楷体"/>
                <w:b w:val="0"/>
                <w:bCs w:val="0"/>
                <w:szCs w:val="21"/>
                <w:u w:val="none"/>
              </w:rPr>
            </w:pPr>
            <w:r>
              <w:rPr>
                <w:rFonts w:hint="eastAsia" w:ascii="楷体" w:hAnsi="楷体" w:eastAsia="楷体" w:cs="楷体"/>
                <w:b/>
                <w:bCs/>
                <w:color w:val="000000"/>
                <w:kern w:val="2"/>
                <w:sz w:val="21"/>
                <w:szCs w:val="21"/>
                <w:u w:val="none"/>
                <w:lang w:val="en-US" w:eastAsia="zh-CN"/>
              </w:rPr>
              <w:t>业绩比较基准的说明：</w:t>
            </w:r>
            <w:r>
              <w:rPr>
                <w:rFonts w:hint="eastAsia" w:ascii="楷体" w:hAnsi="楷体" w:eastAsia="楷体" w:cs="楷体"/>
                <w:b w:val="0"/>
                <w:bCs w:val="0"/>
                <w:kern w:val="0"/>
                <w:sz w:val="21"/>
                <w:szCs w:val="21"/>
                <w:u w:val="none"/>
                <w:lang w:val="en-US" w:eastAsia="zh-CN"/>
              </w:rPr>
              <w:t>以产品投资货币市场工具、债券、债权类资产等固定收益类资产不低于80%，结合产品风险收益特征制定本产品的业绩比较基准。本产品业绩比较基准是在产品说明书约定的投资范围内，根据产品投资策略、市场环境和各类资产的投资比例及收益率水平进行综合测算而得出。</w:t>
            </w:r>
          </w:p>
          <w:p>
            <w:pPr>
              <w:pStyle w:val="10"/>
              <w:widowControl/>
              <w:spacing w:beforeAutospacing="0" w:afterAutospacing="0"/>
              <w:rPr>
                <w:rFonts w:hint="eastAsia" w:ascii="楷体" w:hAnsi="楷体" w:eastAsia="楷体" w:cs="楷体"/>
                <w:b/>
                <w:bCs/>
                <w:sz w:val="21"/>
                <w:szCs w:val="21"/>
                <w:u w:val="none"/>
                <w:lang w:val="en-US" w:eastAsia="zh-CN"/>
              </w:rPr>
            </w:pPr>
            <w:r>
              <w:rPr>
                <w:rFonts w:hint="eastAsia" w:ascii="楷体" w:hAnsi="楷体" w:eastAsia="楷体" w:cs="楷体"/>
                <w:b/>
                <w:bCs/>
                <w:sz w:val="21"/>
                <w:szCs w:val="21"/>
                <w:u w:val="none"/>
                <w:lang w:val="en-US" w:eastAsia="zh-CN"/>
              </w:rPr>
              <w:t>本理财产品设定业绩比较基准如下：</w:t>
            </w:r>
          </w:p>
          <w:p>
            <w:pPr>
              <w:rPr>
                <w:rFonts w:hint="eastAsia" w:ascii="楷体" w:hAnsi="楷体" w:eastAsia="楷体" w:cs="楷体"/>
                <w:b/>
                <w:bCs/>
                <w:color w:val="auto"/>
                <w:sz w:val="21"/>
                <w:szCs w:val="21"/>
                <w:u w:val="none"/>
                <w:lang w:val="en-US" w:eastAsia="zh-CN"/>
              </w:rPr>
            </w:pPr>
            <w:r>
              <w:rPr>
                <w:rFonts w:hint="eastAsia" w:ascii="楷体" w:hAnsi="楷体" w:eastAsia="楷体" w:cs="楷体"/>
                <w:b/>
                <w:bCs/>
                <w:color w:val="auto"/>
                <w:szCs w:val="21"/>
                <w:u w:val="none"/>
                <w:lang w:val="en-US" w:eastAsia="zh-CN"/>
              </w:rPr>
              <w:t>【B】</w:t>
            </w:r>
            <w:r>
              <w:rPr>
                <w:rFonts w:hint="eastAsia" w:ascii="楷体" w:hAnsi="楷体" w:eastAsia="楷体" w:cs="楷体"/>
                <w:b/>
                <w:bCs/>
                <w:color w:val="auto"/>
                <w:sz w:val="21"/>
                <w:szCs w:val="21"/>
                <w:u w:val="none"/>
                <w:lang w:val="en-US" w:eastAsia="zh-CN"/>
              </w:rPr>
              <w:t>类份额：【1.98%-3.18%】</w:t>
            </w:r>
          </w:p>
          <w:p>
            <w:pPr>
              <w:pStyle w:val="10"/>
              <w:widowControl/>
              <w:spacing w:beforeAutospacing="0" w:afterAutospacing="0"/>
              <w:rPr>
                <w:rFonts w:hint="eastAsia" w:ascii="楷体" w:hAnsi="楷体" w:eastAsia="楷体" w:cs="楷体"/>
                <w:b/>
                <w:bCs/>
                <w:kern w:val="2"/>
                <w:sz w:val="21"/>
                <w:szCs w:val="21"/>
                <w:u w:val="none"/>
              </w:rPr>
            </w:pPr>
            <w:r>
              <w:rPr>
                <w:rFonts w:hint="eastAsia" w:ascii="楷体" w:hAnsi="楷体" w:eastAsia="楷体" w:cs="楷体"/>
                <w:b/>
                <w:bCs/>
                <w:color w:val="000000"/>
                <w:kern w:val="2"/>
                <w:sz w:val="21"/>
                <w:szCs w:val="21"/>
                <w:u w:val="none"/>
              </w:rPr>
              <w:t>业绩比较基准是</w:t>
            </w:r>
            <w:r>
              <w:rPr>
                <w:rFonts w:hint="eastAsia" w:ascii="楷体" w:hAnsi="楷体" w:eastAsia="楷体" w:cs="楷体"/>
                <w:b/>
                <w:bCs/>
                <w:color w:val="000000"/>
                <w:kern w:val="2"/>
                <w:sz w:val="21"/>
                <w:szCs w:val="21"/>
                <w:u w:val="none"/>
                <w:lang w:val="en-US" w:eastAsia="zh-CN"/>
              </w:rPr>
              <w:t>管理人</w:t>
            </w:r>
            <w:r>
              <w:rPr>
                <w:rFonts w:hint="eastAsia" w:ascii="楷体" w:hAnsi="楷体" w:eastAsia="楷体" w:cs="楷体"/>
                <w:b/>
                <w:bCs/>
                <w:color w:val="000000"/>
                <w:kern w:val="2"/>
                <w:sz w:val="21"/>
                <w:szCs w:val="21"/>
                <w:u w:val="none"/>
              </w:rPr>
              <w:t>基于产品性质、投资策略、过往经验等因素对产品设定的投资目标，</w:t>
            </w:r>
            <w:r>
              <w:rPr>
                <w:rFonts w:hint="eastAsia" w:ascii="楷体" w:hAnsi="楷体" w:eastAsia="楷体" w:cs="楷体"/>
                <w:b/>
                <w:bCs/>
                <w:color w:val="auto"/>
                <w:kern w:val="2"/>
                <w:sz w:val="21"/>
                <w:szCs w:val="21"/>
              </w:rPr>
              <w:t>业绩比较基准不是预期收益率，</w:t>
            </w:r>
            <w:r>
              <w:rPr>
                <w:rFonts w:hint="eastAsia" w:ascii="楷体" w:hAnsi="楷体" w:eastAsia="楷体" w:cs="楷体"/>
                <w:b/>
                <w:bCs/>
                <w:color w:val="000000"/>
                <w:kern w:val="2"/>
                <w:sz w:val="21"/>
                <w:szCs w:val="21"/>
                <w:u w:val="none"/>
              </w:rPr>
              <w:t>不代表产品的未来表现和实际收益，不构成对产品收</w:t>
            </w:r>
            <w:r>
              <w:rPr>
                <w:rFonts w:hint="eastAsia" w:ascii="楷体" w:hAnsi="楷体" w:eastAsia="楷体" w:cs="楷体"/>
                <w:b/>
                <w:bCs/>
                <w:kern w:val="2"/>
                <w:sz w:val="21"/>
                <w:szCs w:val="21"/>
                <w:u w:val="none"/>
              </w:rPr>
              <w:t>益的承诺。</w:t>
            </w:r>
          </w:p>
          <w:p>
            <w:pPr>
              <w:pStyle w:val="10"/>
              <w:widowControl/>
              <w:spacing w:beforeAutospacing="0" w:afterAutospacing="0"/>
              <w:rPr>
                <w:rFonts w:hint="eastAsia" w:ascii="楷体" w:hAnsi="楷体" w:eastAsia="楷体" w:cs="楷体"/>
                <w:b/>
                <w:bCs/>
                <w:szCs w:val="21"/>
                <w:highlight w:val="none"/>
                <w:u w:val="none"/>
              </w:rPr>
            </w:pPr>
            <w:r>
              <w:rPr>
                <w:rFonts w:hint="eastAsia" w:ascii="楷体" w:hAnsi="楷体" w:eastAsia="楷体" w:cs="楷体"/>
                <w:b w:val="0"/>
                <w:bCs w:val="0"/>
                <w:kern w:val="2"/>
                <w:sz w:val="21"/>
                <w:szCs w:val="21"/>
                <w:u w:val="none"/>
              </w:rPr>
              <w:t>管理人将根据市场情况对产品的业绩比较基准进行动态</w:t>
            </w:r>
            <w:r>
              <w:rPr>
                <w:rFonts w:hint="eastAsia" w:ascii="楷体" w:hAnsi="楷体" w:eastAsia="楷体" w:cs="楷体"/>
                <w:b w:val="0"/>
                <w:bCs w:val="0"/>
                <w:color w:val="000000"/>
                <w:kern w:val="2"/>
                <w:sz w:val="21"/>
                <w:szCs w:val="21"/>
                <w:u w:val="none"/>
              </w:rPr>
              <w:t>调整，投资者可通过销售机构网站进行查询，调整后的业绩比较基准自公布日起的第一个产品确认日生效</w:t>
            </w:r>
            <w:r>
              <w:rPr>
                <w:rFonts w:hint="eastAsia" w:ascii="楷体" w:hAnsi="楷体" w:eastAsia="楷体" w:cs="楷体"/>
                <w:b w:val="0"/>
                <w:bCs w:val="0"/>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lang w:val="en-US" w:eastAsia="zh-CN"/>
              </w:rPr>
            </w:pPr>
            <w:r>
              <w:rPr>
                <w:rFonts w:hint="eastAsia" w:ascii="楷体" w:hAnsi="楷体" w:eastAsia="楷体" w:cs="楷体"/>
                <w:b/>
                <w:bCs/>
                <w:color w:val="auto"/>
                <w:highlight w:val="none"/>
                <w:u w:val="none"/>
                <w:lang w:val="en-US" w:eastAsia="zh-CN"/>
              </w:rPr>
              <w:t>理财</w:t>
            </w:r>
            <w:r>
              <w:rPr>
                <w:rFonts w:hint="eastAsia" w:ascii="楷体" w:hAnsi="楷体" w:eastAsia="楷体" w:cs="楷体"/>
                <w:b/>
                <w:bCs/>
                <w:color w:val="auto"/>
                <w:highlight w:val="none"/>
                <w:u w:val="none"/>
              </w:rPr>
              <w:t>产品</w:t>
            </w:r>
            <w:r>
              <w:rPr>
                <w:rFonts w:hint="eastAsia" w:ascii="楷体" w:hAnsi="楷体" w:eastAsia="楷体" w:cs="楷体"/>
                <w:b/>
                <w:bCs/>
                <w:color w:val="auto"/>
                <w:highlight w:val="none"/>
                <w:u w:val="none"/>
                <w:lang w:val="en-US" w:eastAsia="zh-CN"/>
              </w:rPr>
              <w:t>费率设置</w:t>
            </w:r>
          </w:p>
        </w:tc>
        <w:tc>
          <w:tcPr>
            <w:tcW w:w="6146" w:type="dxa"/>
            <w:vAlign w:val="top"/>
          </w:tcPr>
          <w:p>
            <w:pPr>
              <w:numPr>
                <w:ilvl w:val="12"/>
                <w:numId w:val="0"/>
              </w:numP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适用</w:t>
            </w:r>
            <w:r>
              <w:rPr>
                <w:rFonts w:hint="eastAsia" w:ascii="楷体" w:hAnsi="楷体" w:eastAsia="楷体" w:cs="楷体"/>
                <w:b w:val="0"/>
                <w:bCs w:val="0"/>
                <w:color w:val="auto"/>
                <w:szCs w:val="21"/>
                <w:u w:val="none"/>
                <w:lang w:val="en-US" w:eastAsia="zh-CN"/>
              </w:rPr>
              <w:t>【B】</w:t>
            </w:r>
            <w:r>
              <w:rPr>
                <w:rFonts w:hint="eastAsia" w:ascii="楷体" w:hAnsi="楷体" w:eastAsia="楷体" w:cs="楷体"/>
                <w:b w:val="0"/>
                <w:bCs w:val="0"/>
                <w:color w:val="auto"/>
                <w:szCs w:val="21"/>
                <w:highlight w:val="none"/>
                <w:u w:val="none"/>
                <w:lang w:val="en-US" w:eastAsia="zh-CN"/>
              </w:rPr>
              <w:t>类份额</w:t>
            </w:r>
            <w:r>
              <w:rPr>
                <w:rFonts w:hint="eastAsia" w:ascii="楷体" w:hAnsi="楷体" w:eastAsia="楷体" w:cs="楷体"/>
                <w:b w:val="0"/>
                <w:bCs w:val="0"/>
                <w:color w:val="auto"/>
                <w:szCs w:val="21"/>
                <w:highlight w:val="none"/>
                <w:u w:val="none"/>
                <w:lang w:eastAsia="zh-CN"/>
              </w:rPr>
              <w:t>）</w:t>
            </w:r>
          </w:p>
          <w:p>
            <w:pPr>
              <w:numPr>
                <w:ilvl w:val="12"/>
                <w:numId w:val="0"/>
              </w:numPr>
              <w:rPr>
                <w:rFonts w:hint="eastAsia" w:ascii="楷体" w:hAnsi="楷体" w:eastAsia="楷体" w:cs="楷体"/>
                <w:b/>
                <w:bCs/>
                <w:szCs w:val="22"/>
                <w:u w:val="none"/>
                <w:lang w:val="en-US" w:eastAsia="zh-CN"/>
              </w:rPr>
            </w:pPr>
            <w:r>
              <w:rPr>
                <w:rFonts w:hint="eastAsia" w:ascii="楷体" w:hAnsi="楷体" w:eastAsia="楷体" w:cs="楷体"/>
                <w:b/>
                <w:bCs/>
                <w:szCs w:val="22"/>
                <w:u w:val="none"/>
                <w:lang w:val="en-US" w:eastAsia="zh-CN"/>
              </w:rPr>
              <w:t>1、理财产品费用：</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szCs w:val="21"/>
                <w:highlight w:val="none"/>
                <w:u w:val="none"/>
                <w:lang w:val="en-US" w:eastAsia="zh-CN"/>
              </w:rPr>
              <w:t>（1）销售管理费：</w:t>
            </w:r>
            <w:r>
              <w:rPr>
                <w:rFonts w:hint="eastAsia" w:ascii="楷体" w:hAnsi="楷体" w:eastAsia="楷体" w:cs="楷体"/>
                <w:b w:val="0"/>
                <w:bCs w:val="0"/>
                <w:color w:val="auto"/>
                <w:szCs w:val="21"/>
                <w:highlight w:val="none"/>
                <w:u w:val="none"/>
                <w:lang w:val="en-US" w:eastAsia="zh-CN"/>
              </w:rPr>
              <w:t>年化费率0.60%</w:t>
            </w:r>
            <w:r>
              <w:rPr>
                <w:rFonts w:hint="eastAsia" w:ascii="楷体" w:hAnsi="楷体" w:eastAsia="楷体" w:cs="楷体"/>
                <w:b/>
                <w:bCs/>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（2）固定投资管理费：</w:t>
            </w:r>
            <w:r>
              <w:rPr>
                <w:rFonts w:hint="eastAsia" w:ascii="楷体" w:hAnsi="楷体" w:eastAsia="楷体" w:cs="楷体"/>
                <w:b w:val="0"/>
                <w:bCs w:val="0"/>
                <w:color w:val="auto"/>
                <w:szCs w:val="21"/>
                <w:highlight w:val="none"/>
                <w:u w:val="none"/>
                <w:lang w:val="en-US" w:eastAsia="zh-CN"/>
              </w:rPr>
              <w:t>年化费率0.60%。</w:t>
            </w:r>
          </w:p>
          <w:p>
            <w:pPr>
              <w:numPr>
                <w:ilvl w:val="12"/>
                <w:numId w:val="0"/>
              </w:numPr>
              <w:rPr>
                <w:rFonts w:hint="eastAsia" w:ascii="楷体" w:hAnsi="楷体" w:eastAsia="楷体" w:cs="楷体"/>
                <w:b w:val="0"/>
                <w:bCs w:val="0"/>
                <w:color w:val="auto"/>
                <w:szCs w:val="21"/>
                <w:highlight w:val="none"/>
                <w:u w:val="none"/>
                <w:lang w:val="en-US"/>
              </w:rPr>
            </w:pPr>
            <w:r>
              <w:rPr>
                <w:rFonts w:hint="eastAsia" w:ascii="楷体" w:hAnsi="楷体" w:eastAsia="楷体" w:cs="楷体"/>
                <w:b/>
                <w:bCs/>
                <w:color w:val="auto"/>
                <w:szCs w:val="21"/>
                <w:highlight w:val="none"/>
                <w:u w:val="none"/>
                <w:lang w:val="en-US" w:eastAsia="zh-CN"/>
              </w:rPr>
              <w:t>（3）托管费：</w:t>
            </w:r>
            <w:r>
              <w:rPr>
                <w:rFonts w:hint="eastAsia" w:ascii="楷体" w:hAnsi="楷体" w:eastAsia="楷体" w:cs="楷体"/>
                <w:b w:val="0"/>
                <w:bCs w:val="0"/>
                <w:color w:val="auto"/>
                <w:szCs w:val="21"/>
                <w:highlight w:val="none"/>
                <w:u w:val="none"/>
                <w:lang w:val="en-US" w:eastAsia="zh-CN"/>
              </w:rPr>
              <w:t>年化费率0.02%。</w:t>
            </w:r>
          </w:p>
          <w:p>
            <w:pPr>
              <w:numPr>
                <w:ilvl w:val="12"/>
                <w:numId w:val="0"/>
              </w:numPr>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（4）浮动投资管理费：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widowControl/>
              <w:numPr>
                <w:ilvl w:val="0"/>
                <w:numId w:val="0"/>
              </w:numPr>
              <w:jc w:val="left"/>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2、认购费、申购费、赎回费：</w:t>
            </w:r>
          </w:p>
          <w:p>
            <w:pPr>
              <w:numPr>
                <w:ilvl w:val="12"/>
                <w:numId w:val="0"/>
              </w:numPr>
              <w:ind w:firstLine="420" w:firstLineChars="20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投资者认购/申购或赎回本理财产品时，需按约定支付认购/申购费或赎回费（如有），认购/申购费、赎回费不属于理财产品费用，不由理财产品承担，由投资者承担并于认购/申购或赎回份额时一次性支付。</w:t>
            </w:r>
          </w:p>
          <w:p>
            <w:pPr>
              <w:numPr>
                <w:ilvl w:val="12"/>
                <w:numId w:val="0"/>
              </w:numPr>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（1）认购费：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（2）申购费：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val="0"/>
                <w:bCs w:val="0"/>
                <w:color w:val="auto"/>
                <w:szCs w:val="21"/>
                <w:u w:val="none"/>
                <w:lang w:val="en-US" w:eastAsia="zh-CN"/>
              </w:rPr>
            </w:pPr>
            <w:r>
              <w:rPr>
                <w:rFonts w:hint="eastAsia" w:ascii="楷体" w:hAnsi="楷体" w:eastAsia="楷体" w:cs="楷体"/>
                <w:b/>
                <w:bCs/>
                <w:color w:val="auto"/>
                <w:szCs w:val="21"/>
                <w:highlight w:val="none"/>
                <w:u w:val="none"/>
                <w:lang w:val="en-US" w:eastAsia="zh-CN"/>
              </w:rPr>
              <w:t>（3）赎回费：</w:t>
            </w:r>
            <w:r>
              <w:rPr>
                <w:rFonts w:hint="eastAsia" w:ascii="楷体" w:hAnsi="楷体" w:eastAsia="楷体" w:cs="楷体"/>
                <w:b w:val="0"/>
                <w:bCs w:val="0"/>
                <w:color w:val="auto"/>
                <w:szCs w:val="21"/>
                <w:highlight w:val="none"/>
                <w:u w:val="none"/>
                <w:lang w:val="en-US" w:eastAsia="zh-CN"/>
              </w:rPr>
              <w:t>【/】。</w:t>
            </w:r>
          </w:p>
          <w:p>
            <w:pPr>
              <w:numPr>
                <w:ilvl w:val="12"/>
                <w:numId w:val="0"/>
              </w:numPr>
              <w:ind w:left="0" w:leftChars="0" w:firstLine="0" w:firstLineChars="0"/>
              <w:rPr>
                <w:rFonts w:hint="eastAsia" w:ascii="楷体" w:hAnsi="楷体" w:eastAsia="楷体" w:cs="楷体"/>
                <w:b/>
                <w:bCs/>
                <w:color w:val="000000"/>
                <w:kern w:val="2"/>
                <w:sz w:val="21"/>
                <w:szCs w:val="21"/>
                <w:u w:val="none"/>
              </w:rPr>
            </w:pPr>
            <w:r>
              <w:rPr>
                <w:rFonts w:hint="eastAsia" w:ascii="楷体" w:hAnsi="楷体" w:eastAsia="楷体" w:cs="楷体"/>
                <w:b w:val="0"/>
                <w:bCs w:val="0"/>
                <w:szCs w:val="21"/>
                <w:highlight w:val="none"/>
                <w:u w:val="none"/>
                <w:lang w:val="en-US" w:eastAsia="zh-CN"/>
              </w:rPr>
              <w:t>3、</w:t>
            </w:r>
            <w:r>
              <w:rPr>
                <w:rFonts w:hint="eastAsia" w:ascii="楷体" w:hAnsi="楷体" w:eastAsia="楷体" w:cs="楷体"/>
                <w:b w:val="0"/>
                <w:bCs w:val="0"/>
                <w:szCs w:val="21"/>
                <w:highlight w:val="none"/>
                <w:u w:val="none"/>
              </w:rPr>
              <w:t>上银理财有权根据相关法律和国家政策规定调整产品费率，调整产品费率的公告将通过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highlight w:val="none"/>
                <w:u w:val="none"/>
              </w:rPr>
              <w:t>“信息披露”约定的方式向投资者披露</w:t>
            </w:r>
            <w:r>
              <w:rPr>
                <w:rFonts w:hint="eastAsia" w:ascii="楷体" w:hAnsi="楷体" w:eastAsia="楷体" w:cs="楷体"/>
                <w:b w:val="0"/>
                <w:bCs w:val="0"/>
                <w:szCs w:val="21"/>
                <w:highlight w:val="none"/>
                <w:u w:val="none"/>
              </w:rPr>
              <w:t>。投资者若不接受，可根据实际情况按照公告约定提前赎回本理财产品。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本金及理财收益</w:t>
            </w:r>
          </w:p>
        </w:tc>
        <w:tc>
          <w:tcPr>
            <w:tcW w:w="6146" w:type="dxa"/>
            <w:vAlign w:val="top"/>
          </w:tcPr>
          <w:p>
            <w:pPr>
              <w:numPr>
                <w:ilvl w:val="12"/>
                <w:numId w:val="0"/>
              </w:numPr>
              <w:ind w:left="0" w:leftChars="0" w:firstLine="0" w:firstLineChars="0"/>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本理财产品不保障本金和收益，详见</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bCs/>
                <w:szCs w:val="21"/>
                <w:highlight w:val="none"/>
                <w:u w:val="none"/>
              </w:rPr>
              <w:t>“产品的收益、费用及税费”。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4" w:hRule="atLeast"/>
        </w:trPr>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收益计算基础</w:t>
            </w:r>
          </w:p>
        </w:tc>
        <w:tc>
          <w:tcPr>
            <w:tcW w:w="6146" w:type="dxa"/>
            <w:vAlign w:val="top"/>
          </w:tcPr>
          <w:p>
            <w:pPr>
              <w:numPr>
                <w:ilvl w:val="12"/>
                <w:numId w:val="0"/>
              </w:numPr>
              <w:ind w:left="0" w:leftChars="0" w:firstLine="0" w:firstLineChars="0"/>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lang w:val="en-US" w:eastAsia="zh-CN"/>
              </w:rPr>
              <w:t>365天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rPr>
              <w:t>其他税费</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产品管理人</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上银理财有限责任公司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产品托管人</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销售机构</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宁波镇海农村商业银行股份有限公司、九江银行股份有限公司、宁波慈溪农村商业银行股份有限公司、苏州银行股份有限公司、张家口银行股份有限公司、江苏张家港农村商业银行股份有限公司、浙江上虞农村商业银行股份有限公司、浙江桐乡农村商业银行股份有限公司、宁波鄞州农村商业银行股份有限公司、江苏江南农村商业银行股份有限公司、浙江乐清农村商业银行股份有限公司、吉林银行股份有限公司、浙江青田农村商业银行股份有限公司、浙江义乌农村商业银行股份有限公司、浙江长兴农村商业银行股份有限公司、杭州联合农村商业银行股份有限公司、浙江绍兴瑞丰农村商业银行股份有限公司、浙江德清农村商业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其他规定</w:t>
            </w:r>
          </w:p>
        </w:tc>
        <w:tc>
          <w:tcPr>
            <w:tcW w:w="6146" w:type="dxa"/>
            <w:vAlign w:val="center"/>
          </w:tcPr>
          <w:p>
            <w:pPr>
              <w:rPr>
                <w:rFonts w:hint="eastAsia" w:ascii="楷体" w:hAnsi="楷体" w:eastAsia="楷体" w:cs="楷体"/>
                <w:b w:val="0"/>
                <w:bCs w:val="0"/>
                <w:u w:val="none"/>
              </w:rPr>
            </w:pPr>
            <w:r>
              <w:rPr>
                <w:rFonts w:hint="eastAsia" w:ascii="楷体" w:hAnsi="楷体" w:eastAsia="楷体" w:cs="楷体"/>
                <w:b w:val="0"/>
                <w:bCs w:val="0"/>
                <w:u w:val="none"/>
                <w:lang w:val="en-US" w:eastAsia="zh-CN"/>
              </w:rPr>
              <w:t>1、</w:t>
            </w:r>
            <w:r>
              <w:rPr>
                <w:rFonts w:hint="eastAsia" w:ascii="楷体" w:hAnsi="楷体" w:eastAsia="楷体" w:cs="楷体"/>
                <w:b w:val="0"/>
                <w:bCs w:val="0"/>
                <w:u w:val="none"/>
              </w:rPr>
              <w:t>投资者在募集期内认购本理财产品被受理后，销售机构有权冻结或预扣认购款项，冻结或预扣期间管理人不向投资者计付利息，销售机构是否计付利息以销售机构计息规则为准</w:t>
            </w:r>
            <w:r>
              <w:rPr>
                <w:rFonts w:hint="eastAsia" w:ascii="楷体" w:hAnsi="楷体" w:eastAsia="楷体" w:cs="楷体"/>
                <w:b w:val="0"/>
                <w:bCs w:val="0"/>
                <w:u w:val="none"/>
                <w:lang w:eastAsia="zh-CN"/>
              </w:rPr>
              <w:t>，</w:t>
            </w:r>
            <w:r>
              <w:rPr>
                <w:rFonts w:hint="eastAsia" w:ascii="楷体" w:hAnsi="楷体" w:eastAsia="楷体" w:cs="楷体"/>
                <w:b w:val="0"/>
                <w:bCs w:val="0"/>
                <w:u w:val="none"/>
              </w:rPr>
              <w:t>利息部分不计入认购本金</w:t>
            </w:r>
            <w:r>
              <w:rPr>
                <w:rFonts w:hint="eastAsia" w:ascii="楷体" w:hAnsi="楷体" w:eastAsia="楷体" w:cs="楷体"/>
                <w:b w:val="0"/>
                <w:bCs w:val="0"/>
                <w:u w:val="none"/>
                <w:lang w:eastAsia="zh-CN"/>
              </w:rPr>
              <w:t>；</w:t>
            </w:r>
          </w:p>
          <w:p>
            <w:pPr>
              <w:rPr>
                <w:rFonts w:hint="eastAsia" w:ascii="楷体" w:hAnsi="楷体" w:eastAsia="楷体" w:cs="楷体"/>
                <w:b w:val="0"/>
                <w:bCs w:val="0"/>
                <w:szCs w:val="21"/>
                <w:highlight w:val="none"/>
                <w:u w:val="none"/>
              </w:rPr>
            </w:pPr>
            <w:r>
              <w:rPr>
                <w:rFonts w:hint="eastAsia" w:ascii="楷体" w:hAnsi="楷体" w:eastAsia="楷体" w:cs="楷体"/>
                <w:b w:val="0"/>
                <w:bCs w:val="0"/>
                <w:u w:val="none"/>
                <w:lang w:val="en-US" w:eastAsia="zh-CN"/>
              </w:rPr>
              <w:t>2、理财产品终止后，清算期</w:t>
            </w:r>
            <w:r>
              <w:rPr>
                <w:rFonts w:hint="eastAsia" w:ascii="楷体" w:hAnsi="楷体" w:eastAsia="楷体" w:cs="楷体"/>
                <w:b w:val="0"/>
                <w:bCs w:val="0"/>
                <w:u w:val="none"/>
              </w:rPr>
              <w:t>不计</w:t>
            </w:r>
            <w:r>
              <w:rPr>
                <w:rFonts w:hint="eastAsia" w:ascii="楷体" w:hAnsi="楷体" w:eastAsia="楷体" w:cs="楷体"/>
                <w:b w:val="0"/>
                <w:bCs w:val="0"/>
                <w:u w:val="none"/>
                <w:lang w:val="en-US" w:eastAsia="zh-CN"/>
              </w:rPr>
              <w:t>算投资</w:t>
            </w:r>
            <w:r>
              <w:rPr>
                <w:rFonts w:hint="eastAsia" w:ascii="楷体" w:hAnsi="楷体" w:eastAsia="楷体" w:cs="楷体"/>
                <w:b w:val="0"/>
                <w:bCs w:val="0"/>
                <w:u w:val="none"/>
              </w:rPr>
              <w:t>收益</w:t>
            </w:r>
            <w:r>
              <w:rPr>
                <w:rFonts w:hint="eastAsia" w:ascii="楷体" w:hAnsi="楷体" w:eastAsia="楷体" w:cs="楷体"/>
                <w:b w:val="0"/>
                <w:bCs w:val="0"/>
                <w:u w:val="none"/>
                <w:lang w:eastAsia="zh-CN"/>
              </w:rPr>
              <w:t>。</w:t>
            </w:r>
          </w:p>
        </w:tc>
      </w:tr>
    </w:tbl>
    <w:p>
      <w:pPr>
        <w:pStyle w:val="2"/>
        <w:spacing w:before="120" w:after="120" w:line="240" w:lineRule="auto"/>
        <w:rPr>
          <w:rFonts w:ascii="楷体" w:hAnsi="楷体" w:eastAsia="楷体"/>
          <w:sz w:val="28"/>
          <w:szCs w:val="28"/>
          <w:u w:val="none"/>
        </w:rPr>
      </w:pPr>
      <w:bookmarkStart w:id="7" w:name="_Toc98680958"/>
      <w:r>
        <w:rPr>
          <w:rFonts w:hint="eastAsia" w:ascii="楷体" w:hAnsi="楷体" w:eastAsia="楷体"/>
          <w:sz w:val="28"/>
          <w:szCs w:val="28"/>
          <w:u w:val="none"/>
          <w:lang w:val="en-US" w:eastAsia="zh-CN"/>
        </w:rPr>
        <w:t>四</w:t>
      </w:r>
      <w:r>
        <w:rPr>
          <w:rFonts w:ascii="楷体" w:hAnsi="楷体" w:eastAsia="楷体"/>
          <w:sz w:val="28"/>
          <w:szCs w:val="28"/>
          <w:u w:val="none"/>
        </w:rPr>
        <w:t>、</w:t>
      </w:r>
      <w:bookmarkEnd w:id="7"/>
      <w:r>
        <w:rPr>
          <w:rFonts w:hint="eastAsia" w:ascii="楷体" w:hAnsi="楷体" w:eastAsia="楷体"/>
          <w:sz w:val="28"/>
          <w:szCs w:val="28"/>
          <w:u w:val="none"/>
        </w:rPr>
        <w:t>投资目标、</w:t>
      </w:r>
      <w:r>
        <w:rPr>
          <w:rFonts w:ascii="楷体" w:hAnsi="楷体" w:eastAsia="楷体"/>
          <w:sz w:val="28"/>
          <w:szCs w:val="28"/>
          <w:u w:val="none"/>
        </w:rPr>
        <w:t>范围和比例</w:t>
      </w:r>
    </w:p>
    <w:p>
      <w:pPr>
        <w:pStyle w:val="3"/>
        <w:adjustRightInd w:val="0"/>
        <w:snapToGrid w:val="0"/>
        <w:spacing w:before="0" w:after="0" w:line="360" w:lineRule="auto"/>
        <w:ind w:firstLine="422" w:firstLineChars="200"/>
        <w:rPr>
          <w:rFonts w:hint="eastAsia" w:ascii="楷体" w:hAnsi="楷体" w:eastAsia="楷体" w:cs="楷体"/>
          <w:color w:val="000000"/>
          <w:kern w:val="0"/>
          <w:sz w:val="21"/>
          <w:u w:val="none"/>
        </w:rPr>
      </w:pPr>
      <w:bookmarkStart w:id="8" w:name="_Toc98680959"/>
      <w:r>
        <w:rPr>
          <w:rFonts w:hint="eastAsia" w:ascii="楷体" w:hAnsi="楷体" w:eastAsia="楷体" w:cs="楷体"/>
          <w:color w:val="000000"/>
          <w:kern w:val="0"/>
          <w:sz w:val="21"/>
          <w:u w:val="none"/>
        </w:rPr>
        <w:t>（一）投资目标</w:t>
      </w:r>
    </w:p>
    <w:p>
      <w:pPr>
        <w:pStyle w:val="10"/>
        <w:widowControl/>
        <w:adjustRightInd w:val="0"/>
        <w:snapToGrid w:val="0"/>
        <w:spacing w:before="120" w:beforeAutospacing="0" w:after="120" w:afterAutospacing="0" w:line="360" w:lineRule="auto"/>
        <w:ind w:firstLine="409" w:firstLineChars="195"/>
        <w:rPr>
          <w:rFonts w:hint="eastAsia" w:ascii="楷体" w:hAnsi="楷体" w:eastAsia="楷体" w:cs="楷体"/>
          <w:kern w:val="2"/>
          <w:sz w:val="21"/>
          <w:szCs w:val="21"/>
          <w:u w:val="none"/>
        </w:rPr>
      </w:pPr>
      <w:r>
        <w:rPr>
          <w:rFonts w:hint="eastAsia" w:ascii="楷体" w:hAnsi="楷体" w:eastAsia="楷体" w:cs="楷体"/>
          <w:kern w:val="2"/>
          <w:sz w:val="21"/>
          <w:szCs w:val="21"/>
          <w:u w:val="none"/>
        </w:rPr>
        <w:t>本理财产品主要投资于固定收益类资产。本理财产品将结合宏观经济走势、利率走势的判断，加强信用风险把控，做好固定收益类资产的配置，力争为投资者创造资产的稳健增值。</w:t>
      </w:r>
    </w:p>
    <w:p>
      <w:pPr>
        <w:pStyle w:val="3"/>
        <w:adjustRightInd w:val="0"/>
        <w:snapToGrid w:val="0"/>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（二）投资范围</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产品管理人以发行本理财产品所募集的资金，</w:t>
      </w:r>
      <w:r>
        <w:rPr>
          <w:rFonts w:hint="eastAsia" w:ascii="楷体" w:hAnsi="楷体" w:eastAsia="楷体" w:cs="楷体"/>
          <w:szCs w:val="21"/>
          <w:u w:val="none"/>
          <w:lang w:val="en-US" w:eastAsia="zh-CN"/>
        </w:rPr>
        <w:t>直接或通过资产管理产品</w:t>
      </w:r>
      <w:r>
        <w:rPr>
          <w:rFonts w:hint="eastAsia" w:ascii="楷体" w:hAnsi="楷体" w:eastAsia="楷体" w:cs="楷体"/>
          <w:szCs w:val="21"/>
          <w:u w:val="none"/>
        </w:rPr>
        <w:t>投资于各类资产，包括但不限于：</w:t>
      </w:r>
    </w:p>
    <w:p>
      <w:pPr>
        <w:snapToGrid w:val="0"/>
        <w:spacing w:line="360" w:lineRule="auto"/>
        <w:ind w:firstLine="420" w:firstLineChars="200"/>
        <w:rPr>
          <w:rFonts w:hint="eastAsia" w:ascii="楷体" w:hAnsi="楷体" w:eastAsia="楷体" w:cs="楷体"/>
          <w:szCs w:val="21"/>
          <w:u w:val="none"/>
          <w:lang w:val="en-US" w:eastAsia="zh-CN"/>
        </w:rPr>
      </w:pPr>
      <w:r>
        <w:rPr>
          <w:rFonts w:hint="eastAsia" w:ascii="楷体" w:hAnsi="楷体" w:eastAsia="楷体" w:cs="楷体"/>
          <w:szCs w:val="21"/>
          <w:u w:val="none"/>
          <w:lang w:val="en-US" w:eastAsia="zh-CN"/>
        </w:rPr>
        <w:t>1、</w:t>
      </w:r>
      <w:r>
        <w:rPr>
          <w:rFonts w:hint="eastAsia" w:ascii="楷体" w:hAnsi="楷体" w:eastAsia="楷体" w:cs="楷体"/>
          <w:color w:val="auto"/>
          <w:sz w:val="21"/>
          <w:szCs w:val="21"/>
          <w:u w:val="none"/>
        </w:rPr>
        <w:t>固定收益类资产</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货币市场工具：现金、银行存款、大额存单、资金拆借、债券回购、货币基金等。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标准化债权资产：国债、央票、企业债、金融债、政策性金融债、同业存单、次级债、资产支持证券、地方政府债、中期票据、短期融资券、超短期融资券、公司债、私募债、债权性质的永续债、资本补充债券、可转换债券、可交换债券、非公开定向债务融资工具(PPN)、二级资本债、债券型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lang w:val="en-US" w:eastAsia="zh-CN"/>
        </w:rPr>
        <w:t>2、</w:t>
      </w:r>
      <w:r>
        <w:rPr>
          <w:rFonts w:hint="eastAsia" w:ascii="楷体" w:hAnsi="楷体" w:eastAsia="楷体" w:cs="楷体"/>
          <w:b w:val="0"/>
          <w:bCs/>
          <w:szCs w:val="21"/>
          <w:u w:val="none"/>
        </w:rPr>
        <w:t>权益类资产</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股票（包括优先股）、股票型基金、混合型基金、权益性质的永续债等。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szCs w:val="21"/>
          <w:u w:val="none"/>
          <w:lang w:val="en-US" w:eastAsia="zh-CN"/>
        </w:rPr>
        <w:t>注：</w:t>
      </w:r>
      <w:r>
        <w:rPr>
          <w:rFonts w:hint="eastAsia" w:ascii="楷体" w:hAnsi="楷体" w:eastAsia="楷体" w:cs="楷体"/>
          <w:b w:val="0"/>
          <w:bCs/>
          <w:szCs w:val="21"/>
          <w:u w:val="none"/>
        </w:rPr>
        <w:t>资产管理产品包括但不限于信托计划、证券公司及其资产管理公司资产管理计划、基金公司资产管理计划、保险资产管理公司投资计划等。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如存在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在遵守相关法律法规、监管规则及本《产品说明书》约定，避免不公平交易、利益输送等违法违规行为的前提下，投资者知晓并同意本理财产品的投资对象可能包括理财产品管理人/托管人及其关联方或重大利害关系人发行、承销、管理的符合本理财产品投资范围规定的投资品种。本产品实际发生的关联交易（无论是否在上述列举范围内）以管理人按照相关法律法规、规章和监管规定进行的相关披露为准。 </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（三）投资比例</w:t>
      </w:r>
    </w:p>
    <w:p>
      <w:pPr>
        <w:snapToGrid w:val="0"/>
        <w:spacing w:line="360" w:lineRule="auto"/>
        <w:ind w:firstLine="420" w:firstLineChars="200"/>
        <w:rPr>
          <w:rFonts w:hint="eastAsia" w:ascii="楷体" w:hAnsi="楷体" w:eastAsia="楷体" w:cs="楷体"/>
          <w:color w:val="auto"/>
          <w:szCs w:val="21"/>
          <w:u w:val="none"/>
        </w:rPr>
      </w:pPr>
      <w:r>
        <w:rPr>
          <w:rFonts w:hint="eastAsia" w:ascii="楷体" w:hAnsi="楷体" w:eastAsia="楷体" w:cs="楷体"/>
          <w:szCs w:val="21"/>
          <w:u w:val="none"/>
        </w:rPr>
        <w:t>本产品不低于</w:t>
      </w:r>
      <w:r>
        <w:rPr>
          <w:rFonts w:hint="eastAsia" w:ascii="楷体" w:hAnsi="楷体" w:eastAsia="楷体" w:cs="楷体"/>
          <w:color w:val="auto"/>
          <w:szCs w:val="21"/>
          <w:u w:val="none"/>
        </w:rPr>
        <w:t>80%的资金投资于固定收益类资产，不高于20%的资金投资于权益类资产。各投资品种计划配置比例如下：</w:t>
      </w:r>
    </w:p>
    <w:tbl>
      <w:tblPr>
        <w:tblStyle w:val="12"/>
        <w:tblW w:w="8307" w:type="dxa"/>
        <w:tblInd w:w="421" w:type="dxa"/>
        <w:tblLayout w:type="fixed"/>
        <w:tblCellMar>
          <w:top w:w="38" w:type="dxa"/>
          <w:left w:w="108" w:type="dxa"/>
          <w:bottom w:w="0" w:type="dxa"/>
          <w:right w:w="115" w:type="dxa"/>
        </w:tblCellMar>
      </w:tblPr>
      <w:tblGrid>
        <w:gridCol w:w="3872"/>
        <w:gridCol w:w="4435"/>
      </w:tblGrid>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投资品种</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计划配置比例</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固定收益类资产：</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不低于80%</w:t>
            </w:r>
          </w:p>
        </w:tc>
      </w:tr>
      <w:tr>
        <w:tblPrEx>
          <w:tblCellMar>
            <w:top w:w="38" w:type="dxa"/>
            <w:left w:w="108" w:type="dxa"/>
            <w:bottom w:w="0" w:type="dxa"/>
            <w:right w:w="115" w:type="dxa"/>
          </w:tblCellMar>
        </w:tblPrEx>
        <w:trPr>
          <w:trHeight w:val="368"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其中：高流动性资产</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不低于5%</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权益类资产</w:t>
            </w:r>
            <w:r>
              <w:rPr>
                <w:rFonts w:hint="eastAsia" w:ascii="楷体" w:hAnsi="楷体" w:eastAsia="楷体" w:cs="楷体"/>
                <w:color w:val="auto"/>
                <w:sz w:val="21"/>
                <w:szCs w:val="21"/>
                <w:u w:val="none"/>
                <w:lang w:eastAsia="zh-CN"/>
              </w:rPr>
              <w:t>：</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hint="eastAsia" w:ascii="楷体" w:hAnsi="楷体" w:eastAsia="楷体" w:cs="楷体"/>
                <w:color w:val="auto"/>
                <w:sz w:val="21"/>
                <w:szCs w:val="21"/>
                <w:u w:val="none"/>
                <w:lang w:val="en-US" w:eastAsia="zh-CN"/>
              </w:rPr>
            </w:pPr>
            <w:r>
              <w:rPr>
                <w:rFonts w:hint="eastAsia" w:ascii="楷体" w:hAnsi="楷体" w:eastAsia="楷体" w:cs="楷体"/>
                <w:color w:val="auto"/>
                <w:sz w:val="21"/>
                <w:szCs w:val="21"/>
                <w:u w:val="none"/>
              </w:rPr>
              <w:t>不高于</w:t>
            </w:r>
            <w:r>
              <w:rPr>
                <w:rFonts w:ascii="楷体" w:hAnsi="楷体" w:eastAsia="楷体" w:cs="楷体"/>
                <w:color w:val="auto"/>
                <w:sz w:val="21"/>
                <w:szCs w:val="21"/>
                <w:u w:val="none"/>
              </w:rPr>
              <w:t>2</w:t>
            </w:r>
            <w:r>
              <w:rPr>
                <w:rFonts w:hint="eastAsia" w:ascii="楷体" w:hAnsi="楷体" w:eastAsia="楷体" w:cs="楷体"/>
                <w:color w:val="auto"/>
                <w:sz w:val="21"/>
                <w:szCs w:val="21"/>
                <w:u w:val="none"/>
              </w:rPr>
              <w:t>0%</w:t>
            </w:r>
          </w:p>
        </w:tc>
      </w:tr>
    </w:tbl>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相关法律法规和监管部门对以上投资范围和配置比例有另行规定的，按照监管最新规定执行。如监管对投资比例无其他明确规定和要求的，由产品管理人与托管人协商确定计算方法。</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投资管理人应当自理财产品成立日起三个月内使理财产品的投资组合比例符合约定。非因管理人主观因素导致突破前述比例限制的，管理人将尽力在流动性受限资产可出售、可转让或者恢复交易的15个交易日内调整至符合相关要求。</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（四）投资策略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1.大类资产配置</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从宏观环境、政策因素、资金供求因素、证券市场基本面等角度进行综合分析，判断各类资产的市场趋势和预期风险收益，在严格控制风险的前提下，确定投资组合在债券、股票、基金、现金等资产类别的投资比例，并根据宏观经济形势和市场时机的变化适时进行动态调整。</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2</w:t>
      </w:r>
      <w:r>
        <w:rPr>
          <w:rFonts w:hint="eastAsia" w:ascii="楷体" w:hAnsi="楷体" w:eastAsia="楷体" w:cs="楷体"/>
          <w:szCs w:val="21"/>
          <w:u w:val="none"/>
          <w:lang w:eastAsia="zh-CN"/>
        </w:rPr>
        <w:t>.</w:t>
      </w:r>
      <w:r>
        <w:rPr>
          <w:rFonts w:hint="eastAsia" w:ascii="楷体" w:hAnsi="楷体" w:eastAsia="楷体" w:cs="楷体"/>
          <w:szCs w:val="21"/>
          <w:u w:val="none"/>
        </w:rPr>
        <w:t>利率预期策略与组合久期管理</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通过对宏观经济走势的研究，对市场利率波动与趋势做出预期和判断，并在综合考虑组合流动性的前提下，调整组合的资产配置久期。</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3</w:t>
      </w:r>
      <w:r>
        <w:rPr>
          <w:rFonts w:hint="eastAsia" w:ascii="楷体" w:hAnsi="楷体" w:eastAsia="楷体" w:cs="楷体"/>
          <w:szCs w:val="21"/>
          <w:u w:val="none"/>
          <w:lang w:eastAsia="zh-CN"/>
        </w:rPr>
        <w:t>.</w:t>
      </w:r>
      <w:r>
        <w:rPr>
          <w:rFonts w:hint="eastAsia" w:ascii="楷体" w:hAnsi="楷体" w:eastAsia="楷体" w:cs="楷体"/>
          <w:szCs w:val="21"/>
          <w:u w:val="none"/>
        </w:rPr>
        <w:t>交易策略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根据对市场利率波动与趋势的判断选取高流动性的金融工具进行波段交易，以期获得交易性收益。</w:t>
      </w:r>
    </w:p>
    <w:p>
      <w:pPr>
        <w:pStyle w:val="3"/>
        <w:keepNext w:val="0"/>
        <w:keepLines w:val="0"/>
        <w:widowControl/>
        <w:numPr>
          <w:ilvl w:val="0"/>
          <w:numId w:val="10"/>
        </w:numPr>
        <w:snapToGrid w:val="0"/>
        <w:spacing w:before="0" w:after="0" w:line="360" w:lineRule="auto"/>
        <w:ind w:firstLine="422" w:firstLineChars="200"/>
        <w:rPr>
          <w:rFonts w:ascii="楷体" w:hAnsi="楷体" w:eastAsia="楷体"/>
          <w:sz w:val="21"/>
          <w:highlight w:val="none"/>
          <w:u w:val="none"/>
        </w:rPr>
      </w:pPr>
      <w:r>
        <w:rPr>
          <w:rFonts w:hint="eastAsia" w:ascii="楷体" w:hAnsi="楷体" w:eastAsia="楷体"/>
          <w:color w:val="000000"/>
          <w:sz w:val="21"/>
          <w:highlight w:val="none"/>
          <w:u w:val="none"/>
        </w:rPr>
        <w:t> 投资限制 </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1.对本产品的</w:t>
      </w:r>
      <w:r>
        <w:rPr>
          <w:rFonts w:hint="eastAsia" w:ascii="楷体" w:hAnsi="楷体" w:eastAsia="楷体" w:cs="楷体"/>
          <w:szCs w:val="21"/>
          <w:highlight w:val="none"/>
          <w:u w:val="none"/>
          <w:lang w:val="en-US" w:eastAsia="zh-CN"/>
        </w:rPr>
        <w:t>投资限制</w:t>
      </w:r>
      <w:r>
        <w:rPr>
          <w:rFonts w:hint="eastAsia" w:ascii="楷体" w:hAnsi="楷体" w:eastAsia="楷体" w:cs="楷体"/>
          <w:szCs w:val="21"/>
          <w:highlight w:val="none"/>
          <w:u w:val="none"/>
        </w:rPr>
        <w:t>如下：</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（1）本理财产品投资于单只证券、单只公募证券投资基金的市值不超过本产品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资产的10%。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2）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（3）管理人发行的全部理财产品投资单一上市公司发行的股票不得超过该上市公司可流通股票的30%。</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eastAsia="zh-CN"/>
        </w:rPr>
        <w:t>（</w:t>
      </w:r>
      <w:r>
        <w:rPr>
          <w:rFonts w:hint="eastAsia" w:ascii="楷体" w:hAnsi="楷体" w:eastAsia="楷体" w:cs="楷体"/>
          <w:szCs w:val="21"/>
          <w:highlight w:val="none"/>
          <w:u w:val="none"/>
          <w:lang w:val="en-US" w:eastAsia="zh-CN"/>
        </w:rPr>
        <w:t>4</w:t>
      </w:r>
      <w:r>
        <w:rPr>
          <w:rFonts w:hint="eastAsia" w:ascii="楷体" w:hAnsi="楷体" w:eastAsia="楷体" w:cs="楷体"/>
          <w:szCs w:val="21"/>
          <w:highlight w:val="none"/>
          <w:u w:val="none"/>
          <w:lang w:eastAsia="zh-CN"/>
        </w:rPr>
        <w:t>）本理财产品持有高流动性资产比例不低于本产品净资产的5%。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（5）本理财产品直接投资于流动性受限资产的市值在开放日不得超过本产品净资产的15%。</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（6）本理财产品投资不存在活跃交易市场并且需要采用估值技术确定公允价值的资产比例不得达到或超过本产品净资产的50%。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（7）在开放日前一工作日内，本理财产品7个工作日可变现资产的可变现价值应当不低于本产品净资产的10%。</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针对上述第1</w:t>
      </w:r>
      <w:r>
        <w:rPr>
          <w:rFonts w:hint="eastAsia" w:ascii="楷体" w:hAnsi="楷体" w:eastAsia="楷体" w:cs="楷体"/>
          <w:szCs w:val="21"/>
        </w:rPr>
        <w:t>~</w:t>
      </w:r>
      <w:r>
        <w:rPr>
          <w:rFonts w:hint="eastAsia" w:ascii="楷体" w:hAnsi="楷体" w:eastAsia="楷体" w:cs="楷体"/>
          <w:szCs w:val="21"/>
          <w:highlight w:val="none"/>
          <w:u w:val="none"/>
          <w:lang w:val="en-US" w:eastAsia="zh-CN"/>
        </w:rPr>
        <w:t>3项，</w:t>
      </w:r>
      <w:r>
        <w:rPr>
          <w:rFonts w:hint="eastAsia" w:ascii="楷体" w:hAnsi="楷体" w:eastAsia="楷体" w:cs="楷体"/>
          <w:szCs w:val="21"/>
          <w:highlight w:val="none"/>
          <w:u w:val="none"/>
        </w:rPr>
        <w:t>非因管理人主观因素致使不符合前述比例限制的，管理人将在流动性受限资产可出售、可转让或者恢复交易的10个交易日内调整至符合相关要求。</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针对上述第5项，因证券市场波动、上市公司股票停牌、理财产品规模变动等因素导致理财产品不符合本条规定比例限制的，该理财产品不得主动新增投资流动性受限资产。</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针对上述第6项，非因管理人主观因素导致突破前款规定比例限制的,本理财产品不得新增投资上述资产。</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2.本理财产品总资产/理财产品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资产不超过140%（如监管有最新规定的参照监管规定调整）。</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3.本产品不得直接或间接投资于未上市企业股权及其受（收）益权。</w:t>
      </w:r>
    </w:p>
    <w:p>
      <w:pPr>
        <w:spacing w:line="360" w:lineRule="auto"/>
        <w:ind w:firstLine="420" w:firstLineChars="200"/>
        <w:contextualSpacing/>
        <w:rPr>
          <w:rFonts w:hint="eastAsia" w:ascii="楷体" w:hAnsi="楷体" w:eastAsia="楷体" w:cs="楷体"/>
          <w:b w:val="0"/>
          <w:bCs w:val="0"/>
          <w:color w:val="000000"/>
          <w:highlight w:val="none"/>
          <w:u w:val="none"/>
        </w:rPr>
      </w:pPr>
      <w:r>
        <w:rPr>
          <w:rFonts w:hint="eastAsia" w:ascii="楷体" w:hAnsi="楷体" w:eastAsia="楷体" w:cs="楷体"/>
          <w:b w:val="0"/>
          <w:bCs w:val="0"/>
          <w:szCs w:val="21"/>
          <w:highlight w:val="none"/>
          <w:u w:val="none"/>
        </w:rPr>
        <w:t>4.相关法律法规和监管部门对以上投资范围和配置比例有另行规定的，按照监管最新规定执行。</w:t>
      </w:r>
    </w:p>
    <w:bookmarkEnd w:id="8"/>
    <w:p>
      <w:pPr>
        <w:pStyle w:val="2"/>
        <w:spacing w:before="120" w:after="120" w:line="240" w:lineRule="auto"/>
        <w:rPr>
          <w:rFonts w:ascii="楷体" w:hAnsi="楷体" w:eastAsia="楷体"/>
          <w:sz w:val="28"/>
          <w:szCs w:val="28"/>
          <w:highlight w:val="none"/>
          <w:u w:val="none"/>
        </w:rPr>
      </w:pPr>
      <w:r>
        <w:rPr>
          <w:rFonts w:hint="eastAsia" w:ascii="楷体" w:hAnsi="楷体" w:eastAsia="楷体"/>
          <w:sz w:val="28"/>
          <w:szCs w:val="28"/>
          <w:highlight w:val="none"/>
          <w:u w:val="none"/>
          <w:lang w:val="en-US" w:eastAsia="zh-CN"/>
        </w:rPr>
        <w:t>五</w:t>
      </w:r>
      <w:r>
        <w:rPr>
          <w:rFonts w:ascii="楷体" w:hAnsi="楷体" w:eastAsia="楷体"/>
          <w:sz w:val="28"/>
          <w:szCs w:val="28"/>
          <w:highlight w:val="none"/>
          <w:u w:val="none"/>
        </w:rPr>
        <w:t>、</w:t>
      </w:r>
      <w:r>
        <w:rPr>
          <w:rFonts w:hint="eastAsia" w:ascii="楷体" w:hAnsi="楷体" w:eastAsia="楷体"/>
          <w:sz w:val="28"/>
          <w:szCs w:val="28"/>
          <w:highlight w:val="none"/>
          <w:u w:val="none"/>
        </w:rPr>
        <w:t>产品认购、申购和赎回</w:t>
      </w:r>
    </w:p>
    <w:p>
      <w:pPr>
        <w:pStyle w:val="3"/>
        <w:spacing w:before="0" w:after="0" w:line="360" w:lineRule="auto"/>
        <w:ind w:firstLine="422" w:firstLineChars="200"/>
        <w:rPr>
          <w:rFonts w:hint="eastAsia" w:ascii="楷体" w:hAnsi="楷体" w:eastAsia="楷体" w:cs="楷体"/>
          <w:sz w:val="21"/>
          <w:highlight w:val="none"/>
          <w:u w:val="none"/>
        </w:rPr>
      </w:pPr>
      <w:r>
        <w:rPr>
          <w:rFonts w:hint="eastAsia" w:ascii="楷体" w:hAnsi="楷体" w:eastAsia="楷体" w:cs="楷体"/>
          <w:sz w:val="21"/>
          <w:highlight w:val="none"/>
          <w:u w:val="none"/>
        </w:rPr>
        <w:t>（一）理财产品认购</w:t>
      </w:r>
    </w:p>
    <w:p>
      <w:pPr>
        <w:spacing w:line="360" w:lineRule="auto"/>
        <w:ind w:firstLine="420" w:firstLineChars="200"/>
        <w:contextualSpacing/>
        <w:outlineLvl w:val="2"/>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1.</w:t>
      </w:r>
      <w:r>
        <w:rPr>
          <w:rFonts w:hint="eastAsia" w:ascii="楷体" w:hAnsi="楷体" w:eastAsia="楷体" w:cs="楷体"/>
          <w:b w:val="0"/>
          <w:bCs w:val="0"/>
          <w:szCs w:val="21"/>
          <w:highlight w:val="none"/>
          <w:u w:val="none"/>
          <w:lang w:val="en-US" w:eastAsia="zh-CN"/>
        </w:rPr>
        <w:t>认购期</w:t>
      </w:r>
    </w:p>
    <w:p>
      <w:pPr>
        <w:spacing w:line="360" w:lineRule="auto"/>
        <w:ind w:firstLine="420" w:firstLineChars="200"/>
        <w:contextualSpacing/>
        <w:rPr>
          <w:rFonts w:hint="eastAsia" w:ascii="楷体" w:hAnsi="楷体" w:eastAsia="楷体" w:cs="楷体"/>
          <w:b/>
          <w:bCs/>
          <w:color w:val="auto"/>
          <w:szCs w:val="21"/>
          <w:u w:val="none"/>
          <w:lang w:val="en-US" w:eastAsia="zh-CN"/>
        </w:rPr>
      </w:pPr>
      <w:r>
        <w:rPr>
          <w:rFonts w:hint="eastAsia" w:ascii="楷体" w:hAnsi="楷体" w:eastAsia="楷体" w:cs="楷体"/>
          <w:b w:val="0"/>
          <w:bCs w:val="0"/>
          <w:color w:val="auto"/>
          <w:highlight w:val="none"/>
          <w:u w:val="none"/>
          <w:lang w:val="en-US" w:eastAsia="zh-CN"/>
        </w:rPr>
        <w:t>本产品认购期为</w:t>
      </w:r>
      <w:r>
        <w:rPr>
          <w:rFonts w:hint="eastAsia" w:ascii="楷体" w:hAnsi="楷体" w:eastAsia="楷体" w:cs="楷体"/>
          <w:b w:val="0"/>
          <w:bCs w:val="0"/>
          <w:color w:val="auto"/>
          <w:highlight w:val="none"/>
          <w:u w:val="none"/>
          <w:lang w:eastAsia="zh-CN"/>
        </w:rPr>
        <w:t>【2024】</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【11】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【01】</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【08:00】</w:t>
      </w:r>
      <w:r>
        <w:rPr>
          <w:rFonts w:hint="eastAsia" w:ascii="楷体" w:hAnsi="楷体" w:eastAsia="楷体" w:cs="楷体"/>
          <w:b w:val="0"/>
          <w:bCs w:val="0"/>
          <w:color w:val="auto"/>
          <w:highlight w:val="none"/>
          <w:u w:val="none"/>
        </w:rPr>
        <w:t>至</w:t>
      </w:r>
      <w:r>
        <w:rPr>
          <w:rFonts w:hint="eastAsia" w:ascii="楷体" w:hAnsi="楷体" w:eastAsia="楷体" w:cs="楷体"/>
          <w:b w:val="0"/>
          <w:bCs w:val="0"/>
          <w:color w:val="auto"/>
          <w:highlight w:val="none"/>
          <w:u w:val="none"/>
          <w:lang w:eastAsia="zh-CN"/>
        </w:rPr>
        <w:t>【2024】</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【11】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【04】</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【16:00】。</w:t>
      </w:r>
      <w:r>
        <w:rPr>
          <w:rFonts w:hint="eastAsia" w:ascii="楷体" w:hAnsi="楷体" w:eastAsia="楷体" w:cs="楷体"/>
          <w:b/>
          <w:bCs/>
          <w:color w:val="auto"/>
          <w:highlight w:val="none"/>
          <w:u w:val="none"/>
        </w:rPr>
        <w:t>销售机构实际受理时间可能与</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产品说明书</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不一致，具体以销售机构</w:t>
      </w:r>
      <w:r>
        <w:rPr>
          <w:rFonts w:hint="eastAsia" w:ascii="楷体" w:hAnsi="楷体" w:eastAsia="楷体" w:cs="楷体"/>
          <w:b/>
          <w:bCs/>
          <w:color w:val="auto"/>
          <w:highlight w:val="none"/>
          <w:u w:val="none"/>
          <w:lang w:val="en-US" w:eastAsia="zh-CN"/>
        </w:rPr>
        <w:t>规则</w:t>
      </w:r>
      <w:r>
        <w:rPr>
          <w:rFonts w:hint="eastAsia" w:ascii="楷体" w:hAnsi="楷体" w:eastAsia="楷体" w:cs="楷体"/>
          <w:b/>
          <w:bCs/>
          <w:color w:val="auto"/>
          <w:highlight w:val="none"/>
          <w:u w:val="none"/>
        </w:rPr>
        <w:t>为准。管理人可在认购期内公告延长或提前终止产品认购期，实际认购</w:t>
      </w:r>
      <w:r>
        <w:rPr>
          <w:rFonts w:hint="eastAsia" w:ascii="楷体" w:hAnsi="楷体" w:eastAsia="楷体" w:cs="楷体"/>
          <w:b/>
          <w:bCs/>
          <w:color w:val="auto"/>
          <w:u w:val="none"/>
        </w:rPr>
        <w:t>期以管理人公告为准。</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2.认购价格</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本产品初始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净值为1元人民币/份。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产品最低发行规模为</w:t>
      </w:r>
      <w:r>
        <w:rPr>
          <w:rFonts w:hint="eastAsia" w:ascii="楷体" w:hAnsi="楷体" w:eastAsia="楷体" w:cs="楷体"/>
          <w:b w:val="0"/>
          <w:bCs w:val="0"/>
          <w:i w:val="0"/>
          <w:iCs w:val="0"/>
          <w:color w:val="auto"/>
          <w:szCs w:val="21"/>
          <w:u w:val="none"/>
          <w:lang w:eastAsia="zh-CN"/>
        </w:rPr>
        <w:t>【1.00万元】</w:t>
      </w:r>
      <w:r>
        <w:rPr>
          <w:rFonts w:hint="eastAsia" w:ascii="楷体" w:hAnsi="楷体" w:eastAsia="楷体" w:cs="楷体"/>
          <w:b w:val="0"/>
          <w:bCs w:val="0"/>
          <w:color w:val="auto"/>
          <w:szCs w:val="21"/>
          <w:u w:val="none"/>
        </w:rPr>
        <w:t>，如认购金额不足</w:t>
      </w:r>
      <w:r>
        <w:rPr>
          <w:rFonts w:hint="eastAsia" w:ascii="楷体" w:hAnsi="楷体" w:eastAsia="楷体" w:cs="楷体"/>
          <w:b w:val="0"/>
          <w:bCs w:val="0"/>
          <w:color w:val="auto"/>
          <w:szCs w:val="21"/>
          <w:u w:val="none"/>
          <w:lang w:eastAsia="zh-CN"/>
        </w:rPr>
        <w:t>【1.00万元】</w:t>
      </w:r>
      <w:r>
        <w:rPr>
          <w:rFonts w:hint="eastAsia" w:ascii="楷体" w:hAnsi="楷体" w:eastAsia="楷体" w:cs="楷体"/>
          <w:b w:val="0"/>
          <w:bCs w:val="0"/>
          <w:color w:val="auto"/>
          <w:szCs w:val="21"/>
          <w:u w:val="none"/>
        </w:rPr>
        <w:t>，管理人有权宣布理财产品不成立。</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，认购期届满前，如产品发行规模达到规模上限，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受理该份额的认购申请。</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4.认购金额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在理财产品认购期内，本理财产品客户首次认购的最低金额为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i w:val="0"/>
          <w:iCs w:val="0"/>
          <w:color w:val="auto"/>
          <w:szCs w:val="21"/>
          <w:u w:val="none"/>
        </w:rPr>
        <w:t>的整数倍</w:t>
      </w:r>
      <w:r>
        <w:rPr>
          <w:rFonts w:hint="eastAsia" w:ascii="楷体" w:hAnsi="楷体" w:eastAsia="楷体" w:cs="楷体"/>
          <w:b w:val="0"/>
          <w:bCs w:val="0"/>
          <w:color w:val="auto"/>
          <w:szCs w:val="21"/>
          <w:u w:val="none"/>
        </w:rPr>
        <w:t>。最低追加认购金额为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b w:val="0"/>
          <w:bCs w:val="0"/>
          <w:color w:val="auto"/>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5.认购费用</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本理财产品认购费率：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2"/>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由投资者承担并于认购份额时一次性支付。</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认购数量限制</w:t>
      </w:r>
    </w:p>
    <w:p>
      <w:pPr>
        <w:spacing w:line="360" w:lineRule="auto"/>
        <w:ind w:firstLine="420" w:firstLineChars="200"/>
        <w:contextualSpacing/>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.认购方式及确认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（1）本理财产品采取金额认购的方式。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销售机构受理认购申请并不表示对该申请成功的确认，而仅代表其收到了认购申请，申请是否有效应以管理人的确认为准。具体而言，投资者按规定提交认购申请、全额交付款项并经销售机构成功冻结或预扣的，认购申请成立；如管理人在认购</w:t>
      </w:r>
      <w:r>
        <w:rPr>
          <w:rFonts w:hint="eastAsia" w:ascii="楷体" w:hAnsi="楷体" w:eastAsia="楷体" w:cs="楷体"/>
          <w:b w:val="0"/>
          <w:bCs w:val="0"/>
          <w:color w:val="auto"/>
          <w:szCs w:val="21"/>
          <w:u w:val="none"/>
          <w:lang w:val="en-US" w:eastAsia="zh-CN"/>
        </w:rPr>
        <w:t>确认</w:t>
      </w:r>
      <w:r>
        <w:rPr>
          <w:rFonts w:hint="eastAsia" w:ascii="楷体" w:hAnsi="楷体" w:eastAsia="楷体" w:cs="楷体"/>
          <w:b w:val="0"/>
          <w:bCs w:val="0"/>
          <w:color w:val="auto"/>
          <w:szCs w:val="21"/>
          <w:u w:val="none"/>
        </w:rPr>
        <w:t>日根据投资者的认购申请为投资者成功登记认购份额，则视为投资者的认购申请生效，并以管理人的登记记录为准。投资者应在本理财产品成立后及时查询最终成交确认情况和认购的份额。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（3）认购撤单</w:t>
      </w:r>
    </w:p>
    <w:p>
      <w:pPr>
        <w:spacing w:line="360" w:lineRule="auto"/>
        <w:ind w:firstLine="420" w:firstLineChars="200"/>
        <w:contextualSpacing/>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 w:val="21"/>
          <w:szCs w:val="21"/>
          <w:highlight w:val="none"/>
          <w:u w:val="none"/>
        </w:rPr>
        <w:t>投资者可通过销售机构和管理人认可的方式办理撤销本理财</w:t>
      </w:r>
      <w:r>
        <w:rPr>
          <w:rFonts w:hint="eastAsia" w:ascii="楷体" w:hAnsi="楷体" w:eastAsia="楷体" w:cs="楷体"/>
          <w:b w:val="0"/>
          <w:bCs w:val="0"/>
          <w:color w:val="auto"/>
          <w:sz w:val="21"/>
          <w:szCs w:val="21"/>
          <w:highlight w:val="none"/>
          <w:u w:val="none"/>
          <w:lang w:val="en-US" w:eastAsia="zh-CN"/>
        </w:rPr>
        <w:t>产品</w:t>
      </w:r>
      <w:r>
        <w:rPr>
          <w:rFonts w:hint="eastAsia" w:ascii="楷体" w:hAnsi="楷体" w:eastAsia="楷体" w:cs="楷体"/>
          <w:b w:val="0"/>
          <w:bCs w:val="0"/>
          <w:color w:val="auto"/>
          <w:sz w:val="21"/>
          <w:szCs w:val="21"/>
          <w:highlight w:val="none"/>
          <w:u w:val="none"/>
        </w:rPr>
        <w:t>份额，</w:t>
      </w:r>
      <w:r>
        <w:rPr>
          <w:rFonts w:hint="eastAsia" w:ascii="楷体" w:hAnsi="楷体" w:eastAsia="楷体" w:cs="楷体"/>
          <w:b w:val="0"/>
          <w:bCs w:val="0"/>
          <w:color w:val="auto"/>
          <w:szCs w:val="21"/>
          <w:highlight w:val="none"/>
          <w:u w:val="none"/>
        </w:rPr>
        <w:t>投资者在认购期内的撤单规则，以销售机构受理规则为准。</w:t>
      </w:r>
    </w:p>
    <w:p>
      <w:pPr>
        <w:spacing w:line="360" w:lineRule="auto"/>
        <w:ind w:firstLine="420" w:firstLineChars="200"/>
        <w:contextualSpacing/>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（4）投资者在募集期内认购本理财产品被受理后，销售机构有权冻结或预扣认购款项，</w:t>
      </w:r>
      <w:r>
        <w:rPr>
          <w:rFonts w:hint="eastAsia" w:ascii="楷体" w:hAnsi="楷体" w:eastAsia="楷体" w:cs="楷体"/>
          <w:b/>
          <w:bCs/>
          <w:szCs w:val="21"/>
          <w:highlight w:val="none"/>
          <w:u w:val="none"/>
        </w:rPr>
        <w:t>冻结或预扣期间管理人不向投资者计付利息，销售机构是否计付利息以销售机构计息规则为准</w:t>
      </w:r>
      <w:r>
        <w:rPr>
          <w:rFonts w:hint="eastAsia" w:ascii="楷体" w:hAnsi="楷体" w:eastAsia="楷体" w:cs="楷体"/>
          <w:b/>
          <w:bCs/>
          <w:szCs w:val="21"/>
          <w:highlight w:val="none"/>
          <w:u w:val="none"/>
          <w:lang w:eastAsia="zh-CN"/>
        </w:rPr>
        <w:t>，</w:t>
      </w:r>
      <w:r>
        <w:rPr>
          <w:rFonts w:hint="eastAsia" w:ascii="楷体" w:hAnsi="楷体" w:eastAsia="楷体" w:cs="楷体"/>
          <w:b/>
          <w:bCs/>
          <w:highlight w:val="none"/>
          <w:u w:val="none"/>
        </w:rPr>
        <w:t>利息部分不计入认购本金</w:t>
      </w:r>
      <w:r>
        <w:rPr>
          <w:rFonts w:hint="eastAsia" w:ascii="楷体" w:hAnsi="楷体" w:eastAsia="楷体" w:cs="楷体"/>
          <w:b/>
          <w:bCs/>
          <w:szCs w:val="21"/>
          <w:highlight w:val="none"/>
          <w:u w:val="none"/>
        </w:rPr>
        <w:t>。</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8</w:t>
      </w:r>
      <w:r>
        <w:rPr>
          <w:rFonts w:hint="eastAsia" w:ascii="楷体" w:hAnsi="楷体" w:eastAsia="楷体" w:cs="楷体"/>
          <w:b w:val="0"/>
          <w:bCs w:val="0"/>
          <w:szCs w:val="21"/>
          <w:u w:val="none"/>
        </w:rPr>
        <w:t>.认购份额的计算</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本理财产品认购份额的具体计算方法如下：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认购份额＝认购金额÷（1+认购费率）÷产品初始</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认购份额采用四舍五入法保留至小数点后2位。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示例：</w:t>
      </w:r>
      <w:r>
        <w:rPr>
          <w:rFonts w:hint="eastAsia" w:ascii="楷体" w:hAnsi="楷体" w:eastAsia="楷体" w:cs="楷体"/>
          <w:b w:val="0"/>
          <w:bCs w:val="0"/>
          <w:color w:val="auto"/>
          <w:szCs w:val="22"/>
          <w:u w:val="none"/>
          <w:lang w:val="en-US" w:eastAsia="zh-CN"/>
        </w:rPr>
        <w:t>【假定某投资者投资100元人民币认购本理财产品，认购费率为0.00%，则其可得到的认购份额计算如下：</w:t>
      </w:r>
      <w:r>
        <w:rPr>
          <w:rFonts w:hint="eastAsia" w:ascii="楷体" w:hAnsi="楷体" w:eastAsia="楷体" w:cs="楷体"/>
          <w:b w:val="0"/>
          <w:bCs w:val="0"/>
          <w:color w:val="auto"/>
          <w:szCs w:val="22"/>
          <w:u w:val="none"/>
          <w:lang w:val="en-US" w:eastAsia="zh-CN"/>
        </w:rPr>
        <w:br w:type="textWrapping"/>
      </w:r>
      <w:r>
        <w:rPr>
          <w:rFonts w:hint="eastAsia" w:ascii="楷体" w:hAnsi="楷体" w:eastAsia="楷体" w:cs="楷体"/>
          <w:b w:val="0"/>
          <w:bCs w:val="0"/>
          <w:color w:val="auto"/>
          <w:szCs w:val="22"/>
          <w:u w:val="none"/>
          <w:lang w:val="en-US" w:eastAsia="zh-CN"/>
        </w:rPr>
        <w:t xml:space="preserve">    认购份额＝100÷（1+0.00%）÷1.00元/份＝100.00份】</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（二）理财产品申购、赎回</w:t>
      </w:r>
    </w:p>
    <w:p>
      <w:pPr>
        <w:spacing w:line="360" w:lineRule="auto"/>
        <w:ind w:firstLine="420" w:firstLineChars="200"/>
        <w:contextualSpacing/>
        <w:outlineLvl w:val="2"/>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1.产品开放日</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【在理财产品存续期内，除投资封闭期外每一自然日为产品开放日】</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rPr>
        <w:t>管理人将在产品开放日受理本理财产品的申购申请</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szCs w:val="21"/>
          <w:u w:val="none"/>
          <w:lang w:val="en-US" w:eastAsia="zh-CN"/>
        </w:rPr>
        <w:t>在理财产品存续期内，管理人有权根据市场情况变化暂停本理财产品的申购，暂停公告通过《产品说明书》“信息披露”约定的方式向投资者披露。</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2.最短持有期</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本理财产品对投资者的每笔有效认/申购设置</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个自然日的最短持有期限。</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最短持有期起始日即认/申购对应的成立日/确认日，每笔理财产品份额从最短持有期起始日起，至其后第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个自然日（不含）内，投资者不能提出赎回申请。</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最短持有期结束日为最短持有期起始日后的第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个自然日（如遇非</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则顺延至下一个</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），从最短持有期结束日当日（含）起，投资者可以提出赎回申请。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受理该产品的申购申请。</w:t>
      </w:r>
      <w:r>
        <w:rPr>
          <w:rFonts w:hint="eastAsia" w:ascii="楷体" w:hAnsi="楷体" w:eastAsia="楷体" w:cs="楷体"/>
          <w:b w:val="0"/>
          <w:bCs w:val="0"/>
          <w:color w:val="auto"/>
          <w:u w:val="none"/>
        </w:rPr>
        <w:t>管理人有权对本理财产品规模上限进行调整。</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rPr>
        <w:t>.申购/赎回规则</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（1）投资者赎回本理财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时，管理人不承诺保证本金，也不承诺任何收益</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投资者申购、赎回本理财产品时，采用“未知价”原则，即本理财产品申购和赎回价格为对应确认日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r>
        <w:rPr>
          <w:rFonts w:hint="eastAsia" w:ascii="楷体" w:hAnsi="楷体" w:eastAsia="楷体" w:cs="楷体"/>
          <w:b w:val="0"/>
          <w:bCs w:val="0"/>
          <w:color w:val="auto"/>
          <w:szCs w:val="21"/>
          <w:u w:val="none"/>
          <w:lang w:val="en-US" w:eastAsia="zh-CN"/>
        </w:rPr>
        <w:t>理财</w:t>
      </w:r>
      <w:r>
        <w:rPr>
          <w:rFonts w:hint="eastAsia" w:ascii="楷体" w:hAnsi="楷体" w:eastAsia="楷体" w:cs="楷体"/>
          <w:b w:val="0"/>
          <w:bCs w:val="0"/>
          <w:color w:val="auto"/>
          <w:szCs w:val="21"/>
          <w:u w:val="none"/>
        </w:rPr>
        <w:t>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净值的公布详见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“理财产品估值”。</w:t>
      </w:r>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采用金额申购、份额赎回的原则，即申购以金额申请，赎回以</w:t>
      </w:r>
      <w:r>
        <w:rPr>
          <w:rFonts w:hint="eastAsia" w:ascii="楷体" w:hAnsi="楷体" w:eastAsia="楷体" w:cs="楷体"/>
          <w:b w:val="0"/>
          <w:bCs w:val="0"/>
          <w:szCs w:val="21"/>
          <w:u w:val="none"/>
        </w:rPr>
        <w:t>份额赎回</w:t>
      </w:r>
      <w:r>
        <w:rPr>
          <w:rFonts w:hint="eastAsia" w:ascii="楷体" w:hAnsi="楷体" w:eastAsia="楷体" w:cs="楷体"/>
          <w:b w:val="0"/>
          <w:bCs w:val="0"/>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投资者可于</w:t>
      </w:r>
      <w:r>
        <w:rPr>
          <w:rFonts w:hint="eastAsia" w:ascii="楷体" w:hAnsi="楷体" w:eastAsia="楷体" w:cs="楷体"/>
          <w:b w:val="0"/>
          <w:bCs w:val="0"/>
          <w:color w:val="auto"/>
          <w:szCs w:val="21"/>
          <w:u w:val="none"/>
        </w:rPr>
        <w:t>申购开放日向销售机构提出申购申请</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highlight w:val="none"/>
          <w:u w:val="none"/>
          <w:lang w:eastAsia="zh-CN"/>
        </w:rPr>
        <w:t>管理人按照先申请、先申购原则确认申购申请，如累计申购份额已达到产品规模上限，</w:t>
      </w:r>
      <w:r>
        <w:rPr>
          <w:rFonts w:hint="eastAsia" w:ascii="楷体" w:hAnsi="楷体" w:eastAsia="楷体" w:cs="楷体"/>
          <w:b w:val="0"/>
          <w:bCs w:val="0"/>
          <w:color w:val="auto"/>
          <w:szCs w:val="21"/>
          <w:u w:val="none"/>
        </w:rPr>
        <w:t>管理人</w:t>
      </w:r>
      <w:r>
        <w:rPr>
          <w:rFonts w:hint="eastAsia" w:ascii="楷体" w:hAnsi="楷体" w:eastAsia="楷体" w:cs="楷体"/>
          <w:b w:val="0"/>
          <w:bCs w:val="0"/>
          <w:color w:val="auto"/>
          <w:szCs w:val="21"/>
          <w:highlight w:val="none"/>
          <w:u w:val="none"/>
          <w:lang w:eastAsia="zh-CN"/>
        </w:rPr>
        <w:t>有权</w:t>
      </w:r>
      <w:r>
        <w:rPr>
          <w:rFonts w:hint="eastAsia" w:ascii="楷体" w:hAnsi="楷体" w:eastAsia="楷体" w:cs="楷体"/>
          <w:b w:val="0"/>
          <w:bCs w:val="0"/>
          <w:color w:val="auto"/>
          <w:szCs w:val="21"/>
          <w:highlight w:val="none"/>
          <w:u w:val="none"/>
          <w:lang w:val="en-US" w:eastAsia="zh-CN"/>
        </w:rPr>
        <w:t>暂停接受</w:t>
      </w:r>
      <w:r>
        <w:rPr>
          <w:rFonts w:hint="eastAsia" w:ascii="楷体" w:hAnsi="楷体" w:eastAsia="楷体" w:cs="楷体"/>
          <w:b w:val="0"/>
          <w:bCs w:val="0"/>
          <w:color w:val="auto"/>
          <w:szCs w:val="21"/>
          <w:highlight w:val="none"/>
          <w:u w:val="none"/>
          <w:lang w:eastAsia="zh-CN"/>
        </w:rPr>
        <w:t>超出产品规模上限部分的申购申请。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本理财产品客户首次申购的最低金额为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的整数倍。最低追加申购金额为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color w:val="auto"/>
          <w:szCs w:val="21"/>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7</w:t>
      </w: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u w:val="none"/>
        </w:rPr>
        <w:t>最短持有期之后，投资者有权部分或全部赎回理财产品份额。赎回原则遵循“先进先出”原则</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如投资者赎回申请为部分赎回的，则优先赎回最早认/申购的产品份额。产品赎回顺序按时间优先原则进行确认。</w:t>
      </w:r>
    </w:p>
    <w:p>
      <w:pPr>
        <w:spacing w:line="360" w:lineRule="auto"/>
        <w:ind w:firstLine="420" w:firstLineChars="200"/>
        <w:contextualSpacing/>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8</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本理财产品客户赎回最低份额为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的整数倍，全额赎回除外。</w:t>
      </w:r>
      <w:r>
        <w:rPr>
          <w:rFonts w:hint="eastAsia" w:ascii="楷体" w:hAnsi="楷体" w:eastAsia="楷体" w:cs="楷体"/>
          <w:b w:val="0"/>
          <w:bCs w:val="0"/>
          <w:color w:val="auto"/>
          <w:szCs w:val="21"/>
          <w:u w:val="none"/>
          <w:lang w:val="en-US" w:eastAsia="zh-CN"/>
        </w:rPr>
        <w:t>投资者通过代理销售机构购买理财产品的，按照代理销售机构对于交易赎回设置的相关规定执行。</w:t>
      </w:r>
      <w:r>
        <w:rPr>
          <w:rFonts w:hint="eastAsia" w:ascii="楷体" w:hAnsi="楷体" w:eastAsia="楷体" w:cs="楷体"/>
          <w:b w:val="0"/>
          <w:bCs w:val="0"/>
          <w:color w:val="auto"/>
          <w:szCs w:val="21"/>
          <w:u w:val="none"/>
        </w:rPr>
        <w:t>如投资者所持份额中，可赎回份额低于赎回申请的份额时，管理人有权拒绝该笔赎回申请。如赎回将导致单个投资者的理财产品份额余额不足</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szCs w:val="21"/>
          <w:u w:val="none"/>
        </w:rPr>
        <w:t>时，投资者剩余份额将被一次性全额赎回。全部赎回理财产品份额后，投资者如需再次申购，则申购的金额不得低于该份额</w:t>
      </w:r>
      <w:r>
        <w:rPr>
          <w:rFonts w:hint="eastAsia" w:ascii="楷体" w:hAnsi="楷体" w:eastAsia="楷体" w:cs="楷体"/>
          <w:b w:val="0"/>
          <w:bCs w:val="0"/>
          <w:color w:val="auto"/>
          <w:szCs w:val="21"/>
          <w:u w:val="none"/>
          <w:lang w:val="en-US" w:eastAsia="zh-CN"/>
        </w:rPr>
        <w:t>首次申购最低金额</w:t>
      </w:r>
      <w:r>
        <w:rPr>
          <w:rFonts w:hint="eastAsia" w:ascii="楷体" w:hAnsi="楷体" w:eastAsia="楷体" w:cs="楷体"/>
          <w:b w:val="0"/>
          <w:bCs w:val="0"/>
          <w:color w:val="auto"/>
          <w:szCs w:val="21"/>
          <w:u w:val="none"/>
        </w:rPr>
        <w:t>。部分赎回理财产品份额后，投资者如需再行申购，则申购最低金额为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9</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销售机构受理申购/赎回申请并不表示对该申请成功的确认，而仅代表其收到了申购/赎回申请，申请是否有效应以管理人的确认为准。具体而言，投资者按规定提交申购/赎回申请并经销售机构成功受理的，申购/赎回申请成立；如管理人在申购/赎回确认日根据投资者的申请为投资者成功办理登记/赎回份额，则视为投资者的申请生效，并以管理人的登记记录为准。投资者应在交易申请相应的确认日后及时查询最终成交确认情况。</w:t>
      </w:r>
    </w:p>
    <w:p>
      <w:pPr>
        <w:spacing w:line="360" w:lineRule="auto"/>
        <w:ind w:firstLine="422" w:firstLineChars="200"/>
        <w:contextualSpacing/>
        <w:rPr>
          <w:rFonts w:hint="eastAsia" w:ascii="楷体" w:hAnsi="楷体" w:eastAsia="楷体" w:cs="楷体"/>
          <w:b/>
          <w:bCs/>
          <w:szCs w:val="21"/>
          <w:u w:val="none"/>
          <w:lang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10</w:t>
      </w:r>
      <w:r>
        <w:rPr>
          <w:rFonts w:hint="eastAsia" w:ascii="楷体" w:hAnsi="楷体" w:eastAsia="楷体" w:cs="楷体"/>
          <w:b/>
          <w:bCs/>
          <w:szCs w:val="21"/>
          <w:u w:val="none"/>
          <w:lang w:eastAsia="zh-CN"/>
        </w:rPr>
        <w:t>）</w:t>
      </w:r>
      <w:r>
        <w:rPr>
          <w:rFonts w:hint="eastAsia" w:ascii="楷体" w:hAnsi="楷体" w:eastAsia="楷体" w:cs="楷体"/>
          <w:b/>
          <w:bCs/>
          <w:szCs w:val="21"/>
          <w:u w:val="none"/>
        </w:rPr>
        <w:t>投资者在产品存续期内的申购/赎回撤单规则，以销售机构受理规则为准。</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因不可抗力导致理财产品无法继续申购或赎回时，管理人有权暂停接受投资者的申购或赎回的申请</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如本产品连续三个开放日累计净赎回总份额达到产品份额的20%以上，管理人有权</w:t>
      </w:r>
      <w:r>
        <w:rPr>
          <w:rFonts w:hint="eastAsia" w:ascii="楷体" w:hAnsi="楷体" w:eastAsia="楷体" w:cs="楷体"/>
          <w:b w:val="0"/>
          <w:bCs w:val="0"/>
          <w:color w:val="auto"/>
          <w:u w:val="none"/>
        </w:rPr>
        <w:t>暂不接受赎回申请</w:t>
      </w:r>
      <w:r>
        <w:rPr>
          <w:rFonts w:hint="eastAsia" w:ascii="楷体" w:hAnsi="楷体" w:eastAsia="楷体" w:cs="楷体"/>
          <w:b w:val="0"/>
          <w:bCs w:val="0"/>
          <w:color w:val="auto"/>
          <w:szCs w:val="21"/>
          <w:u w:val="none"/>
        </w:rPr>
        <w:t>或按比例接受赎回申请。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发生暂停估值情形的，管理人有权采取延缓支付赎回款项或暂停接受理财产品申购、赎回申请等措施。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rPr>
        <w:t>.巨额赎回</w:t>
      </w:r>
      <w:r>
        <w:rPr>
          <w:rFonts w:hint="eastAsia" w:ascii="楷体" w:hAnsi="楷体" w:eastAsia="楷体" w:cs="楷体"/>
          <w:b w:val="0"/>
          <w:bCs w:val="0"/>
          <w:color w:val="auto"/>
          <w:szCs w:val="21"/>
          <w:u w:val="none"/>
          <w:lang w:val="en-US" w:eastAsia="zh-CN"/>
        </w:rPr>
        <w:t>的情形及处理方式</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巨额赎回的认定</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投资者在最短持有期后的每个赎回开放日向销售机构提出赎回申请，如该赎回开放日内净赎回</w:t>
      </w:r>
      <w:r>
        <w:rPr>
          <w:rFonts w:hint="eastAsia" w:ascii="楷体" w:hAnsi="楷体" w:eastAsia="楷体" w:cs="楷体"/>
          <w:b/>
          <w:bCs/>
          <w:szCs w:val="21"/>
          <w:u w:val="none"/>
          <w:lang w:val="en-US" w:eastAsia="zh-CN"/>
        </w:rPr>
        <w:t>申请份</w:t>
      </w:r>
      <w:r>
        <w:rPr>
          <w:rFonts w:hint="eastAsia" w:ascii="楷体" w:hAnsi="楷体" w:eastAsia="楷体" w:cs="楷体"/>
          <w:b/>
          <w:bCs/>
          <w:szCs w:val="21"/>
          <w:u w:val="none"/>
        </w:rPr>
        <w:t>额</w:t>
      </w:r>
      <w:r>
        <w:rPr>
          <w:rFonts w:hint="eastAsia" w:ascii="楷体" w:hAnsi="楷体" w:eastAsia="楷体" w:cs="楷体"/>
          <w:b/>
          <w:bCs/>
          <w:u w:val="none"/>
        </w:rPr>
        <w:t>（赎回申请份额总数扣除申购申请份额总数）</w:t>
      </w:r>
      <w:r>
        <w:rPr>
          <w:rFonts w:hint="eastAsia" w:ascii="楷体" w:hAnsi="楷体" w:eastAsia="楷体" w:cs="楷体"/>
          <w:b/>
          <w:bCs/>
          <w:szCs w:val="21"/>
          <w:u w:val="none"/>
        </w:rPr>
        <w:t>合计超过理财产品上一</w:t>
      </w:r>
      <w:r>
        <w:rPr>
          <w:rFonts w:hint="eastAsia" w:ascii="楷体" w:hAnsi="楷体" w:eastAsia="楷体" w:cs="楷体"/>
          <w:b/>
          <w:bCs/>
          <w:szCs w:val="21"/>
          <w:u w:val="none"/>
          <w:lang w:eastAsia="zh-CN"/>
        </w:rPr>
        <w:t>【交易日】</w:t>
      </w:r>
      <w:r>
        <w:rPr>
          <w:rFonts w:hint="eastAsia" w:ascii="楷体" w:hAnsi="楷体" w:eastAsia="楷体" w:cs="楷体"/>
          <w:b/>
          <w:bCs/>
          <w:szCs w:val="21"/>
          <w:u w:val="none"/>
        </w:rPr>
        <w:t>日终总份额的</w:t>
      </w:r>
      <w:r>
        <w:rPr>
          <w:rFonts w:hint="eastAsia" w:ascii="楷体" w:hAnsi="楷体" w:eastAsia="楷体" w:cs="楷体"/>
          <w:b/>
          <w:bCs/>
          <w:color w:val="auto"/>
          <w:szCs w:val="21"/>
          <w:u w:val="none"/>
        </w:rPr>
        <w:t>10%</w:t>
      </w:r>
      <w:r>
        <w:rPr>
          <w:rFonts w:hint="eastAsia" w:ascii="楷体" w:hAnsi="楷体" w:eastAsia="楷体" w:cs="楷体"/>
          <w:b/>
          <w:bCs/>
          <w:szCs w:val="21"/>
          <w:u w:val="none"/>
        </w:rPr>
        <w:t>，则发生巨额赎回事件。</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巨额赎回的处理方式</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在发生巨额赎回时，管理人有权依照理财产品当时的资产组合状况决定全额赎回、部分赎回或延缓支付。</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A</w:t>
      </w:r>
      <w:r>
        <w:rPr>
          <w:rFonts w:hint="eastAsia" w:ascii="楷体" w:hAnsi="楷体" w:eastAsia="楷体" w:cs="楷体"/>
          <w:b/>
          <w:bCs/>
          <w:szCs w:val="21"/>
          <w:u w:val="none"/>
        </w:rPr>
        <w:t>.全额赎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rPr>
        <w:t>当管理人有能力支付投资者的全部赎回申请时，按正常赎回程序</w:t>
      </w:r>
      <w:r>
        <w:rPr>
          <w:rFonts w:hint="eastAsia" w:ascii="楷体" w:hAnsi="楷体" w:eastAsia="楷体" w:cs="楷体"/>
          <w:b w:val="0"/>
          <w:bCs w:val="0"/>
          <w:szCs w:val="21"/>
          <w:u w:val="none"/>
          <w:lang w:val="en-US" w:eastAsia="zh-CN"/>
        </w:rPr>
        <w:t>执</w:t>
      </w:r>
      <w:r>
        <w:rPr>
          <w:rFonts w:hint="eastAsia" w:ascii="楷体" w:hAnsi="楷体" w:eastAsia="楷体" w:cs="楷体"/>
          <w:b w:val="0"/>
          <w:bCs w:val="0"/>
          <w:szCs w:val="21"/>
          <w:u w:val="none"/>
        </w:rPr>
        <w:t>行；</w:t>
      </w:r>
    </w:p>
    <w:p>
      <w:pPr>
        <w:spacing w:line="360" w:lineRule="auto"/>
        <w:ind w:firstLine="422" w:firstLineChars="200"/>
        <w:contextualSpacing/>
        <w:rPr>
          <w:rFonts w:hint="eastAsia" w:ascii="楷体" w:hAnsi="楷体" w:eastAsia="楷体" w:cs="楷体"/>
          <w:b w:val="0"/>
          <w:bCs w:val="0"/>
          <w:color w:val="auto"/>
          <w:szCs w:val="21"/>
          <w:u w:val="none"/>
        </w:rPr>
      </w:pPr>
      <w:r>
        <w:rPr>
          <w:rFonts w:hint="eastAsia" w:ascii="楷体" w:hAnsi="楷体" w:eastAsia="楷体" w:cs="楷体"/>
          <w:b/>
          <w:bCs/>
          <w:szCs w:val="21"/>
          <w:u w:val="none"/>
        </w:rPr>
        <w:t>B.部分赎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lang w:val="en-US" w:eastAsia="zh-CN"/>
        </w:rPr>
        <w:t>当管理人认为支付投资者的赎回款项有困难或认为因支付投资者的赎回款项而进行的资产变现可能会对理财产品资产净值造成较大波动等情形时，在当日接受赎回比</w:t>
      </w:r>
      <w:r>
        <w:rPr>
          <w:rFonts w:hint="eastAsia" w:ascii="楷体" w:hAnsi="楷体" w:eastAsia="楷体" w:cs="楷体"/>
          <w:b w:val="0"/>
          <w:bCs w:val="0"/>
          <w:color w:val="auto"/>
          <w:szCs w:val="21"/>
          <w:u w:val="none"/>
          <w:lang w:val="en-US" w:eastAsia="zh-CN"/>
        </w:rPr>
        <w:t>例不低于上一【交易日】日终理财产品总份额的10%的前提下，管理人有权暂停接受超过10%以上部分的赎回申请，或对超过10%以上部分的赎回申请延期办理。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若管理人对于超过10%以上部分的赎回申请选择延期办理，</w:t>
      </w:r>
      <w:r>
        <w:rPr>
          <w:rFonts w:hint="eastAsia" w:ascii="楷体" w:hAnsi="楷体" w:eastAsia="楷体" w:cs="楷体"/>
          <w:b w:val="0"/>
          <w:bCs w:val="0"/>
          <w:color w:val="auto"/>
          <w:szCs w:val="21"/>
          <w:u w:val="none"/>
        </w:rPr>
        <w:t>管理人有权按照赎回开放日内投资者赎回递交申请的顺序，依照时间优先（即先申请、先赎回）的原则确认投资者的赎回申请；或对赎回开放日内投资者的所有赎回申请同等按照一定比例进行确认。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spacing w:line="360" w:lineRule="auto"/>
        <w:ind w:firstLine="422"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bCs/>
          <w:color w:val="auto"/>
          <w:szCs w:val="21"/>
          <w:u w:val="none"/>
          <w:lang w:val="en-US" w:eastAsia="zh-CN"/>
        </w:rPr>
        <w:t>C</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延缓支</w:t>
      </w:r>
      <w:r>
        <w:rPr>
          <w:rFonts w:hint="eastAsia" w:ascii="楷体" w:hAnsi="楷体" w:eastAsia="楷体" w:cs="楷体"/>
          <w:b/>
          <w:bCs/>
          <w:spacing w:val="23"/>
          <w:sz w:val="21"/>
          <w:szCs w:val="21"/>
          <w:u w:val="none"/>
          <w:lang w:val="en-US" w:eastAsia="zh-CN"/>
        </w:rPr>
        <w:t>付</w:t>
      </w:r>
      <w:r>
        <w:rPr>
          <w:rFonts w:hint="eastAsia" w:ascii="楷体" w:hAnsi="楷体" w:eastAsia="楷体" w:cs="楷体"/>
          <w:b/>
          <w:bCs/>
          <w:spacing w:val="23"/>
          <w:sz w:val="21"/>
          <w:szCs w:val="21"/>
          <w:u w:val="none"/>
        </w:rPr>
        <w:t>：</w:t>
      </w:r>
      <w:r>
        <w:rPr>
          <w:rFonts w:hint="eastAsia" w:ascii="楷体" w:hAnsi="楷体" w:eastAsia="楷体" w:cs="楷体"/>
          <w:b w:val="0"/>
          <w:bCs w:val="0"/>
          <w:color w:val="auto"/>
          <w:szCs w:val="21"/>
          <w:u w:val="none"/>
        </w:rPr>
        <w:t>选择延缓支付时，管理人应当接受并确认所有的赎回申请，当日按比例办理的赎回份额不得低于理财产品上一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产品总份额的10%，其余赎回申请可以延缓支付赎回款项，但延缓支付的期限不得超过</w:t>
      </w:r>
      <w:r>
        <w:rPr>
          <w:rFonts w:hint="eastAsia" w:ascii="楷体" w:hAnsi="楷体" w:eastAsia="楷体" w:cs="楷体"/>
          <w:b w:val="0"/>
          <w:bCs w:val="0"/>
          <w:color w:val="auto"/>
          <w:szCs w:val="21"/>
          <w:u w:val="none"/>
          <w:lang w:val="en-US" w:eastAsia="zh-CN"/>
        </w:rPr>
        <w:t>20</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当发生巨额赎回或连续巨额赎回，管理人选择延期办理巨额赎回申请、暂停接受赎回申请或延缓支付时，管理人将根据本理财《产品说明书》“信息披露”约定的方式向投资者进行信息披露。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示例：如果最新理财产品的在赎回开放日的上一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的总存续份额为2000万份，在赎回开放日投资者净赎回</w:t>
      </w:r>
      <w:r>
        <w:rPr>
          <w:rFonts w:hint="eastAsia" w:ascii="楷体" w:hAnsi="楷体" w:eastAsia="楷体" w:cs="楷体"/>
          <w:b w:val="0"/>
          <w:bCs w:val="0"/>
          <w:color w:val="auto"/>
          <w:szCs w:val="21"/>
          <w:u w:val="none"/>
          <w:lang w:val="en-US" w:eastAsia="zh-CN"/>
        </w:rPr>
        <w:t>申请</w:t>
      </w:r>
      <w:r>
        <w:rPr>
          <w:rFonts w:hint="eastAsia" w:ascii="楷体" w:hAnsi="楷体" w:eastAsia="楷体" w:cs="楷体"/>
          <w:b w:val="0"/>
          <w:bCs w:val="0"/>
          <w:color w:val="auto"/>
          <w:szCs w:val="21"/>
          <w:u w:val="none"/>
        </w:rPr>
        <w:t>份额大于200万份，管理人有权选择接受全部赎回申请，或选择接受部分赎回或延缓支付赎回款项。选择部分赎回或延缓支付时，按正常赎回程序执行总的净赎回申请不得低于200万份。</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color w:val="auto"/>
          <w:szCs w:val="21"/>
          <w:u w:val="none"/>
        </w:rPr>
        <w:t>.</w:t>
      </w:r>
      <w:r>
        <w:rPr>
          <w:rFonts w:hint="eastAsia" w:ascii="楷体" w:hAnsi="楷体" w:eastAsia="楷体" w:cs="楷体"/>
          <w:b w:val="0"/>
          <w:bCs w:val="0"/>
          <w:szCs w:val="21"/>
          <w:u w:val="none"/>
        </w:rPr>
        <w:t>申购、赎回程序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（1）申购、赎回的申请方式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投资者必须在投资封闭期之后的开放日提出申购</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赎回</w:t>
      </w:r>
      <w:r>
        <w:rPr>
          <w:rFonts w:hint="eastAsia" w:ascii="楷体" w:hAnsi="楷体" w:eastAsia="楷体" w:cs="楷体"/>
          <w:b w:val="0"/>
          <w:bCs w:val="0"/>
          <w:color w:val="auto"/>
          <w:szCs w:val="21"/>
          <w:u w:val="none"/>
        </w:rPr>
        <w:t>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投资者在提交申购申请时，须备足申购资金。投资者的申购申请被受理后，销售机构有权冻结人民币资金形式的申购款项，冻结期间管理人不向投资者计付利息，是否计付利息以销售机构为准。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投资者提交赎回申请时，必须有足够的理财产品份额余额。</w:t>
      </w:r>
    </w:p>
    <w:p>
      <w:pPr>
        <w:numPr>
          <w:ilvl w:val="0"/>
          <w:numId w:val="11"/>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申购和赎回的确认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管理人在申购、赎回确认日对投资者的申购、赎回申请的有效性进行登记并确认。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本理财产品交易时段为管理人业务处理系统记录的每日北京时间</w:t>
      </w: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u w:val="none"/>
        </w:rPr>
        <w:t>起至</w:t>
      </w:r>
      <w:r>
        <w:rPr>
          <w:rFonts w:hint="eastAsia" w:ascii="楷体" w:hAnsi="楷体" w:eastAsia="楷体" w:cs="楷体"/>
          <w:b w:val="0"/>
          <w:bCs w:val="0"/>
          <w:color w:val="auto"/>
          <w:szCs w:val="21"/>
          <w:u w:val="none"/>
          <w:lang w:eastAsia="zh-CN"/>
        </w:rPr>
        <w:t>24:00</w:t>
      </w:r>
      <w:r>
        <w:rPr>
          <w:rFonts w:hint="eastAsia" w:ascii="楷体" w:hAnsi="楷体" w:eastAsia="楷体" w:cs="楷体"/>
          <w:b w:val="0"/>
          <w:bCs w:val="0"/>
          <w:color w:val="auto"/>
          <w:szCs w:val="21"/>
          <w:u w:val="none"/>
        </w:rPr>
        <w:t>止（系统清算时间除外），</w:t>
      </w:r>
      <w:r>
        <w:rPr>
          <w:rFonts w:hint="eastAsia" w:ascii="楷体" w:hAnsi="楷体" w:eastAsia="楷体" w:cs="楷体"/>
          <w:b/>
          <w:bCs/>
          <w:color w:val="auto"/>
          <w:szCs w:val="21"/>
          <w:u w:val="none"/>
          <w:lang w:val="en-US" w:eastAsia="zh-CN"/>
        </w:rPr>
        <w:t>销售机构</w:t>
      </w:r>
      <w:r>
        <w:rPr>
          <w:rFonts w:hint="eastAsia" w:ascii="楷体" w:hAnsi="楷体" w:eastAsia="楷体" w:cs="楷体"/>
          <w:b/>
          <w:bCs/>
          <w:color w:val="auto"/>
          <w:szCs w:val="21"/>
          <w:u w:val="none"/>
        </w:rPr>
        <w:t>实际受理申购或赎回的时间可能与说明书不一致，具体以销售机构</w:t>
      </w:r>
      <w:r>
        <w:rPr>
          <w:rFonts w:hint="eastAsia" w:ascii="楷体" w:hAnsi="楷体" w:eastAsia="楷体" w:cs="楷体"/>
          <w:b/>
          <w:bCs/>
          <w:color w:val="auto"/>
          <w:szCs w:val="21"/>
          <w:u w:val="none"/>
          <w:lang w:val="en-US" w:eastAsia="zh-CN"/>
        </w:rPr>
        <w:t>规则</w:t>
      </w:r>
      <w:r>
        <w:rPr>
          <w:rFonts w:hint="eastAsia" w:ascii="楷体" w:hAnsi="楷体" w:eastAsia="楷体" w:cs="楷体"/>
          <w:b/>
          <w:bCs/>
          <w:color w:val="auto"/>
          <w:szCs w:val="21"/>
          <w:u w:val="none"/>
        </w:rPr>
        <w:t>为准。</w:t>
      </w:r>
      <w:r>
        <w:rPr>
          <w:rFonts w:hint="eastAsia" w:ascii="楷体" w:hAnsi="楷体" w:eastAsia="楷体" w:cs="楷体"/>
          <w:b w:val="0"/>
          <w:bCs w:val="0"/>
          <w:color w:val="auto"/>
          <w:szCs w:val="21"/>
          <w:u w:val="none"/>
        </w:rPr>
        <w:t>具体申购、赎回份额确认规则如下：</w:t>
      </w:r>
    </w:p>
    <w:tbl>
      <w:tblPr>
        <w:tblStyle w:val="12"/>
        <w:tblW w:w="76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0"/>
        <w:gridCol w:w="2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交易申请时间</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【16:00】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【1】【交易日】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【16:00】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24:00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（T日）</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bl>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申购和赎回的支付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交易确认日（见受理、交易确认与估值对应时间部分的内容）进行投资者份额确认并由销售机构扣减投资者账户资金，扣划款项成功后投资者申购成功。投资者申购成功后，可在此后该理财份额对应的任意可赎回开放日赎回部分或全部申购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确认投资者赎回成功后，管理人将为投资者扣减份额，并将投资者应得的赎回资金于赎回确认日后3个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内通过销售机构划转至投资者账户。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.申购份额和赎回金额的计算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（1）申购份额的计算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本理财产品申购份额的具体计算方法如下：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申购份额＝申购金额÷（1+申购费率）÷确认日</w:t>
      </w:r>
      <w:r>
        <w:rPr>
          <w:rFonts w:hint="eastAsia" w:ascii="楷体" w:hAnsi="楷体" w:eastAsia="楷体" w:cs="楷体"/>
          <w:b w:val="0"/>
          <w:bCs w:val="0"/>
          <w:color w:val="auto"/>
          <w:szCs w:val="21"/>
          <w:u w:val="none"/>
          <w:lang w:val="en-US" w:eastAsia="zh-CN"/>
        </w:rPr>
        <w:t>前</w:t>
      </w:r>
      <w:r>
        <w:rPr>
          <w:rFonts w:hint="eastAsia" w:ascii="楷体" w:hAnsi="楷体" w:eastAsia="楷体" w:cs="楷体"/>
          <w:b w:val="0"/>
          <w:bCs w:val="0"/>
          <w:color w:val="auto"/>
          <w:szCs w:val="21"/>
          <w:u w:val="none"/>
          <w:lang w:eastAsia="zh-CN"/>
        </w:rPr>
        <w:t>【1】</w:t>
      </w:r>
      <w:r>
        <w:rPr>
          <w:rFonts w:hint="eastAsia" w:ascii="楷体" w:hAnsi="楷体" w:eastAsia="楷体" w:cs="楷体"/>
          <w:b w:val="0"/>
          <w:bCs w:val="0"/>
          <w:color w:val="auto"/>
          <w:szCs w:val="21"/>
          <w:u w:val="none"/>
          <w:lang w:val="en-US" w:eastAsia="zh-CN"/>
        </w:rPr>
        <w:t>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w:t>
      </w:r>
      <w:r>
        <w:rPr>
          <w:rFonts w:hint="eastAsia" w:ascii="楷体" w:hAnsi="楷体" w:eastAsia="楷体" w:cs="楷体"/>
          <w:b w:val="0"/>
          <w:bCs w:val="0"/>
          <w:color w:val="auto"/>
          <w:szCs w:val="21"/>
          <w:u w:val="none"/>
        </w:rPr>
        <w:t>申购费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由投资者承担并于申购份额时一次性支付。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【假定某投资者投资500元人民币申购本理财产品，申购费率为0.00%，理财产品份额净值为1.02500元人民币，则其可得到的申购份额计算如下：</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申购份数＝500÷(1+0.00%)÷1.02500＝487.80份】</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理财产品采用“份额赎回”方式，赎回价格以赎回</w:t>
      </w:r>
      <w:r>
        <w:rPr>
          <w:rFonts w:hint="eastAsia" w:ascii="楷体" w:hAnsi="楷体" w:eastAsia="楷体" w:cs="楷体"/>
          <w:b w:val="0"/>
          <w:bCs w:val="0"/>
          <w:color w:val="auto"/>
          <w:szCs w:val="21"/>
          <w:u w:val="none"/>
          <w:lang w:val="en-US" w:eastAsia="zh-CN"/>
        </w:rPr>
        <w:t>确认日前【1】个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净值为基准进行计算,计算公式如下：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赎回资金＝总赎回份额×（1-赎回费率）×确认日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本理财产品赎回</w:t>
      </w:r>
      <w:r>
        <w:rPr>
          <w:rFonts w:hint="eastAsia" w:ascii="楷体" w:hAnsi="楷体" w:eastAsia="楷体" w:cs="楷体"/>
          <w:b w:val="0"/>
          <w:bCs w:val="0"/>
          <w:color w:val="auto"/>
          <w:szCs w:val="21"/>
          <w:u w:val="none"/>
        </w:rPr>
        <w:t>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由投资者承担并于赎回份额时一次性支付。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【假定某投资者在赎回开放日赎回100份理财产品份额，赎回费率为0.00%，理财产品份额净值为1.05300元人民币时赎回。</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投资者应得赎回资金＝100×（1-0.00%）×1.05300＝105.30元人民币】</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（三）产品的其他交易规则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1</w:t>
      </w:r>
      <w:r>
        <w:rPr>
          <w:rFonts w:hint="eastAsia" w:ascii="楷体" w:hAnsi="楷体" w:eastAsia="楷体" w:cs="楷体"/>
          <w:b w:val="0"/>
          <w:bCs w:val="0"/>
          <w:szCs w:val="21"/>
          <w:u w:val="none"/>
        </w:rPr>
        <w:t>.非交易过户：因司法执行、继承和赠予等活动产生的相关理财产品份额的过户为非交易过户，进行非交易过户的转出方和转入方都须在销售机构开设有本理财业务的授权指定账户，并须向管理人出示相关的法律文件正本及相关复印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.份额冻结：管理人、销售机构可协助司法机关等因执行公务需要冻结客户的理财份额。</w:t>
      </w:r>
    </w:p>
    <w:p>
      <w:pPr>
        <w:spacing w:before="120" w:after="120"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.强制赎回：管理人、销售机构可协助司法机关等因执行公务需要，凭有关执行文件强制将客户本产品理财份额赎回，赎回的金额将划入该客户原授权指定账户。</w:t>
      </w:r>
    </w:p>
    <w:p>
      <w:pPr>
        <w:pStyle w:val="2"/>
        <w:spacing w:before="120" w:after="120" w:line="240" w:lineRule="auto"/>
        <w:rPr>
          <w:rFonts w:hint="eastAsia" w:ascii="楷体" w:hAnsi="楷体" w:eastAsia="楷体" w:cs="楷体"/>
          <w:sz w:val="28"/>
          <w:szCs w:val="28"/>
          <w:highlight w:val="none"/>
        </w:rPr>
      </w:pPr>
      <w:r>
        <w:rPr>
          <w:rFonts w:hint="eastAsia" w:ascii="楷体" w:hAnsi="楷体" w:eastAsia="楷体"/>
          <w:sz w:val="28"/>
          <w:szCs w:val="28"/>
          <w:highlight w:val="none"/>
          <w:lang w:val="en-US" w:eastAsia="zh-CN"/>
        </w:rPr>
        <w:t>六</w:t>
      </w:r>
      <w:r>
        <w:rPr>
          <w:rFonts w:ascii="楷体" w:hAnsi="楷体" w:eastAsia="楷体"/>
          <w:sz w:val="28"/>
          <w:szCs w:val="28"/>
          <w:highlight w:val="none"/>
        </w:rPr>
        <w:t>、</w:t>
      </w:r>
      <w:r>
        <w:rPr>
          <w:rFonts w:hint="eastAsia" w:ascii="楷体" w:hAnsi="楷体" w:eastAsia="楷体" w:cs="楷体"/>
          <w:sz w:val="28"/>
          <w:szCs w:val="28"/>
          <w:highlight w:val="none"/>
        </w:rPr>
        <w:t>理财产品估值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u w:val="none"/>
          <w:lang w:eastAsia="zh-CN"/>
        </w:rPr>
        <w:t>【本理财产品存续期间（除封闭期起始日至封闭期结束日前一日外），每个交易日、理财产品收益分配基准日以及理财产品终止日为估值日，投资封闭期内每月的27日（如遇非交易日则提前至上一个交易日）为产品估值日】</w:t>
      </w:r>
      <w:r>
        <w:rPr>
          <w:rFonts w:hint="eastAsia" w:ascii="楷体" w:hAnsi="楷体" w:eastAsia="楷体" w:cs="楷体"/>
          <w:b w:val="0"/>
          <w:bCs w:val="0"/>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r>
        <w:rPr>
          <w:rFonts w:hint="eastAsia" w:ascii="楷体" w:hAnsi="楷体" w:eastAsia="楷体" w:cs="楷体"/>
          <w:b w:val="0"/>
          <w:bCs w:val="0"/>
          <w:szCs w:val="21"/>
          <w:highlight w:val="none"/>
          <w:u w:val="none"/>
        </w:rPr>
        <w:t>管理人有权对以上</w:t>
      </w:r>
      <w:r>
        <w:rPr>
          <w:rFonts w:hint="eastAsia" w:ascii="楷体" w:hAnsi="楷体" w:eastAsia="楷体" w:cs="楷体"/>
          <w:b w:val="0"/>
          <w:bCs w:val="0"/>
          <w:szCs w:val="21"/>
          <w:highlight w:val="none"/>
          <w:u w:val="none"/>
          <w:lang w:eastAsia="zh-CN"/>
        </w:rPr>
        <w:t>产品估值规则</w:t>
      </w:r>
      <w:r>
        <w:rPr>
          <w:rFonts w:hint="eastAsia" w:ascii="楷体" w:hAnsi="楷体" w:eastAsia="楷体" w:cs="楷体"/>
          <w:b w:val="0"/>
          <w:bCs w:val="0"/>
          <w:szCs w:val="21"/>
          <w:highlight w:val="none"/>
          <w:u w:val="none"/>
        </w:rPr>
        <w:t>进行修改，并通过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“信息披露”约定的方式进行披露。</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净值指1份理财产品份额以人民币计价的价格。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净值＝理财产品该类份额</w:t>
      </w:r>
      <w:r>
        <w:rPr>
          <w:rFonts w:hint="eastAsia" w:ascii="楷体" w:hAnsi="楷体" w:eastAsia="楷体" w:cs="楷体"/>
          <w:b w:val="0"/>
          <w:bCs w:val="0"/>
          <w:szCs w:val="21"/>
          <w:highlight w:val="none"/>
          <w:u w:val="none"/>
          <w:lang w:val="en-US" w:eastAsia="zh-CN"/>
        </w:rPr>
        <w:t>资产净值</w:t>
      </w:r>
      <w:r>
        <w:rPr>
          <w:rFonts w:hint="eastAsia" w:ascii="楷体" w:hAnsi="楷体" w:eastAsia="楷体" w:cs="楷体"/>
          <w:b w:val="0"/>
          <w:bCs w:val="0"/>
          <w:szCs w:val="21"/>
          <w:highlight w:val="none"/>
          <w:u w:val="none"/>
        </w:rPr>
        <w:t>÷理财产品该类份额总份额</w:t>
      </w:r>
    </w:p>
    <w:p>
      <w:pPr>
        <w:spacing w:line="360" w:lineRule="auto"/>
        <w:ind w:firstLine="422" w:firstLineChars="200"/>
        <w:contextualSpacing/>
        <w:outlineLvl w:val="1"/>
        <w:rPr>
          <w:rFonts w:hint="eastAsia" w:ascii="楷体" w:hAnsi="楷体" w:eastAsia="楷体" w:cs="楷体"/>
          <w:b/>
          <w:bCs/>
          <w:szCs w:val="21"/>
          <w:u w:val="none"/>
        </w:rPr>
      </w:pPr>
      <w:r>
        <w:rPr>
          <w:rFonts w:hint="eastAsia" w:ascii="楷体" w:hAnsi="楷体" w:eastAsia="楷体" w:cs="楷体"/>
          <w:b/>
          <w:bCs/>
          <w:szCs w:val="21"/>
          <w:u w:val="none"/>
          <w:lang w:val="en-US" w:eastAsia="zh-CN"/>
        </w:rPr>
        <w:t>（一）估值原则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1.适配性原则：金融资产的估值方法与理财产品的类型相匹配。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2.审慎性原则：审慎确认和计量金融资产的公允价值，不高估公允价值收益，不低估</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公允价值损失。</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3.充分性原则：估值过程中充分考虑金融资产的性质、重要性级及复杂程度等因素。</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4.清晰性原则：估值方法应清晰明了，便于理解和应用，能清晰反应金融资产的性质。</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二</w:t>
      </w:r>
      <w:r>
        <w:rPr>
          <w:rFonts w:hint="eastAsia" w:ascii="楷体" w:hAnsi="楷体" w:eastAsia="楷体" w:cs="楷体"/>
          <w:sz w:val="21"/>
          <w:u w:val="none"/>
        </w:rPr>
        <w:t>）估值方法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直接持有在证券交易所上市的股票，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直接持有的在证券交易所和全国银行间市场交易的债券，按第三方估值机构（中债、中证等）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3.未上市期间的有价证券（如有）应区分如下情况处理：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（1）送股、转增股、配股和公开增发新股，按估值日在证券交易所挂牌的同一股票的市价（收盘价）估值；该日无交易的，以最近交易日市价（收盘价）估值；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（2）首次公开发行未上市或未挂牌转让的股票、债券，采用估值技术确定公允价值，在估值技术难以可靠计量公允价值的情况下，按成本估值；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4.交易所上市未实行净价交易的债券按估值日收盘全价或第三方估值机构提供的相应品种当日的估值全价减去收盘价或估值全价中所含的债券应收利息得到的净价进行估值。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5.可转换私募债券（如有）和可交换私募债券（如有）未转股前按照公允价值估值。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6.投资于信托计划、资产管理计划等的资产：</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（1）按合同约定的估值方案，以信托计划的受托人、资产管理计划的管理人等和资产托管人共同确认的最新估值数据对本组合持有的资管计划进行估值；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（2）非标准化债权资产通常不存在活跃报价的交易市场，通过估值技术确定其公允价值。如监管另有规定的，按照监管的最新规定进行调整。</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7.债券回购和拆借按买入成本列示，按照票面利率或者商定利率每日计提收益。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8.投资证券投资基金的估值方法：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（1）对于交易所上市的ETF基金、定期开放式基金、封闭式基金，按其所在证券交易所的收盘价估值；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（2）对于交易所上市的开放式基金（LOF），按所投资基金的基金管理人披露且可取得的最新净值（如无当日则为上一交易日）进行估值；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对于交易所上市交易型货币市场基金，如基金管理人披露单位净值，则按所投资基金的基金管理人披露的估值日单位净值进行估值；如基金管理人披露万份（百份）收益，则按所投资基金前一估值日后至估值日期间（含节假日）的万份（百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（4）对于未在交易所上市的场外基金，按可取得的最新净值（如无当日则为上一交易日）的基金单位净值估值；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（5）对于未在交易所上市的货币市场基金，按基金管理公司披露的可取得的最新净值（如无当日则为上一交易日）每万份收益计提收益；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如遇所投资基金不公布基金单位净值、进行折算或拆分、估值日无交易等特殊情况，应根据以下原则进行估值：以所投资基金的基金单位净值估值的，若所投资基金与理财产品估值频率一致但未公布估值日基金单位净值，以其最近公布的基金单位净值为基础估值。以所投资基金的收盘价估值的，若估值日无交易，且最近交易日后市场环境未发生重大变化，以最近交易日的收盘价估值；如最近交易日后市场环境发生了重大变化的，可使用最新的基金单位净值为基础或参考类似投资品种的现行市价及重大变化因素调整最近交易市价，确定公允价值。如果所投资基金前一估值日至估值日期间发生分红除权、折算或拆分，应根据基金单位净值或收盘价、单位基金份额分红金额、折算拆分比例、持仓份额等因素合理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不满足上述条件的，可根据优先股的股息支付条款，采用现金流折现模型等估值模型，或第三方估值机构提供的价格数据估值,当上述价格难以获取且认为成本能够近似体现公允价值，可采用成本法估值。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10.若理财产品存续期间持有其他投资品种，以理财产品管理人和理财产品托管人共同认可的方法估值。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11.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12.对于以上估值方法，相关法律法规以及监管部门有另行规定的，按照监管最新规定执行。如监管并无明确规定和要求的，由产品管理人与托管人协商确定计算方法。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13.按以上估值方法进行估值时，所造成的误差不作为理财产品单位资产净值错误处理。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14.扣除项：应由理财产品承担的固定投资管理费用、托管费、销售管理费和税款（如有）。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三</w:t>
      </w:r>
      <w:r>
        <w:rPr>
          <w:rFonts w:hint="eastAsia" w:ascii="楷体" w:hAnsi="楷体" w:eastAsia="楷体" w:cs="楷体"/>
          <w:sz w:val="21"/>
          <w:u w:val="none"/>
        </w:rPr>
        <w:t>）暂停估值的情形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1.因不可抗力或其他情形致使理财产品管理人、理财产品托管人无法准确评估资产价值时；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投资的信托计划/资管计划合同约定暂停估值或无法估值的情形发生，导致理财产品无法估值的；其中，产品资产净值50%以上的资产不具备活跃交易市场或者在活跃市场中无报价，且不能采用估值技术可靠计量公允价值的，管理人应当暂停产品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3.占理财产品相当比例的投资品种的估值出现重大转变，而管理人为保障投资者的利益，已决定延迟估值；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4.投资管理人、理财产品托管人有合理理由认为将影响本理财产品估值的其他情形发生。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四</w:t>
      </w:r>
      <w:r>
        <w:rPr>
          <w:rFonts w:hint="eastAsia" w:ascii="楷体" w:hAnsi="楷体" w:eastAsia="楷体" w:cs="楷体"/>
          <w:sz w:val="21"/>
          <w:u w:val="none"/>
        </w:rPr>
        <w:t>）估值错误的处理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理财产品管理人和理财产品托管人将采取必要、适当、合理的措施确保理财产品估值的准确性、及时性。</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1.估值错误处理原则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（4）当估值出现错误时，因估值错误而获得不当得利的投资者负有及时返还不当得利的义务。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（5）按法律法规规定的其他原则处理估值错误。</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2.估值错误处理程序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估值错误被发现后，理财产品管理人和理财产品托管人应当及时进行处理，处理的程序如下：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（1）查明估值错误发生的原因，列明所有的管理人和托管人并根据估值错误发生的原因确定估值错误的责任方；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（2）根据估值错误处理原则对因估值错误造成的损失进行评估；</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（3）根据理财产品管理人和理财产品托管人协商的方法，由理财产品管理人和理财产品托管人共同进行更正，由估值错误的责任方进行赔偿损失。</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五</w:t>
      </w:r>
      <w:r>
        <w:rPr>
          <w:rFonts w:hint="eastAsia" w:ascii="楷体" w:hAnsi="楷体" w:eastAsia="楷体" w:cs="楷体"/>
          <w:sz w:val="21"/>
          <w:u w:val="none"/>
        </w:rPr>
        <w:t>）特殊情况的处理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1.理财产品投资管理人、理财产品托管人按本说明书估值方法进行估值时，所造成的误差不作为估值错误处理。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由于不可抗力原因，或由于证券交易所、期货交易所、第三方估值机构、信托公司、基金公司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前述内容如法律法规、监管机关另有规定的，或有关会计准则发生变化等，按照国家最新规定或理财产品管理人最新约定估值。如果行业另有通行做法，理财产品管理人和理财产品托管人本着平等和保护份额持有人利益的原则进行协商。</w:t>
      </w:r>
    </w:p>
    <w:p>
      <w:pPr>
        <w:pStyle w:val="2"/>
        <w:spacing w:before="120" w:after="120" w:line="240" w:lineRule="auto"/>
        <w:rPr>
          <w:rFonts w:hint="eastAsia" w:ascii="楷体" w:hAnsi="楷体" w:eastAsia="楷体" w:cs="楷体"/>
          <w:sz w:val="28"/>
          <w:szCs w:val="28"/>
          <w:u w:val="none"/>
        </w:rPr>
      </w:pPr>
      <w:bookmarkStart w:id="9" w:name="_Toc98680963"/>
      <w:r>
        <w:rPr>
          <w:rFonts w:hint="eastAsia" w:ascii="楷体" w:hAnsi="楷体" w:eastAsia="楷体"/>
          <w:sz w:val="28"/>
          <w:szCs w:val="28"/>
          <w:u w:val="none"/>
        </w:rPr>
        <w:t>七</w:t>
      </w:r>
      <w:r>
        <w:rPr>
          <w:rFonts w:ascii="楷体" w:hAnsi="楷体" w:eastAsia="楷体"/>
          <w:sz w:val="28"/>
          <w:szCs w:val="28"/>
          <w:u w:val="none"/>
        </w:rPr>
        <w:t>、</w:t>
      </w:r>
      <w:r>
        <w:rPr>
          <w:rFonts w:hint="eastAsia" w:ascii="楷体" w:hAnsi="楷体" w:eastAsia="楷体" w:cs="楷体"/>
          <w:sz w:val="28"/>
          <w:szCs w:val="28"/>
          <w:u w:val="none"/>
        </w:rPr>
        <w:t>产品管理人、托管人</w:t>
      </w:r>
      <w:r>
        <w:rPr>
          <w:rFonts w:hint="eastAsia" w:ascii="楷体" w:hAnsi="楷体" w:eastAsia="楷体" w:cs="楷体"/>
          <w:sz w:val="28"/>
          <w:szCs w:val="28"/>
          <w:u w:val="none"/>
          <w:lang w:eastAsia="zh-CN"/>
        </w:rPr>
        <w:t>、</w:t>
      </w:r>
      <w:r>
        <w:rPr>
          <w:rFonts w:hint="eastAsia" w:ascii="楷体" w:hAnsi="楷体" w:eastAsia="楷体" w:cs="楷体"/>
          <w:sz w:val="28"/>
          <w:szCs w:val="28"/>
          <w:u w:val="none"/>
        </w:rPr>
        <w:t>销售机构</w:t>
      </w:r>
      <w:bookmarkEnd w:id="9"/>
      <w:r>
        <w:rPr>
          <w:rFonts w:hint="eastAsia" w:ascii="楷体" w:hAnsi="楷体" w:eastAsia="楷体" w:cs="楷体"/>
          <w:sz w:val="28"/>
          <w:szCs w:val="28"/>
          <w:lang w:val="en-US" w:eastAsia="zh-CN"/>
        </w:rPr>
        <w:t>和投资合作机构</w:t>
      </w:r>
    </w:p>
    <w:p>
      <w:pPr>
        <w:pStyle w:val="3"/>
        <w:spacing w:before="0" w:after="0" w:line="360" w:lineRule="auto"/>
        <w:ind w:firstLine="422" w:firstLineChars="200"/>
        <w:rPr>
          <w:rFonts w:hint="eastAsia" w:ascii="楷体" w:hAnsi="楷体" w:eastAsia="楷体" w:cs="楷体"/>
          <w:u w:val="none"/>
        </w:rPr>
      </w:pPr>
      <w:bookmarkStart w:id="10" w:name="_Toc98680964"/>
      <w:r>
        <w:rPr>
          <w:rFonts w:hint="eastAsia" w:ascii="楷体" w:hAnsi="楷体" w:eastAsia="楷体" w:cs="楷体"/>
          <w:sz w:val="21"/>
          <w:u w:val="none"/>
        </w:rPr>
        <w:t>（一）产品管理人</w:t>
      </w:r>
      <w:bookmarkEnd w:id="10"/>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本理财产品的产品管理人为上银理财有限责任公司。</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基本信息如下：</w:t>
      </w: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机构名称</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地址</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上海市黄浦区中山南路666弄2幢2号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上银理财有限责任公司负责本理财产品的投资运作和产品管理。</w:t>
            </w:r>
          </w:p>
        </w:tc>
      </w:tr>
    </w:tbl>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投资者在此授权并同意上银理财享有以下权利：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的约定，管理、运用和处分理财产品资金；</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的约定，及时、足额获得固定投资管理费和本《产品说明书》约定的其他费用（如有）；</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3.管理人以其固有财产先行垫付因处理本理财产品相关事务所支出的理财产品费用及税费的，对理财产品资金享有优先受偿的权利；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4.管理人有权根据本理财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的约定提前终止或延长本理财产品的期限；</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5.管理人有权单方调整本理财产品的</w:t>
      </w:r>
      <w:r>
        <w:rPr>
          <w:rFonts w:hint="eastAsia" w:ascii="楷体" w:hAnsi="楷体" w:eastAsia="楷体" w:cs="楷体"/>
          <w:b w:val="0"/>
          <w:bCs w:val="0"/>
          <w:szCs w:val="21"/>
          <w:u w:val="none"/>
          <w:lang w:val="en-US" w:eastAsia="zh-CN"/>
        </w:rPr>
        <w:t>销售起点金额及递增金额、投资者认购、申购和赎回的数量限制、投资者持有本产品的最高限额、最低限额、产品规模上限、业绩比较基准、费率</w:t>
      </w:r>
      <w:r>
        <w:rPr>
          <w:rFonts w:hint="eastAsia" w:ascii="楷体" w:hAnsi="楷体" w:eastAsia="楷体" w:cs="楷体"/>
          <w:b w:val="0"/>
          <w:bCs w:val="0"/>
          <w:szCs w:val="21"/>
          <w:u w:val="none"/>
        </w:rPr>
        <w:t>等要素；</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6.管理人有权按照法律规定和监管机构的要求将投资者的信息向有权部门或相关机构披露；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以理财产品投资管理人的名义，依照法律法规相关规定以及为理财产品的利益，对被投资的信托计划、资管计划、各类基金（含公募基金和私募基金）、公司/企业等行使出资人/投资者权利（包括但不限于表决投票的权利）以及行使因理财产品财产投资于证券类基础资产（含债券、股票等）或其他基础资产（包括但不限于债权类资产）所产生的相关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以理财产品投资管理人的名义，依照法律法规相关规定以及代表理财产品份额持有人的利益行使代为追索的权利（包括但不限于提起诉讼/仲裁、申请保全/执行的权利）或者实施其他风险处置，行使、放弃、变更相关权利义务等法律行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9.在法律法规、监管政策允许的前提下调整估值日。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10.法律法规、监管政策和本理财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约定的其他权利。</w:t>
      </w:r>
    </w:p>
    <w:p>
      <w:pPr>
        <w:pStyle w:val="3"/>
        <w:spacing w:before="0" w:after="0" w:line="360" w:lineRule="auto"/>
        <w:ind w:firstLine="422" w:firstLineChars="200"/>
        <w:rPr>
          <w:rFonts w:hint="eastAsia" w:ascii="楷体" w:hAnsi="楷体" w:eastAsia="楷体" w:cs="楷体"/>
          <w:sz w:val="21"/>
          <w:u w:val="none"/>
        </w:rPr>
      </w:pPr>
      <w:bookmarkStart w:id="11" w:name="_Toc98680965"/>
      <w:r>
        <w:rPr>
          <w:rFonts w:hint="eastAsia" w:ascii="楷体" w:hAnsi="楷体" w:eastAsia="楷体" w:cs="楷体"/>
          <w:sz w:val="21"/>
          <w:u w:val="none"/>
        </w:rPr>
        <w:t>（二）托管人</w:t>
      </w:r>
      <w:bookmarkEnd w:id="11"/>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szCs w:val="21"/>
          <w:u w:val="none"/>
        </w:rPr>
        <w:t>本理财产品的托管人</w:t>
      </w:r>
      <w:r>
        <w:rPr>
          <w:rFonts w:hint="eastAsia" w:ascii="楷体" w:hAnsi="楷体" w:eastAsia="楷体" w:cs="楷体"/>
          <w:b w:val="0"/>
          <w:bCs w:val="0"/>
          <w:color w:val="auto"/>
          <w:szCs w:val="21"/>
          <w:u w:val="none"/>
        </w:rPr>
        <w:t>为</w:t>
      </w:r>
      <w:r>
        <w:rPr>
          <w:rFonts w:hint="eastAsia" w:ascii="楷体" w:hAnsi="楷体" w:eastAsia="楷体" w:cs="楷体"/>
          <w:b w:val="0"/>
          <w:bCs w:val="0"/>
          <w:color w:val="auto"/>
          <w:szCs w:val="21"/>
          <w:u w:val="none"/>
          <w:lang w:eastAsia="zh-CN"/>
        </w:rPr>
        <w:t>【上海银行股份有限公司】</w:t>
      </w:r>
      <w:r>
        <w:rPr>
          <w:rFonts w:hint="eastAsia" w:ascii="楷体" w:hAnsi="楷体" w:eastAsia="楷体" w:cs="楷体"/>
          <w:b w:val="0"/>
          <w:bCs w:val="0"/>
          <w:color w:val="auto"/>
          <w:szCs w:val="21"/>
          <w:u w:val="none"/>
        </w:rPr>
        <w:t>。</w:t>
      </w:r>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基本信息如下：</w:t>
      </w: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主要职责</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bidi="ar"/>
              </w:rPr>
              <w:t>由</w:t>
            </w:r>
            <w:r>
              <w:rPr>
                <w:rFonts w:hint="eastAsia" w:ascii="楷体" w:hAnsi="楷体" w:eastAsia="楷体" w:cs="楷体"/>
                <w:b w:val="0"/>
                <w:bCs w:val="0"/>
                <w:color w:val="auto"/>
                <w:szCs w:val="21"/>
                <w:u w:val="none"/>
                <w:lang w:val="en-US" w:eastAsia="zh-CN" w:bidi="ar"/>
              </w:rPr>
              <w:t>托管人机构</w:t>
            </w:r>
            <w:r>
              <w:rPr>
                <w:rFonts w:hint="eastAsia" w:ascii="楷体" w:hAnsi="楷体" w:eastAsia="楷体" w:cs="楷体"/>
                <w:b w:val="0"/>
                <w:bCs w:val="0"/>
                <w:color w:val="auto"/>
                <w:szCs w:val="21"/>
                <w:u w:val="none"/>
                <w:lang w:bidi="ar"/>
              </w:rPr>
              <w:t>提供包括账户开立、资金保管、资金清算、估值核算等理财产品托管服务。</w:t>
            </w:r>
          </w:p>
        </w:tc>
      </w:tr>
    </w:tbl>
    <w:p>
      <w:pPr>
        <w:pStyle w:val="3"/>
        <w:spacing w:before="0" w:after="0" w:line="360" w:lineRule="auto"/>
        <w:ind w:firstLine="422" w:firstLineChars="200"/>
        <w:rPr>
          <w:rFonts w:hint="eastAsia" w:ascii="楷体" w:hAnsi="楷体" w:eastAsia="楷体" w:cs="楷体"/>
          <w:color w:val="auto"/>
          <w:sz w:val="21"/>
          <w:u w:val="none"/>
        </w:rPr>
      </w:pPr>
      <w:r>
        <w:rPr>
          <w:rFonts w:hint="eastAsia" w:ascii="楷体" w:hAnsi="楷体" w:eastAsia="楷体" w:cs="楷体"/>
          <w:color w:val="auto"/>
          <w:sz w:val="21"/>
          <w:u w:val="none"/>
        </w:rPr>
        <w:t>（三）销售机构</w:t>
      </w: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【张家口银行股份有限公司】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【河北省张家口市桥东区胜利北路51号】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【4006896368】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【江苏张家港农村商业银行股份有限公司】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【江苏省张家港市人民中路66号】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【96065】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【浙江上虞农村商业银行股份有限公司】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【浙江省百官街道德盛路55号】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【浙江桐乡农村商业银行股份有限公司】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【浙江省嘉兴市桐乡市梧桐街道校场东路59号】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【宁波鄞州农村商业银行股份有限公司】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【浙江省宁波市鄞州区民惠西路88号】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【956058】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【江苏江南农村商业银行股份有限公司】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【江苏省常州市武进区延政中路9号】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【0519-96005】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【浙江乐清农村商业银行股份有限公司】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【浙江省乐清市城南街道伯乐西路99号】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【吉林银行股份有限公司】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【吉林省长春市南关区人民大街10666号】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【浙江青田农村商业银行股份有限公司】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【浙江省青田县鹤城街道鹤城东路180号】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【浙江义乌农村商业银行股份有限公司】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【浙江省义乌市福田街道城北路677号】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【浙江长兴农村商业银行股份有限公司】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【浙江省湖州市长兴县太湖街道明珠路1298号】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【杭州联合农村商业银行股份有限公司】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【浙江省杭州市上城区小营街道建国中路99号】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【浙江绍兴瑞丰农村商业银行股份有限公司】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【浙江省绍兴市柯桥区柯桥笛扬路1363号】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【浙江德清农村商业银行股份有限公司】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【浙江省德清县武康街道沈长圩街50号】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【0572-8434389】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【宁波镇海农村商业银行股份有限公司】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【浙江省宁波市镇海区骆驼街道镇海大道中段788号】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【九江银行股份有限公司】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【江西省九江市濂溪区长虹大道619号】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【宁波慈溪农村商业银行股份有限公司】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【浙江省慈溪市浒山街道南城路25号、59号5-6层】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【苏州银行股份有限公司】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【江苏省苏州工业园区钟园路728号】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【96067】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pStyle w:val="3"/>
        <w:spacing w:before="0" w:after="0" w:line="360" w:lineRule="auto"/>
        <w:ind w:firstLine="422" w:firstLineChars="200"/>
        <w:rPr>
          <w:rFonts w:hint="eastAsia" w:ascii="楷体" w:hAnsi="楷体" w:eastAsia="楷体" w:cs="楷体"/>
          <w:sz w:val="21"/>
          <w:u w:val="none"/>
        </w:rPr>
      </w:pPr>
      <w:bookmarkStart w:id="12" w:name="_Toc98680967"/>
      <w:r>
        <w:rPr>
          <w:rFonts w:hint="eastAsia" w:ascii="楷体" w:hAnsi="楷体" w:eastAsia="楷体" w:cs="楷体"/>
          <w:sz w:val="21"/>
          <w:u w:val="none"/>
        </w:rPr>
        <w:t>（四）</w:t>
      </w:r>
      <w:r>
        <w:rPr>
          <w:rFonts w:hint="eastAsia" w:ascii="楷体" w:hAnsi="楷体" w:eastAsia="楷体" w:cs="楷体"/>
          <w:sz w:val="21"/>
          <w:lang w:val="en-US" w:eastAsia="zh-CN"/>
        </w:rPr>
        <w:t>投资</w:t>
      </w:r>
      <w:r>
        <w:rPr>
          <w:rFonts w:hint="eastAsia" w:ascii="楷体" w:hAnsi="楷体" w:eastAsia="楷体" w:cs="楷体"/>
          <w:sz w:val="21"/>
          <w:u w:val="none"/>
        </w:rPr>
        <w:t>合作机构</w:t>
      </w:r>
      <w:bookmarkEnd w:id="12"/>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投资合作机构可能包括但不限于华润深国投信托有限公司、国投泰康信托有限公司、中国对外经济贸易信托有限公司、中国人保资产管理有限公司、大家资产管理有限责任公司、中国人寿资产管理有限公司、上银基金管理有限公司、永赢基金管理有限公司、上海光大证券资产管理有限公司、华泰证券(上海)资产管理有限公司、长城财富保险资产管理股份有限公司、民生通惠资产管理有限公司、国寿安保基金管理有限公司、平安信托有限责任公司、华鑫证券有限责任公司等。</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后续新增投资合作机构时，管理人将对合作机构的资质条件、专业服务能力和风险管理水平等进行充分评价，切实履行投资管理职责。</w:t>
      </w:r>
    </w:p>
    <w:p>
      <w:pPr>
        <w:pStyle w:val="2"/>
        <w:spacing w:before="120" w:after="120" w:line="240" w:lineRule="auto"/>
        <w:rPr>
          <w:rFonts w:hint="eastAsia" w:ascii="楷体" w:hAnsi="楷体" w:eastAsia="楷体" w:cs="楷体"/>
          <w:sz w:val="28"/>
          <w:szCs w:val="28"/>
          <w:u w:val="none"/>
        </w:rPr>
      </w:pPr>
      <w:bookmarkStart w:id="13" w:name="_Toc98680981"/>
      <w:r>
        <w:rPr>
          <w:rFonts w:hint="eastAsia" w:ascii="楷体" w:hAnsi="楷体" w:eastAsia="楷体" w:cs="楷体"/>
          <w:sz w:val="28"/>
          <w:szCs w:val="28"/>
          <w:u w:val="none"/>
          <w:lang w:val="en-US" w:eastAsia="zh-CN"/>
        </w:rPr>
        <w:t>八</w:t>
      </w:r>
      <w:r>
        <w:rPr>
          <w:rFonts w:hint="eastAsia" w:ascii="楷体" w:hAnsi="楷体" w:eastAsia="楷体" w:cs="楷体"/>
          <w:sz w:val="28"/>
          <w:szCs w:val="28"/>
          <w:u w:val="none"/>
        </w:rPr>
        <w:t>、产品的收益、费用及税费</w:t>
      </w:r>
      <w:bookmarkEnd w:id="13"/>
    </w:p>
    <w:p>
      <w:pPr>
        <w:pStyle w:val="3"/>
        <w:spacing w:before="0" w:after="0" w:line="360" w:lineRule="auto"/>
        <w:ind w:firstLine="422" w:firstLineChars="200"/>
        <w:rPr>
          <w:rFonts w:hint="eastAsia" w:ascii="楷体" w:hAnsi="楷体" w:eastAsia="楷体" w:cs="楷体"/>
          <w:sz w:val="21"/>
          <w:u w:val="none"/>
        </w:rPr>
      </w:pPr>
      <w:bookmarkStart w:id="14" w:name="_Toc98680982"/>
      <w:r>
        <w:rPr>
          <w:rFonts w:hint="eastAsia" w:ascii="楷体" w:hAnsi="楷体" w:eastAsia="楷体" w:cs="楷体"/>
          <w:sz w:val="21"/>
          <w:u w:val="none"/>
        </w:rPr>
        <w:t>（一）理财产品的收益分配</w:t>
      </w:r>
      <w:bookmarkEnd w:id="14"/>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1.投资者持有本理财产品期间及到期时，管理人不承诺保证投资本金安全且不保证理财收益，投资者收益（如有）随理财产品的投资盈亏水平浮动。</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2.就期间分配而言，</w:t>
      </w:r>
      <w:r>
        <w:rPr>
          <w:rFonts w:hint="eastAsia" w:ascii="楷体" w:hAnsi="楷体" w:eastAsia="楷体" w:cs="楷体"/>
          <w:b w:val="0"/>
          <w:bCs w:val="0"/>
          <w:szCs w:val="21"/>
          <w:u w:val="none"/>
        </w:rPr>
        <w:t>在满足</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u w:val="none"/>
        </w:rPr>
        <w:t>理财产品</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净值大于</w:t>
      </w:r>
      <w:r>
        <w:rPr>
          <w:rFonts w:hint="eastAsia" w:ascii="楷体" w:hAnsi="楷体" w:eastAsia="楷体" w:cs="楷体"/>
          <w:szCs w:val="21"/>
        </w:rPr>
        <w:t>理财产品初始份额净值</w:t>
      </w:r>
      <w:r>
        <w:rPr>
          <w:rFonts w:hint="eastAsia" w:ascii="楷体" w:hAnsi="楷体" w:eastAsia="楷体" w:cs="楷体"/>
          <w:b w:val="0"/>
          <w:bCs w:val="0"/>
          <w:szCs w:val="21"/>
          <w:u w:val="none"/>
        </w:rPr>
        <w:t>的条件下，理财产品管理人可进行不定期分配，分配方式为现金分配。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期间分配原则及方式：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（1）每一理财产品份额享有同等分配权；</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w:t>
      </w:r>
      <w:r>
        <w:rPr>
          <w:rFonts w:hint="eastAsia" w:ascii="楷体" w:hAnsi="楷体" w:eastAsia="楷体" w:cs="楷体"/>
          <w:b w:val="0"/>
          <w:bCs w:val="0"/>
          <w:szCs w:val="21"/>
          <w:highlight w:val="none"/>
          <w:u w:val="none"/>
        </w:rPr>
        <w:t>如需进行</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分配，管</w:t>
      </w:r>
      <w:r>
        <w:rPr>
          <w:rFonts w:hint="eastAsia" w:ascii="楷体" w:hAnsi="楷体" w:eastAsia="楷体" w:cs="楷体"/>
          <w:b w:val="0"/>
          <w:bCs w:val="0"/>
          <w:szCs w:val="21"/>
          <w:u w:val="none"/>
        </w:rPr>
        <w:t>理人应至少在分红日后2个工作日内通过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分配方案，包括但不限于收益分配基准日、分红日、收益分配对象、收益分配方式、分配金额等内容。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（3）原则上，管理人在理财产品分红日后5个工作日内将投资者可得资金转至投资者账户。超过5个工作日的，管理人将提前2个工作日通过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（4）在符合法律法规及理财产品合同约定，并对理财产品份额持有人利益无实质不利影响的前提下，理财产品管理人可通过公告形式对理财产品期间</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分配原则及方式进行调整。</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3.就终止分配而言，</w:t>
      </w:r>
      <w:r>
        <w:rPr>
          <w:rFonts w:hint="eastAsia" w:ascii="楷体" w:hAnsi="楷体" w:eastAsia="楷体" w:cs="楷体"/>
          <w:b w:val="0"/>
          <w:bCs w:val="0"/>
          <w:szCs w:val="21"/>
          <w:u w:val="none"/>
        </w:rPr>
        <w:t>在理财产品终止日如理财产品项下财产全部变现，管理人在理财产品终止日后的5个工作日内扣除应由理财产品承担的税费及费用（包括但不限于固定投资管理费、托管费、销售管理费等）后将投资者应得资金（如有）划转至投资者指定账户。</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费用（包括但不限于固定投资管理费、托管费、销售管理费等，由管理人、第三方垫付的费用）后，按照各投资者持有理财产品份额比例在5个工作日内向投资者分配。延期清算期间，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不收取固定投资管理费、托管费及销售</w:t>
      </w:r>
      <w:r>
        <w:rPr>
          <w:rFonts w:hint="eastAsia" w:ascii="楷体" w:hAnsi="楷体" w:eastAsia="楷体" w:cs="楷体"/>
          <w:b w:val="0"/>
          <w:bCs w:val="0"/>
          <w:szCs w:val="21"/>
          <w:u w:val="none"/>
          <w:lang w:val="en-US" w:eastAsia="zh-CN"/>
        </w:rPr>
        <w:t>管理</w:t>
      </w:r>
      <w:r>
        <w:rPr>
          <w:rFonts w:hint="eastAsia" w:ascii="楷体" w:hAnsi="楷体" w:eastAsia="楷体" w:cs="楷体"/>
          <w:b w:val="0"/>
          <w:bCs w:val="0"/>
          <w:szCs w:val="21"/>
          <w:u w:val="none"/>
        </w:rPr>
        <w:t>费等。理财产品项下财产正常变现情况下，投资者理财产品终止日可得资金（如有）计算公式如下：</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投资者可得资金=投资者理财产品终止日持有理财产品份额×理财产品终止日理财产品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如因理财产品所投资的标的资产因市场风险、信用风险等原因，导致资产无法在理财产品终止日内变现，则投资者应得资金为理财产品变现金额扣除应由理财产品承担的费用、税费后的剩余金额。</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理财产品项下财产正常变现情况下，理财产品投资者在终止日可得收益（不包括投资者通过期间分配已经获得的收益）的计算公式为：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每份额收益=理财产品终止日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净值-理财产品成立日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净值或投资者取得份额所在确认日前</w:t>
      </w:r>
      <w:r>
        <w:rPr>
          <w:rFonts w:hint="eastAsia" w:ascii="楷体" w:hAnsi="楷体" w:eastAsia="楷体" w:cs="楷体"/>
          <w:b w:val="0"/>
          <w:bCs w:val="0"/>
          <w:szCs w:val="21"/>
          <w:u w:val="none"/>
          <w:lang w:eastAsia="zh-CN"/>
        </w:rPr>
        <w:t>【1】</w:t>
      </w:r>
      <w:r>
        <w:rPr>
          <w:rFonts w:hint="eastAsia" w:ascii="楷体" w:hAnsi="楷体" w:eastAsia="楷体" w:cs="楷体"/>
          <w:b w:val="0"/>
          <w:bCs w:val="0"/>
          <w:szCs w:val="21"/>
          <w:u w:val="none"/>
          <w:lang w:val="en-US" w:eastAsia="zh-CN"/>
        </w:rPr>
        <w:t>个</w:t>
      </w:r>
      <w:r>
        <w:rPr>
          <w:rFonts w:hint="eastAsia" w:ascii="楷体" w:hAnsi="楷体" w:eastAsia="楷体" w:cs="楷体"/>
          <w:b w:val="0"/>
          <w:bCs w:val="0"/>
          <w:szCs w:val="21"/>
          <w:u w:val="none"/>
          <w:lang w:eastAsia="zh-CN"/>
        </w:rPr>
        <w:t>【交易日】</w:t>
      </w:r>
      <w:r>
        <w:rPr>
          <w:rFonts w:hint="eastAsia" w:ascii="楷体" w:hAnsi="楷体" w:eastAsia="楷体" w:cs="楷体"/>
          <w:b w:val="0"/>
          <w:bCs w:val="0"/>
          <w:szCs w:val="21"/>
          <w:u w:val="none"/>
          <w:lang w:val="en-US" w:eastAsia="zh-CN"/>
        </w:rPr>
        <w:t>的份额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投资者在终止日可得总收益=投资者理财产品终止日持有理财产品份额×每份额收益</w:t>
      </w:r>
    </w:p>
    <w:p>
      <w:pPr>
        <w:pStyle w:val="3"/>
        <w:spacing w:before="0" w:after="0" w:line="360" w:lineRule="auto"/>
        <w:ind w:firstLine="422" w:firstLineChars="200"/>
        <w:rPr>
          <w:rFonts w:hint="eastAsia" w:ascii="楷体" w:hAnsi="楷体" w:eastAsia="楷体" w:cs="楷体"/>
          <w:sz w:val="21"/>
          <w:u w:val="none"/>
        </w:rPr>
      </w:pPr>
      <w:bookmarkStart w:id="15" w:name="_Toc98680983"/>
      <w:r>
        <w:rPr>
          <w:rFonts w:hint="eastAsia" w:ascii="楷体" w:hAnsi="楷体" w:eastAsia="楷体" w:cs="楷体"/>
          <w:sz w:val="21"/>
          <w:u w:val="none"/>
        </w:rPr>
        <w:t>（二）理财产品费用</w:t>
      </w:r>
      <w:bookmarkEnd w:id="15"/>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w:t>
      </w:r>
      <w:r>
        <w:rPr>
          <w:rFonts w:hint="eastAsia" w:ascii="楷体" w:hAnsi="楷体" w:eastAsia="楷体" w:cs="楷体"/>
          <w:b w:val="0"/>
          <w:bCs w:val="0"/>
          <w:szCs w:val="21"/>
          <w:highlight w:val="none"/>
          <w:u w:val="none"/>
        </w:rPr>
        <w:t>理财产品费用指管理人为成立理财产品及处理理财产品事务目的而支出的所有费用，包括但不限于管理人收取的固定投资管理费、</w:t>
      </w:r>
      <w:r>
        <w:rPr>
          <w:rFonts w:hint="eastAsia" w:ascii="楷体" w:hAnsi="楷体" w:eastAsia="楷体" w:cs="楷体"/>
          <w:b w:val="0"/>
          <w:bCs w:val="0"/>
          <w:szCs w:val="21"/>
          <w:highlight w:val="none"/>
          <w:u w:val="none"/>
          <w:lang w:val="en-US" w:eastAsia="zh-CN"/>
        </w:rPr>
        <w:t>浮动投资管理费（如有）、</w:t>
      </w:r>
      <w:r>
        <w:rPr>
          <w:rFonts w:hint="eastAsia" w:ascii="楷体" w:hAnsi="楷体" w:eastAsia="楷体" w:cs="楷体"/>
          <w:b w:val="0"/>
          <w:bCs w:val="0"/>
          <w:szCs w:val="21"/>
          <w:highlight w:val="none"/>
          <w:u w:val="none"/>
        </w:rPr>
        <w:t>托管人收取的托管费、销售机构收取的销售管理费、因投资资产而产生的资产服务费（如有）</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交易费用（包括但不限于交易佣金、撮合费用等）、理财产品验资费、审</w:t>
      </w:r>
      <w:r>
        <w:rPr>
          <w:rFonts w:hint="eastAsia" w:ascii="楷体" w:hAnsi="楷体" w:eastAsia="楷体" w:cs="楷体"/>
          <w:b w:val="0"/>
          <w:bCs w:val="0"/>
          <w:szCs w:val="21"/>
          <w:u w:val="none"/>
        </w:rPr>
        <w:t>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理财产品费用按本《产品说明书》及投资管理人与费用收取方之间的协议约定从理财产品资产中支付。投资管理人或理财产品参与方以固有财产先行垫付的，有权从理财产品资产中优先受偿。</w:t>
      </w:r>
    </w:p>
    <w:p>
      <w:pPr>
        <w:spacing w:line="360" w:lineRule="auto"/>
        <w:ind w:firstLine="42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w:t>
      </w:r>
      <w:r>
        <w:rPr>
          <w:rFonts w:hint="eastAsia" w:ascii="楷体" w:hAnsi="楷体" w:eastAsia="楷体" w:cs="楷体"/>
          <w:b w:val="0"/>
          <w:bCs w:val="0"/>
          <w:szCs w:val="21"/>
          <w:u w:val="none"/>
        </w:rPr>
        <w:t>销售管理费、固定投资管理费、托管费均按日根据理财产品上一自然日日终产品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净值进行提取，均为年化费率</w:t>
      </w:r>
      <w:r>
        <w:rPr>
          <w:rFonts w:hint="eastAsia" w:ascii="楷体" w:hAnsi="楷体" w:eastAsia="楷体" w:cs="楷体"/>
          <w:b w:val="0"/>
          <w:bCs w:val="0"/>
          <w:szCs w:val="21"/>
          <w:u w:val="none"/>
          <w:lang w:val="en-US" w:eastAsia="zh-CN"/>
        </w:rPr>
        <w:t>：</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（1）销售管理费：年化费率0.60%。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（2）固定投资管理费：年化费率0.60%。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（3）托管费：年化费率0.02%</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理财产品某一类份额每个自然日计提的</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上一自然日</w:t>
      </w:r>
      <w:r>
        <w:rPr>
          <w:rFonts w:hint="eastAsia" w:ascii="楷体" w:hAnsi="楷体" w:eastAsia="楷体" w:cs="楷体"/>
          <w:b w:val="0"/>
          <w:bCs w:val="0"/>
          <w:color w:val="auto"/>
          <w:szCs w:val="21"/>
          <w:u w:val="none"/>
          <w:lang w:val="en-US" w:eastAsia="zh-CN"/>
        </w:rPr>
        <w:t>理财产品该类份额资产净值×</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年化费率÷365</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4.管理人有权依照理财产品销售文件约定规则收取浮动投资管理费。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5</w:t>
      </w:r>
      <w:r>
        <w:rPr>
          <w:rFonts w:hint="eastAsia" w:ascii="楷体" w:hAnsi="楷体" w:eastAsia="楷体" w:cs="楷体"/>
          <w:b w:val="0"/>
          <w:bCs w:val="0"/>
          <w:szCs w:val="21"/>
          <w:u w:val="none"/>
        </w:rPr>
        <w:t>.产品运作和清算中产生的其他资金汇划费、结算费、手续费、注册登记费、信息披露费、账户服务费、审计费、律师费、外包服务费、资产评估费、资产存续期管理所需费用及按照法律法规规章规定和理财产品销售文件约定应由产品承担的费用等，按照实际发生额从产品资产中列支。</w:t>
      </w:r>
    </w:p>
    <w:p>
      <w:pPr>
        <w:spacing w:line="360" w:lineRule="auto"/>
        <w:ind w:firstLine="420"/>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szCs w:val="21"/>
          <w:u w:val="none"/>
        </w:rPr>
        <w:t>.管理人有权根据相关法律和国家政策规定调整产品费率，调整产品费率的公告将通过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“信息披露”约定的方式向投资者披露。投资者若不接受，可根据实际情况按照公告约定提前赎回本理财产品。</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.管理人有权根据国家政策和适用法律的规定，对本理财产品费用名目、收费条件、收费标准和收费方式进行调整，并通过</w:t>
      </w: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产品说明书</w:t>
      </w:r>
      <w:r>
        <w:rPr>
          <w:rFonts w:hint="eastAsia" w:ascii="楷体" w:hAnsi="楷体" w:eastAsia="楷体" w:cs="楷体"/>
          <w:b/>
          <w:bCs/>
          <w:szCs w:val="21"/>
          <w:u w:val="none"/>
          <w:lang w:eastAsia="zh-CN"/>
        </w:rPr>
        <w:t>》</w:t>
      </w:r>
      <w:r>
        <w:rPr>
          <w:rFonts w:hint="eastAsia" w:ascii="楷体" w:hAnsi="楷体" w:eastAsia="楷体" w:cs="楷体"/>
          <w:b/>
          <w:bCs/>
          <w:szCs w:val="21"/>
          <w:u w:val="none"/>
        </w:rPr>
        <w:t>“信息披露”约定的方式，向投资者披露。其中，对于管理人增加费用名目、提高收费标准等对投资者利益产生实质性影响的情形，投资者如不同意调整的，可在管理人信息披露的补充或修改后的相关业务调整生效前赎回本理财产品</w:t>
      </w:r>
      <w:r>
        <w:rPr>
          <w:rFonts w:hint="eastAsia" w:ascii="楷体" w:hAnsi="楷体" w:eastAsia="楷体" w:cs="楷体"/>
          <w:b/>
          <w:bCs/>
          <w:szCs w:val="21"/>
          <w:u w:val="none"/>
          <w:lang w:eastAsia="zh-CN"/>
        </w:rPr>
        <w:t>（</w:t>
      </w:r>
      <w:r>
        <w:rPr>
          <w:rFonts w:hint="eastAsia" w:ascii="楷体" w:hAnsi="楷体" w:eastAsia="楷体" w:cs="楷体"/>
          <w:b/>
          <w:bCs/>
          <w:szCs w:val="21"/>
          <w:u w:val="none"/>
        </w:rPr>
        <w:t>此种情况下管理人将可能在赎回开放日外单独开放特殊赎回期间，具体以届时管理人的公告为准</w:t>
      </w:r>
      <w:r>
        <w:rPr>
          <w:rFonts w:hint="eastAsia" w:ascii="楷体" w:hAnsi="楷体" w:eastAsia="楷体" w:cs="楷体"/>
          <w:b/>
          <w:bCs/>
          <w:szCs w:val="21"/>
          <w:u w:val="none"/>
          <w:lang w:eastAsia="zh-CN"/>
        </w:rPr>
        <w:t>）</w:t>
      </w:r>
      <w:r>
        <w:rPr>
          <w:rFonts w:hint="eastAsia" w:ascii="楷体" w:hAnsi="楷体" w:eastAsia="楷体" w:cs="楷体"/>
          <w:b/>
          <w:bCs/>
          <w:szCs w:val="21"/>
          <w:u w:val="none"/>
        </w:rPr>
        <w:t>，逾期未赎回的视为同意接受前述调整且继续持有本理财产品。</w:t>
      </w:r>
    </w:p>
    <w:p>
      <w:pPr>
        <w:pStyle w:val="3"/>
        <w:spacing w:before="0" w:after="0" w:line="360" w:lineRule="auto"/>
        <w:ind w:firstLine="422" w:firstLineChars="200"/>
        <w:rPr>
          <w:rFonts w:hint="eastAsia" w:ascii="楷体" w:hAnsi="楷体" w:eastAsia="楷体" w:cs="楷体"/>
          <w:b/>
          <w:bCs/>
          <w:sz w:val="21"/>
          <w:u w:val="none"/>
        </w:rPr>
      </w:pPr>
      <w:bookmarkStart w:id="16" w:name="_Toc98680984"/>
      <w:r>
        <w:rPr>
          <w:rFonts w:hint="eastAsia" w:ascii="楷体" w:hAnsi="楷体" w:eastAsia="楷体" w:cs="楷体"/>
          <w:b/>
          <w:bCs/>
          <w:sz w:val="21"/>
          <w:u w:val="none"/>
        </w:rPr>
        <w:t>（三）理财产品税费</w:t>
      </w:r>
      <w:bookmarkEnd w:id="16"/>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1.理财产品税费在理财产品资产中列支。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2.除理财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另有约定外，理财产品运作过程中涉及的各纳税主体，依照适用法律规定自行履行纳税义务。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3.若适用法律要求投资管理人代扣代缴理财产品份额持有人应纳税款的，投资管理人将依法履行扣缴义务，份额持有人对此应给予配合。</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p>
      <w:pPr>
        <w:pStyle w:val="2"/>
        <w:spacing w:line="240" w:lineRule="auto"/>
        <w:rPr>
          <w:rFonts w:hint="eastAsia" w:ascii="楷体" w:hAnsi="楷体" w:eastAsia="楷体" w:cs="楷体"/>
          <w:sz w:val="28"/>
          <w:szCs w:val="28"/>
          <w:lang w:eastAsia="zh-CN"/>
        </w:rPr>
      </w:pPr>
      <w:bookmarkStart w:id="17" w:name="_Toc98680985"/>
      <w:bookmarkStart w:id="18" w:name="_Toc98680986"/>
      <w:r>
        <w:rPr>
          <w:rFonts w:hint="eastAsia" w:ascii="楷体" w:hAnsi="楷体" w:eastAsia="楷体" w:cs="楷体"/>
          <w:sz w:val="28"/>
          <w:szCs w:val="28"/>
          <w:lang w:val="en-US" w:eastAsia="zh-CN"/>
        </w:rPr>
        <w:t>九</w:t>
      </w:r>
      <w:r>
        <w:rPr>
          <w:rFonts w:hint="eastAsia" w:ascii="楷体" w:hAnsi="楷体" w:eastAsia="楷体" w:cs="楷体"/>
          <w:sz w:val="28"/>
          <w:szCs w:val="28"/>
        </w:rPr>
        <w:t>、产品的延期、提前终止与产品资产清算</w:t>
      </w:r>
      <w:bookmarkEnd w:id="17"/>
    </w:p>
    <w:p>
      <w:pPr>
        <w:pStyle w:val="3"/>
        <w:spacing w:before="0" w:after="0" w:line="360" w:lineRule="auto"/>
        <w:ind w:firstLine="422" w:firstLineChars="200"/>
        <w:rPr>
          <w:rFonts w:hint="eastAsia" w:ascii="楷体" w:hAnsi="楷体" w:eastAsia="楷体" w:cs="楷体"/>
          <w:u w:val="none"/>
        </w:rPr>
      </w:pPr>
      <w:r>
        <w:rPr>
          <w:rFonts w:hint="eastAsia" w:ascii="楷体" w:hAnsi="楷体" w:eastAsia="楷体" w:cs="楷体"/>
          <w:sz w:val="21"/>
          <w:u w:val="none"/>
        </w:rPr>
        <w:t>（一）理财产品延期</w:t>
      </w:r>
      <w:bookmarkEnd w:id="18"/>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如本理财产品到期日逢非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顺延至下一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。发生下列任一情形的，理财产品管理人有权以投资者利益最大化为原则，根据市场情况综合判断决定延长产品期限，推迟理财产品到期日：</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1.预计在理财产品到期日，理财产品财产因理财产品所投资的资产的市场风险、信用风险等原因将无法全部变现；</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2.预计理财产品所投资的信托计划、资管计划、私募基金的受托人或管理人将不能按期向管理人划付理财产品的本金和收益；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color w:val="auto"/>
          <w:szCs w:val="21"/>
          <w:u w:val="none"/>
        </w:rPr>
        <w:t>3.理财产品财产涉及诉讼（或仲裁），且预计诉讼（或仲</w:t>
      </w:r>
      <w:r>
        <w:rPr>
          <w:rFonts w:hint="eastAsia" w:ascii="楷体" w:hAnsi="楷体" w:eastAsia="楷体" w:cs="楷体"/>
          <w:b w:val="0"/>
          <w:bCs w:val="0"/>
          <w:szCs w:val="21"/>
          <w:u w:val="none"/>
        </w:rPr>
        <w:t>裁）及执行程序于理财产品预计到期日尚未终结；</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4.管理人与托管人、销售机构协商一致决定延期；</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5.管理人认为有必要延期的其他情形；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6.法律规定的及本《产品说明书》约定的其他情形。</w:t>
      </w:r>
    </w:p>
    <w:p>
      <w:pPr>
        <w:spacing w:line="360" w:lineRule="auto"/>
        <w:ind w:firstLine="420" w:firstLineChars="200"/>
        <w:contextualSpacing/>
        <w:rPr>
          <w:rFonts w:hint="eastAsia" w:ascii="楷体" w:hAnsi="楷体" w:eastAsia="楷体" w:cs="楷体"/>
          <w:b/>
          <w:bCs/>
          <w:szCs w:val="21"/>
          <w:u w:val="none"/>
        </w:rPr>
      </w:pPr>
      <w:r>
        <w:rPr>
          <w:rFonts w:hint="eastAsia" w:ascii="楷体" w:hAnsi="楷体" w:eastAsia="楷体" w:cs="楷体"/>
          <w:b w:val="0"/>
          <w:bCs w:val="0"/>
          <w:szCs w:val="21"/>
          <w:u w:val="none"/>
        </w:rPr>
        <w:t>如管理人决定本理财产品延期的，将于理财产品预计到期日前2个工作日通过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对延期事项进行说明，并说明延期期限及到期之日，自披露之日即视为相关信息已送达，并据约定生效之日起生效。若投资者不同意延期的，可在信息披露的延期生效前赎回本理财产品（此种情况下可能开放特殊赎回期间，具体以届时的公告为准），</w:t>
      </w:r>
      <w:r>
        <w:rPr>
          <w:rFonts w:hint="eastAsia" w:ascii="楷体" w:hAnsi="楷体" w:eastAsia="楷体" w:cs="楷体"/>
          <w:b/>
          <w:bCs/>
          <w:szCs w:val="21"/>
          <w:u w:val="none"/>
        </w:rPr>
        <w:t>逾期未赎回的视为同意。</w:t>
      </w:r>
    </w:p>
    <w:p>
      <w:pPr>
        <w:pStyle w:val="3"/>
        <w:spacing w:before="0" w:after="0" w:line="360" w:lineRule="auto"/>
        <w:ind w:firstLine="422" w:firstLineChars="200"/>
        <w:rPr>
          <w:rFonts w:hint="eastAsia" w:ascii="楷体" w:hAnsi="楷体" w:eastAsia="楷体" w:cs="楷体"/>
          <w:sz w:val="21"/>
          <w:u w:val="none"/>
        </w:rPr>
      </w:pPr>
      <w:bookmarkStart w:id="19" w:name="_Toc98680987"/>
      <w:r>
        <w:rPr>
          <w:rFonts w:hint="eastAsia" w:ascii="楷体" w:hAnsi="楷体" w:eastAsia="楷体" w:cs="楷体"/>
          <w:sz w:val="21"/>
          <w:u w:val="none"/>
        </w:rPr>
        <w:t>（二）理财产品终止与清算</w:t>
      </w:r>
      <w:bookmarkEnd w:id="19"/>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1.为避免疑义，理财产品除因本条以下所列理财产品终止事件而终止外，投资者不得提议要求提前终止理财产品。</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（1）理财产品必须终止的事件：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a.发生不可抗力事件导致理财产品不能存续；</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b.理财产品被法院或仲裁机构依法撤销、被认定为无效或被判决、裁定终止或被监管机构要求终止的；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c.理财产品预计到期日届至且未延期的；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d.理财产品延期期限届至且未再次延期，或出现适用法律规定应当终止理财产品的情形。</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（2）理财产品管理人有权单方决定是否终止的事件：</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a.理财存续期内，理财产品连续10个工作日总份额低于1亿份；</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b.如遇国家金融政策出现重大调整或宏观经济形势发生重大变化并影响到本理财产品的正常运作；</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c.本理财产品投向的金融资产所涉相关主体信用恶化，市场利率大幅下滑；</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d.为保护投资者利益，理财产品投向的信托计划、资管计划等提前终止；</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e.为保护投资者利益，管理人有合理理由认为将影响本理财产品正常运作的其他情形。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.理财产品不因投资者死亡、丧失民事行为能力、破产而终止；投资者的法定继承人、承继人或指定受益人以及继任管理人承担本理财产品销售文件项下的相应权利和义务。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.如理财产品终止，除理财产品必须终止的事件第</w:t>
      </w:r>
      <w:r>
        <w:rPr>
          <w:rFonts w:hint="eastAsia" w:ascii="楷体" w:hAnsi="楷体" w:eastAsia="楷体" w:cs="楷体"/>
          <w:b w:val="0"/>
          <w:bCs w:val="0"/>
          <w:szCs w:val="21"/>
          <w:u w:val="none"/>
          <w:lang w:val="en-US" w:eastAsia="zh-CN"/>
        </w:rPr>
        <w:t>c</w:t>
      </w:r>
      <w:r>
        <w:rPr>
          <w:rFonts w:hint="eastAsia" w:ascii="楷体" w:hAnsi="楷体" w:eastAsia="楷体" w:cs="楷体"/>
          <w:b w:val="0"/>
          <w:bCs w:val="0"/>
          <w:szCs w:val="21"/>
          <w:u w:val="none"/>
        </w:rPr>
        <w:t>项及第</w:t>
      </w:r>
      <w:r>
        <w:rPr>
          <w:rFonts w:hint="eastAsia" w:ascii="楷体" w:hAnsi="楷体" w:eastAsia="楷体" w:cs="楷体"/>
          <w:b w:val="0"/>
          <w:bCs w:val="0"/>
          <w:szCs w:val="21"/>
          <w:u w:val="none"/>
          <w:lang w:val="en-US" w:eastAsia="zh-CN"/>
        </w:rPr>
        <w:t>d</w:t>
      </w:r>
      <w:r>
        <w:rPr>
          <w:rFonts w:hint="eastAsia" w:ascii="楷体" w:hAnsi="楷体" w:eastAsia="楷体" w:cs="楷体"/>
          <w:b w:val="0"/>
          <w:bCs w:val="0"/>
          <w:szCs w:val="21"/>
          <w:u w:val="none"/>
        </w:rPr>
        <w:t>项之外，理财产品管理人应提前2个工作日通过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“信息披露”约定的方式，向投资者披露，并披露理财产品终止之日。</w:t>
      </w:r>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rPr>
        <w:t>.理财产品终止后，理财产品管理人将根据届时适用法律规定和监管机构的指引、要求及/或管理人的规定以及本理财产品销售文件的约定对本理财产品进行清算</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清算期不计算投资收益。理财资产清算后扣除理财相关费用、缴纳所欠税款并清偿理财产品负债后，理财利益按投资者持有的理财产品份额比例进行分配。清算期原则上不得超过5个工作日，清算期超过5个工作日的，将</w:t>
      </w:r>
      <w:r>
        <w:rPr>
          <w:rFonts w:hint="eastAsia" w:ascii="楷体" w:hAnsi="楷体" w:eastAsia="楷体" w:cs="楷体"/>
          <w:b w:val="0"/>
          <w:bCs w:val="0"/>
          <w:szCs w:val="21"/>
          <w:u w:val="none"/>
          <w:lang w:val="en-US" w:eastAsia="zh-CN"/>
        </w:rPr>
        <w:t>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p>
    <w:p>
      <w:pPr>
        <w:pStyle w:val="2"/>
        <w:rPr>
          <w:rFonts w:hint="eastAsia" w:ascii="楷体" w:hAnsi="楷体" w:eastAsia="楷体" w:cs="楷体"/>
          <w:sz w:val="28"/>
          <w:szCs w:val="28"/>
        </w:rPr>
      </w:pPr>
      <w:bookmarkStart w:id="20" w:name="_Toc98680989"/>
      <w:bookmarkStart w:id="21" w:name="_Toc98680990"/>
      <w:r>
        <w:rPr>
          <w:rFonts w:hint="eastAsia" w:ascii="楷体" w:hAnsi="楷体" w:eastAsia="楷体"/>
          <w:sz w:val="28"/>
          <w:szCs w:val="28"/>
        </w:rPr>
        <w:t>十、</w:t>
      </w:r>
      <w:r>
        <w:rPr>
          <w:rFonts w:hint="eastAsia" w:ascii="楷体" w:hAnsi="楷体" w:eastAsia="楷体" w:cs="楷体"/>
          <w:sz w:val="28"/>
          <w:szCs w:val="28"/>
        </w:rPr>
        <w:t>信息披露</w:t>
      </w:r>
      <w:bookmarkEnd w:id="20"/>
    </w:p>
    <w:p>
      <w:pPr>
        <w:pStyle w:val="3"/>
        <w:spacing w:before="0" w:after="0" w:line="360" w:lineRule="auto"/>
        <w:ind w:firstLine="422" w:firstLineChars="200"/>
        <w:rPr>
          <w:rFonts w:hint="eastAsia" w:ascii="楷体" w:hAnsi="楷体" w:eastAsia="楷体" w:cs="楷体"/>
          <w:b/>
          <w:bCs/>
          <w:sz w:val="21"/>
          <w:szCs w:val="32"/>
          <w:u w:val="none"/>
          <w:lang w:val="en-US" w:eastAsia="zh-CN"/>
        </w:rPr>
      </w:pPr>
      <w:r>
        <w:rPr>
          <w:rFonts w:hint="eastAsia" w:ascii="楷体" w:hAnsi="楷体" w:eastAsia="楷体" w:cs="楷体"/>
          <w:sz w:val="21"/>
          <w:u w:val="none"/>
        </w:rPr>
        <w:t>（一）信息披露的渠道</w:t>
      </w:r>
    </w:p>
    <w:p>
      <w:pPr>
        <w:spacing w:line="360" w:lineRule="auto"/>
        <w:ind w:firstLine="422" w:firstLineChars="200"/>
        <w:contextualSpacing/>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产品认购期和</w:t>
      </w:r>
      <w:r>
        <w:rPr>
          <w:rFonts w:hint="eastAsia" w:ascii="楷体" w:hAnsi="楷体" w:eastAsia="楷体" w:cs="楷体"/>
          <w:b/>
          <w:bCs/>
          <w:szCs w:val="21"/>
          <w:highlight w:val="none"/>
          <w:u w:val="none"/>
        </w:rPr>
        <w:t>存续期间，</w:t>
      </w:r>
      <w:r>
        <w:rPr>
          <w:rFonts w:hint="eastAsia" w:ascii="楷体" w:hAnsi="楷体" w:eastAsia="楷体" w:cs="楷体"/>
          <w:b/>
          <w:bCs/>
          <w:szCs w:val="21"/>
          <w:highlight w:val="none"/>
          <w:u w:val="none"/>
          <w:lang w:val="en-US" w:eastAsia="zh-CN"/>
        </w:rPr>
        <w:t>将通过产品管理人官方网站（www.boscwm.cn）或</w:t>
      </w:r>
      <w:r>
        <w:rPr>
          <w:rFonts w:hint="eastAsia" w:ascii="楷体" w:hAnsi="楷体" w:eastAsia="楷体" w:cs="楷体"/>
          <w:b/>
          <w:bCs/>
          <w:szCs w:val="21"/>
          <w:highlight w:val="none"/>
          <w:u w:val="none"/>
        </w:rPr>
        <w:t>销售机构的信息披露渠道（包括但不限于销售机构的营业网点、门户网站、电子销售渠道等）</w:t>
      </w:r>
      <w:r>
        <w:rPr>
          <w:rFonts w:hint="eastAsia" w:ascii="楷体" w:hAnsi="楷体" w:eastAsia="楷体" w:cs="楷体"/>
          <w:b/>
          <w:bCs/>
          <w:szCs w:val="21"/>
          <w:highlight w:val="none"/>
          <w:u w:val="none"/>
          <w:lang w:val="en-US" w:eastAsia="zh-CN"/>
        </w:rPr>
        <w:t>进行</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的信息披露。</w:t>
      </w:r>
    </w:p>
    <w:p>
      <w:pPr>
        <w:spacing w:line="360" w:lineRule="auto"/>
        <w:ind w:firstLine="422" w:firstLineChars="200"/>
        <w:contextualSpacing/>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产品管理人通过信息披露渠道发布理财产品有关信息，即视为已适当履行其信息披露义务。</w:t>
      </w:r>
      <w:r>
        <w:rPr>
          <w:rFonts w:hint="eastAsia" w:ascii="楷体" w:hAnsi="楷体" w:eastAsia="楷体" w:cs="楷体"/>
          <w:b w:val="0"/>
          <w:bCs w:val="0"/>
          <w:szCs w:val="21"/>
          <w:highlight w:val="none"/>
          <w:u w:val="none"/>
        </w:rPr>
        <w:t>如产品管理人认为需要直接联系投资者的，将依据本说明书投资者信息中投资者预留的信息进行通知。</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投资者应定期通过约定的相关渠道获知有关本理财产品相关信息。以上相关信息自披露之日即视为已送达投资者，也视为产品管理人已适当披露代销理财产品相关信息。投资者承诺将及时接收、浏览和阅读该等信息。</w:t>
      </w:r>
      <w:r>
        <w:rPr>
          <w:rFonts w:hint="eastAsia" w:ascii="楷体" w:hAnsi="楷体" w:eastAsia="楷体" w:cs="楷体"/>
          <w:b w:val="0"/>
          <w:bCs w:val="0"/>
          <w:szCs w:val="21"/>
          <w:u w:val="none"/>
        </w:rPr>
        <w:t>如投资者对本产品的运作状况有任何疑问，可向产品管理人或销售机构进行咨询。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4.在保障投资者知情权的前提下，产品管理人保留变更信息披露渠道的权利。</w:t>
      </w:r>
    </w:p>
    <w:bookmarkEnd w:id="21"/>
    <w:p>
      <w:pPr>
        <w:pStyle w:val="3"/>
        <w:spacing w:before="0" w:after="0" w:line="360" w:lineRule="auto"/>
        <w:ind w:firstLine="422" w:firstLineChars="200"/>
        <w:rPr>
          <w:rFonts w:hint="eastAsia" w:ascii="楷体" w:hAnsi="楷体" w:eastAsia="楷体" w:cs="楷体"/>
          <w:sz w:val="21"/>
          <w:u w:val="none"/>
        </w:rPr>
      </w:pPr>
      <w:bookmarkStart w:id="22" w:name="_Toc98680991"/>
      <w:r>
        <w:rPr>
          <w:rFonts w:hint="eastAsia" w:ascii="楷体" w:hAnsi="楷体" w:eastAsia="楷体" w:cs="楷体"/>
          <w:sz w:val="21"/>
          <w:u w:val="none"/>
        </w:rPr>
        <w:t>（二）信息披露的内容和时间</w:t>
      </w:r>
      <w:bookmarkEnd w:id="22"/>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szCs w:val="21"/>
          <w:u w:val="none"/>
        </w:rPr>
        <w:t>1.理财产品发行公告</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szCs w:val="21"/>
          <w:u w:val="none"/>
        </w:rPr>
        <w:t>管理人将在理财产品成立之后5个工作日内披露发行公告，包括理财产品成立日期和募集规模等信息。若募集期新出台的法律、法规导致本理财产品不适宜成立运行，或理财产品认购总金额未达到认购规模下限，</w:t>
      </w:r>
      <w:r>
        <w:rPr>
          <w:rFonts w:hint="eastAsia" w:ascii="楷体" w:hAnsi="楷体" w:eastAsia="楷体" w:cs="楷体"/>
          <w:b w:val="0"/>
          <w:bCs w:val="0"/>
          <w:color w:val="auto"/>
          <w:szCs w:val="21"/>
          <w:u w:val="none"/>
        </w:rPr>
        <w:t>或出现其他</w:t>
      </w:r>
      <w:r>
        <w:rPr>
          <w:rFonts w:hint="eastAsia" w:ascii="楷体" w:hAnsi="楷体" w:eastAsia="楷体" w:cs="楷体"/>
          <w:b w:val="0"/>
          <w:bCs w:val="0"/>
          <w:color w:val="auto"/>
          <w:szCs w:val="21"/>
          <w:u w:val="none"/>
          <w:lang w:val="en-US" w:eastAsia="zh-CN"/>
        </w:rPr>
        <w:t>影响</w:t>
      </w:r>
      <w:r>
        <w:rPr>
          <w:rFonts w:hint="eastAsia" w:ascii="楷体" w:hAnsi="楷体" w:eastAsia="楷体" w:cs="楷体"/>
          <w:b w:val="0"/>
          <w:bCs w:val="0"/>
          <w:color w:val="auto"/>
          <w:szCs w:val="21"/>
          <w:u w:val="none"/>
        </w:rPr>
        <w:t>理财产品正常运作的情况，则理财产品管理人有权宣布本理财产品不能成立，并在理财产品不能成立的2个工作日内披露。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2.理财产品定期报告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管理人将在每个季度结束之日起15个工作日内、每个上半年结束之日起60个工作日内、每个年度结束之日起90个工作日内，向投资者披露季度、半年和年度报告等定期报告。理财产品成立不足90个工作日或者剩余存续期不超过90个工作日的，管理人可以不编制理财产品当期的季度、半年和年度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3.理财产品临时性信息披露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产品存续期间，对于提高收费标准、增加收费项目等事项，管理人将提前3个月以临时公告形式向投资者进行信息披露。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在产品存续期间，管理人可以提前</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val="en-US" w:eastAsia="zh-CN"/>
        </w:rPr>
        <w:t>通过约定的信息披露渠道</w:t>
      </w:r>
      <w:r>
        <w:rPr>
          <w:rFonts w:hint="eastAsia" w:ascii="楷体" w:hAnsi="楷体" w:eastAsia="楷体" w:cs="楷体"/>
          <w:b w:val="0"/>
          <w:bCs w:val="0"/>
          <w:color w:val="auto"/>
          <w:szCs w:val="21"/>
          <w:u w:val="none"/>
        </w:rPr>
        <w:t>进行信息披露，</w:t>
      </w:r>
      <w:r>
        <w:rPr>
          <w:rFonts w:hint="eastAsia" w:ascii="楷体" w:hAnsi="楷体" w:eastAsia="楷体" w:cs="楷体"/>
          <w:b w:val="0"/>
          <w:bCs w:val="0"/>
          <w:color w:val="auto"/>
          <w:szCs w:val="21"/>
          <w:u w:val="none"/>
          <w:lang w:val="en-US" w:eastAsia="zh-CN"/>
        </w:rPr>
        <w:t>根据市场情况</w:t>
      </w:r>
      <w:r>
        <w:rPr>
          <w:rFonts w:hint="eastAsia" w:ascii="楷体" w:hAnsi="楷体" w:eastAsia="楷体" w:cs="楷体"/>
          <w:b w:val="0"/>
          <w:bCs w:val="0"/>
          <w:color w:val="auto"/>
          <w:szCs w:val="21"/>
          <w:u w:val="none"/>
        </w:rPr>
        <w:t>对理财产品投资范围、投资</w:t>
      </w:r>
      <w:r>
        <w:rPr>
          <w:rFonts w:hint="eastAsia" w:ascii="楷体" w:hAnsi="楷体" w:eastAsia="楷体" w:cs="楷体"/>
          <w:b w:val="0"/>
          <w:bCs w:val="0"/>
          <w:color w:val="auto"/>
          <w:szCs w:val="21"/>
          <w:u w:val="none"/>
          <w:lang w:val="en-US" w:eastAsia="zh-CN"/>
        </w:rPr>
        <w:t>资产种类</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val="en-US" w:eastAsia="zh-CN"/>
        </w:rPr>
        <w:t>投资</w:t>
      </w:r>
      <w:r>
        <w:rPr>
          <w:rFonts w:hint="eastAsia" w:ascii="楷体" w:hAnsi="楷体" w:eastAsia="楷体" w:cs="楷体"/>
          <w:b w:val="0"/>
          <w:bCs w:val="0"/>
          <w:color w:val="auto"/>
          <w:szCs w:val="21"/>
          <w:u w:val="none"/>
        </w:rPr>
        <w:t>比例、</w:t>
      </w:r>
      <w:r>
        <w:rPr>
          <w:rFonts w:hint="eastAsia" w:ascii="楷体" w:hAnsi="楷体" w:eastAsia="楷体" w:cs="楷体"/>
          <w:b w:val="0"/>
          <w:bCs w:val="0"/>
          <w:color w:val="auto"/>
          <w:szCs w:val="21"/>
          <w:u w:val="none"/>
          <w:lang w:val="en-US" w:eastAsia="zh-CN"/>
        </w:rPr>
        <w:t>募集期</w:t>
      </w:r>
      <w:r>
        <w:rPr>
          <w:rFonts w:hint="eastAsia" w:ascii="楷体" w:hAnsi="楷体" w:eastAsia="楷体" w:cs="楷体"/>
          <w:b w:val="0"/>
          <w:bCs w:val="0"/>
          <w:color w:val="auto"/>
          <w:szCs w:val="21"/>
          <w:u w:val="none"/>
        </w:rPr>
        <w:t>延长</w:t>
      </w:r>
      <w:r>
        <w:rPr>
          <w:rFonts w:hint="eastAsia" w:ascii="楷体" w:hAnsi="楷体" w:eastAsia="楷体" w:cs="楷体"/>
          <w:b w:val="0"/>
          <w:bCs w:val="0"/>
          <w:color w:val="auto"/>
          <w:szCs w:val="21"/>
          <w:u w:val="none"/>
          <w:lang w:val="en-US" w:eastAsia="zh-CN"/>
        </w:rPr>
        <w:t>或提前结束募集</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已约定的收费项目、条件</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标准或计提方式、</w:t>
      </w:r>
      <w:r>
        <w:rPr>
          <w:rFonts w:hint="eastAsia" w:ascii="楷体" w:hAnsi="楷体" w:eastAsia="楷体" w:cs="楷体"/>
          <w:b w:val="0"/>
          <w:bCs w:val="0"/>
          <w:color w:val="auto"/>
          <w:szCs w:val="21"/>
          <w:u w:val="none"/>
          <w:lang w:val="en-US" w:eastAsia="zh-CN"/>
        </w:rPr>
        <w:t>风险等级、交易结构、</w:t>
      </w:r>
      <w:r>
        <w:rPr>
          <w:rFonts w:hint="eastAsia" w:ascii="楷体" w:hAnsi="楷体" w:eastAsia="楷体" w:cs="楷体"/>
          <w:b w:val="0"/>
          <w:bCs w:val="0"/>
          <w:color w:val="auto"/>
          <w:szCs w:val="21"/>
          <w:u w:val="none"/>
        </w:rPr>
        <w:t>规模上限</w:t>
      </w:r>
      <w:r>
        <w:rPr>
          <w:rFonts w:hint="eastAsia" w:ascii="楷体" w:hAnsi="楷体" w:eastAsia="楷体" w:cs="楷体"/>
          <w:b w:val="0"/>
          <w:bCs w:val="0"/>
          <w:color w:val="auto"/>
          <w:szCs w:val="21"/>
          <w:u w:val="none"/>
          <w:lang w:val="en-US" w:eastAsia="zh-CN"/>
        </w:rPr>
        <w:t>或下限、申购赎回约定、投资起点金额、追加投资金额</w:t>
      </w:r>
      <w:r>
        <w:rPr>
          <w:rFonts w:hint="eastAsia" w:ascii="楷体" w:hAnsi="楷体" w:eastAsia="楷体" w:cs="楷体"/>
          <w:b w:val="0"/>
          <w:bCs w:val="0"/>
          <w:color w:val="auto"/>
          <w:szCs w:val="21"/>
          <w:u w:val="none"/>
        </w:rPr>
        <w:t>或其他经管理人判断可能对理财产品份额持有人权益产生影响的条款进行补充、说明和修改。</w:t>
      </w:r>
    </w:p>
    <w:p>
      <w:pPr>
        <w:spacing w:line="360" w:lineRule="auto"/>
        <w:ind w:firstLine="420" w:firstLineChars="200"/>
        <w:contextualSpacing/>
        <w:rPr>
          <w:rFonts w:hint="eastAsia" w:ascii="楷体" w:hAnsi="楷体" w:eastAsia="楷体" w:cs="楷体"/>
          <w:u w:val="none"/>
        </w:rPr>
      </w:pPr>
      <w:r>
        <w:rPr>
          <w:rFonts w:hint="eastAsia" w:ascii="楷体" w:hAnsi="楷体" w:eastAsia="楷体" w:cs="楷体"/>
          <w:b w:val="0"/>
          <w:bCs w:val="0"/>
          <w:szCs w:val="21"/>
          <w:u w:val="none"/>
        </w:rPr>
        <w:t>其中，涉及投资范围、投资品种、投资比例调整导致其超出销售文件约定比例的，除超出比例投资比本理财产品风险更低的资产外，需取得投资者书面同意。</w:t>
      </w:r>
      <w:r>
        <w:rPr>
          <w:rFonts w:hint="eastAsia" w:ascii="楷体" w:hAnsi="楷体" w:eastAsia="楷体" w:cs="楷体"/>
          <w:b/>
          <w:bCs/>
          <w:szCs w:val="21"/>
          <w:u w:val="none"/>
        </w:rPr>
        <w:t>对于投资者利益产生实质影响的事项（如对投资范围、投资品种、投资比例进行调整，但因国家法律法规、监管规定发生变化导致的除外），投资者如不同意相关调整的，可在管理人披露的相关调整生效前赎回本理财产品（此种情况下管理人将可能在赎回开放日外单独开放特殊赎回期间，具体以届时管理人的公告为准），</w:t>
      </w:r>
      <w:r>
        <w:rPr>
          <w:rFonts w:hint="eastAsia" w:ascii="楷体" w:hAnsi="楷体" w:eastAsia="楷体" w:cs="楷体"/>
          <w:b w:val="0"/>
          <w:bCs w:val="0"/>
          <w:szCs w:val="21"/>
          <w:u w:val="none"/>
        </w:rPr>
        <w:t>投资者本金和收益（如有）将在赎回确认日后10个工作日内通过销售机构划转至投资者账户。</w:t>
      </w:r>
      <w:r>
        <w:rPr>
          <w:rFonts w:hint="eastAsia" w:ascii="楷体" w:hAnsi="楷体" w:eastAsia="楷体" w:cs="楷体"/>
          <w:b/>
          <w:bCs/>
          <w:szCs w:val="21"/>
          <w:u w:val="none"/>
        </w:rPr>
        <w:t>逾期未赎回的视为投资者书面同意相关调整并继续持有本理财产品。</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在产品存续期间，若金融市场发生重大变化导致理财产品投资比例暂时超出浮动区间且可能对理财产品收益产生重大影响或理财产品持有的单笔资产发生信用风险时间且对理财产品投资收益产生较大影响时，在发生涉及理财产品认（申）购、赎回事项调整或潜在影响投资者赎回等事项时，管理人应于3个工作日内向投资者进行信息披露。</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在管理人运用</w:t>
      </w:r>
      <w:r>
        <w:rPr>
          <w:rFonts w:hint="eastAsia" w:ascii="楷体" w:hAnsi="楷体" w:eastAsia="楷体" w:cs="楷体"/>
          <w:b w:val="0"/>
          <w:bCs w:val="0"/>
          <w:color w:val="auto"/>
          <w:szCs w:val="21"/>
          <w:u w:val="none"/>
        </w:rPr>
        <w:t>收取短期赎回费（如有）、摆动定价机制、暂</w:t>
      </w:r>
      <w:r>
        <w:rPr>
          <w:rFonts w:hint="eastAsia" w:ascii="楷体" w:hAnsi="楷体" w:eastAsia="楷体" w:cs="楷体"/>
          <w:b w:val="0"/>
          <w:bCs w:val="0"/>
          <w:szCs w:val="21"/>
          <w:u w:val="none"/>
        </w:rPr>
        <w:t>停认/申购、延期办理</w:t>
      </w:r>
      <w:r>
        <w:rPr>
          <w:rFonts w:hint="eastAsia" w:ascii="楷体" w:hAnsi="楷体" w:eastAsia="楷体" w:cs="楷体"/>
          <w:b w:val="0"/>
          <w:bCs w:val="0"/>
          <w:szCs w:val="21"/>
          <w:u w:val="none"/>
          <w:lang w:val="en-US" w:eastAsia="zh-CN"/>
        </w:rPr>
        <w:t>巨额</w:t>
      </w:r>
      <w:r>
        <w:rPr>
          <w:rFonts w:hint="eastAsia" w:ascii="楷体" w:hAnsi="楷体" w:eastAsia="楷体" w:cs="楷体"/>
          <w:b w:val="0"/>
          <w:bCs w:val="0"/>
          <w:szCs w:val="21"/>
          <w:u w:val="none"/>
        </w:rPr>
        <w:t>赎回申请、暂停接受赎回申请、延缓支付赎回款项、暂停估值等措施后，应当通过本理财</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约定的方式在3个交易日内告知该理财产品的投资者，并说明运用相关措施的原因、拟采取的应对安排等。</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（5）理财产品清算期超过5个工作日的，产品管理人应当在理财产品终止前，根据与投资者的约定，在指定渠道向理财产品投资者进行披露。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4.理财产品重大事项公告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理财产品存续期间，如果发生管理人认为可能影响产品运作的重大不利事项时，包括但不限于未按照本《产品说明书》约定分配收益；</w:t>
      </w:r>
      <w:r>
        <w:rPr>
          <w:rFonts w:hint="eastAsia" w:ascii="楷体" w:hAnsi="楷体" w:eastAsia="楷体" w:cs="楷体"/>
          <w:b w:val="0"/>
          <w:bCs w:val="0"/>
          <w:szCs w:val="21"/>
          <w:u w:val="none"/>
          <w:lang w:val="en-US" w:eastAsia="zh-CN"/>
        </w:rPr>
        <w:t>理财产品所投资资产发生重大损失；</w:t>
      </w:r>
      <w:r>
        <w:rPr>
          <w:rFonts w:hint="eastAsia" w:ascii="楷体" w:hAnsi="楷体" w:eastAsia="楷体" w:cs="楷体"/>
          <w:b w:val="0"/>
          <w:bCs w:val="0"/>
          <w:szCs w:val="21"/>
          <w:u w:val="none"/>
        </w:rPr>
        <w:t>理财产品管理人、托管人</w:t>
      </w:r>
      <w:r>
        <w:rPr>
          <w:rFonts w:hint="eastAsia" w:ascii="楷体" w:hAnsi="楷体" w:eastAsia="楷体" w:cs="楷体"/>
          <w:b w:val="0"/>
          <w:bCs w:val="0"/>
          <w:szCs w:val="21"/>
          <w:u w:val="none"/>
          <w:lang w:val="en-US" w:eastAsia="zh-CN"/>
        </w:rPr>
        <w:t>等出现</w:t>
      </w:r>
      <w:r>
        <w:rPr>
          <w:rFonts w:hint="eastAsia" w:ascii="楷体" w:hAnsi="楷体" w:eastAsia="楷体" w:cs="楷体"/>
          <w:b w:val="0"/>
          <w:bCs w:val="0"/>
          <w:szCs w:val="21"/>
          <w:u w:val="none"/>
        </w:rPr>
        <w:t>变更</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市场发生重大变化、投资的资产质量发生重大变化或者其它可能对投资者权益产生重大影响的突发事件等经管理人判断对理财投资价值有实质性影响的重大事件，管理人将在2个工作日内向投资者披露相关信息。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5.理财产品终止公告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管理人将在理财产品终止后的5个工作日内披露。终止公告的内容包括理财产品存续期限、终止日期、收费情况和收益分配情况等信息。</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所有产品披露以产品管理人完成信息发布时间为准，如遇渠道方系统故障等情况不影响披露时间效力。</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pStyle w:val="2"/>
        <w:spacing w:before="120" w:after="120" w:line="240" w:lineRule="auto"/>
        <w:rPr>
          <w:rFonts w:hint="eastAsia" w:ascii="楷体" w:hAnsi="楷体" w:eastAsia="楷体" w:cs="楷体"/>
          <w:sz w:val="28"/>
          <w:szCs w:val="28"/>
          <w:u w:val="none"/>
        </w:rPr>
      </w:pPr>
      <w:r>
        <w:rPr>
          <w:rFonts w:hint="eastAsia" w:ascii="楷体" w:hAnsi="楷体" w:eastAsia="楷体"/>
          <w:sz w:val="28"/>
          <w:szCs w:val="28"/>
          <w:u w:val="none"/>
        </w:rPr>
        <w:t>十</w:t>
      </w:r>
      <w:r>
        <w:rPr>
          <w:rFonts w:hint="eastAsia" w:ascii="楷体" w:hAnsi="楷体" w:eastAsia="楷体"/>
          <w:sz w:val="28"/>
          <w:szCs w:val="28"/>
          <w:u w:val="none"/>
          <w:lang w:val="en-US" w:eastAsia="zh-CN"/>
        </w:rPr>
        <w:t>一</w:t>
      </w:r>
      <w:r>
        <w:rPr>
          <w:rFonts w:ascii="楷体" w:hAnsi="楷体" w:eastAsia="楷体"/>
          <w:sz w:val="28"/>
          <w:szCs w:val="28"/>
          <w:u w:val="none"/>
        </w:rPr>
        <w:t>、</w:t>
      </w:r>
      <w:r>
        <w:rPr>
          <w:rFonts w:hint="eastAsia" w:ascii="楷体" w:hAnsi="楷体" w:eastAsia="楷体" w:cs="楷体"/>
          <w:sz w:val="28"/>
          <w:szCs w:val="28"/>
          <w:u w:val="none"/>
        </w:rPr>
        <w:t>保密原则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2.产品管理人应保密的投资人的保密信息包括不限于投资者身份证件、联系电话、产品持有份额等个人敏感信息。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3.投资者、理财产品管理人有义务对上述保密信息采取保密措施，未经对方同意不得向任何第三方披露保密信息，否则应承担相应违约责任，但以下情形除外：</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（1）向与本次投资有关而需要获知以上信息并受保密协议约束的律师、会计师、顾问和咨询人员披露的；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（2）根据适用的法律法规和规章制度要求，向有关政府部门、监管机构或者管理机构（包括证券交易所）披露的；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（3）本《产品说明书》另有约定的。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4.前述保密义务不因本理财产品销售文件或相关协议的无效、被撤销、终止、变更、中止、解除而受影响。</w:t>
      </w:r>
    </w:p>
    <w:p>
      <w:pPr>
        <w:pStyle w:val="2"/>
        <w:spacing w:before="120" w:after="120" w:line="240" w:lineRule="auto"/>
        <w:rPr>
          <w:rFonts w:hint="eastAsia" w:ascii="楷体" w:hAnsi="楷体" w:eastAsia="楷体" w:cs="楷体"/>
          <w:sz w:val="28"/>
          <w:szCs w:val="28"/>
        </w:rPr>
      </w:pPr>
      <w:bookmarkStart w:id="23" w:name="_Toc98680992"/>
      <w:r>
        <w:rPr>
          <w:rFonts w:hint="eastAsia" w:ascii="楷体" w:hAnsi="楷体" w:eastAsia="楷体"/>
          <w:sz w:val="28"/>
          <w:szCs w:val="28"/>
        </w:rPr>
        <w:t>十</w:t>
      </w:r>
      <w:r>
        <w:rPr>
          <w:rFonts w:hint="eastAsia" w:ascii="楷体" w:hAnsi="楷体" w:eastAsia="楷体"/>
          <w:sz w:val="28"/>
          <w:szCs w:val="28"/>
          <w:lang w:val="en-US" w:eastAsia="zh-CN"/>
        </w:rPr>
        <w:t>二</w:t>
      </w:r>
      <w:r>
        <w:rPr>
          <w:rFonts w:ascii="楷体" w:hAnsi="楷体" w:eastAsia="楷体"/>
          <w:sz w:val="28"/>
          <w:szCs w:val="28"/>
        </w:rPr>
        <w:t>、</w:t>
      </w:r>
      <w:r>
        <w:rPr>
          <w:rFonts w:hint="eastAsia" w:ascii="楷体" w:hAnsi="楷体" w:eastAsia="楷体" w:cs="楷体"/>
          <w:sz w:val="28"/>
          <w:szCs w:val="28"/>
        </w:rPr>
        <w:t>相关事项说明</w:t>
      </w:r>
      <w:bookmarkEnd w:id="23"/>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1.本理财产品中示例均采用假设数据，并不代表客户实际可获得的收益。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2.业务受理、信息公布的相关时间以上银理财业务系统所记北京时间为准。</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rPr>
        <w:t>3.本理财产品</w:t>
      </w:r>
      <w:r>
        <w:rPr>
          <w:rFonts w:hint="eastAsia" w:ascii="楷体" w:hAnsi="楷体" w:eastAsia="楷体" w:cs="楷体"/>
          <w:b w:val="0"/>
          <w:bCs w:val="0"/>
          <w:szCs w:val="21"/>
          <w:u w:val="none"/>
          <w:lang w:val="en-US" w:eastAsia="zh-CN"/>
        </w:rPr>
        <w:t>合同</w:t>
      </w:r>
      <w:r>
        <w:rPr>
          <w:rFonts w:hint="eastAsia" w:ascii="楷体" w:hAnsi="楷体" w:eastAsia="楷体" w:cs="楷体"/>
          <w:b w:val="0"/>
          <w:bCs w:val="0"/>
          <w:szCs w:val="21"/>
          <w:u w:val="none"/>
        </w:rPr>
        <w:t>适用中华人民共和国大陆地区的法律，其项下及与之有关的一切争议，投资者与产品管理人、销售机构应首先友好协商解决。协商未达成一致的，任何一方可向产品管理人所在地法院提起诉讼</w:t>
      </w:r>
      <w:r>
        <w:rPr>
          <w:rFonts w:hint="eastAsia" w:ascii="楷体" w:hAnsi="楷体" w:eastAsia="楷体" w:cs="楷体"/>
          <w:b w:val="0"/>
          <w:bCs w:val="0"/>
          <w:szCs w:val="21"/>
          <w:u w:val="none"/>
          <w:lang w:eastAsia="zh-CN"/>
        </w:rPr>
        <w:t>。</w:t>
      </w:r>
    </w:p>
    <w:p>
      <w:pPr>
        <w:spacing w:line="360" w:lineRule="auto"/>
        <w:ind w:firstLine="420" w:firstLineChars="200"/>
        <w:contextualSpacing/>
        <w:rPr>
          <w:rFonts w:hint="eastAsia" w:ascii="楷体" w:hAnsi="楷体" w:eastAsia="楷体" w:cs="楷体"/>
          <w:b w:val="0"/>
          <w:bCs w:val="0"/>
          <w:u w:val="none"/>
        </w:rPr>
      </w:pPr>
      <w:r>
        <w:rPr>
          <w:rFonts w:hint="eastAsia" w:ascii="楷体" w:hAnsi="楷体" w:eastAsia="楷体" w:cs="楷体"/>
          <w:b w:val="0"/>
          <w:bCs w:val="0"/>
          <w:szCs w:val="21"/>
          <w:u w:val="none"/>
        </w:rPr>
        <w:t>4.</w:t>
      </w:r>
      <w:r>
        <w:rPr>
          <w:rFonts w:hint="eastAsia" w:ascii="楷体" w:hAnsi="楷体" w:eastAsia="楷体" w:cs="楷体"/>
          <w:b w:val="0"/>
          <w:bCs w:val="0"/>
          <w:u w:val="none"/>
        </w:rPr>
        <w:t>本理财产品</w:t>
      </w:r>
      <w:r>
        <w:rPr>
          <w:rFonts w:hint="eastAsia" w:ascii="楷体" w:hAnsi="楷体" w:eastAsia="楷体" w:cs="楷体"/>
          <w:b w:val="0"/>
          <w:bCs w:val="0"/>
          <w:u w:val="none"/>
          <w:lang w:val="en-US" w:eastAsia="zh-CN"/>
        </w:rPr>
        <w:t>合同</w:t>
      </w:r>
      <w:r>
        <w:rPr>
          <w:rFonts w:hint="eastAsia" w:ascii="楷体" w:hAnsi="楷体" w:eastAsia="楷体" w:cs="楷体"/>
          <w:b w:val="0"/>
          <w:bCs w:val="0"/>
          <w:u w:val="none"/>
        </w:rPr>
        <w:t>在法律许可的范围内由管理人负责解释。若客户对上述内容有任何疑问，请联系销售机构</w:t>
      </w:r>
      <w:r>
        <w:rPr>
          <w:rFonts w:hint="eastAsia" w:ascii="楷体" w:hAnsi="楷体" w:eastAsia="楷体" w:cs="楷体"/>
          <w:b w:val="0"/>
          <w:bCs w:val="0"/>
          <w:u w:val="none"/>
          <w:lang w:val="en-US" w:eastAsia="zh-CN"/>
        </w:rPr>
        <w:t>咨询</w:t>
      </w:r>
      <w:r>
        <w:rPr>
          <w:rFonts w:hint="eastAsia" w:ascii="楷体" w:hAnsi="楷体" w:eastAsia="楷体" w:cs="楷体"/>
          <w:b w:val="0"/>
          <w:bCs w:val="0"/>
          <w:u w:val="none"/>
        </w:rPr>
        <w:t>，也可致电销售机构全国统一客户服务热线。</w:t>
      </w:r>
    </w:p>
    <w:p>
      <w:pPr>
        <w:ind w:firstLine="0" w:firstLineChars="0"/>
        <w:rPr>
          <w:rFonts w:hint="eastAsia" w:ascii="楷体" w:hAnsi="楷体" w:eastAsia="楷体" w:cs="楷体"/>
          <w:b w:val="0"/>
          <w:bCs w:val="0"/>
          <w:u w:val="none"/>
        </w:rPr>
      </w:pPr>
    </w:p>
    <w:p>
      <w:pPr>
        <w:ind w:firstLine="0" w:firstLineChars="0"/>
        <w:rPr>
          <w:rFonts w:ascii="楷体" w:hAnsi="楷体" w:eastAsia="楷体"/>
          <w:b/>
          <w:bCs/>
          <w:u w:val="none"/>
        </w:rPr>
      </w:pPr>
    </w:p>
    <w:p>
      <w:pPr>
        <w:rPr>
          <w:rFonts w:hint="eastAsia" w:ascii="楷体" w:hAnsi="楷体" w:eastAsia="楷体"/>
          <w:b/>
          <w:bCs/>
          <w:u w:val="none"/>
        </w:rPr>
      </w:pPr>
      <w:bookmarkStart w:id="24" w:name="_GoBack"/>
      <w:bookmarkEnd w:id="24"/>
    </w:p>
    <w:sectPr>
      <w:headerReference r:id="rId4" w:type="first"/>
      <w:footerReference r:id="rId6" w:type="first"/>
      <w:headerReference r:id="rId3"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sdt>
      <w:sdtPr>
        <w:id w:val="865417159"/>
        <w:docPartObj>
          <w:docPartGallery w:val="autotext"/>
        </w:docPartObj>
      </w:sdtPr>
      <w:sdtContent/>
    </w:sdt>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jc w:val="right"/>
      <w:rPr>
        <w:rFonts w:hint="default" w:eastAsiaTheme="minorEastAsia"/>
        <w:b/>
        <w:bCs/>
        <w:lang w:val="en-US" w:eastAsia="zh-CN"/>
      </w:rPr>
    </w:pPr>
    <w:r>
      <w:rPr>
        <w:rFonts w:hint="eastAsia"/>
        <w:b/>
        <w:bCs/>
        <w:u w:val="none"/>
        <w:lang w:val="en-US" w:eastAsia="zh-CN"/>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right"/>
      <w:rPr>
        <w:rFonts w:hint="eastAsia" w:eastAsiaTheme="minorEastAsia"/>
        <w:lang w:eastAsia="zh-CN"/>
      </w:rPr>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74C74"/>
    <w:multiLevelType w:val="singleLevel"/>
    <w:tmpl w:val="99674C74"/>
    <w:lvl w:ilvl="0" w:tentative="0">
      <w:start w:val="5"/>
      <w:numFmt w:val="chineseCounting"/>
      <w:suff w:val="nothing"/>
      <w:lvlText w:val="（%1）"/>
      <w:lvlJc w:val="left"/>
      <w:rPr>
        <w:rFonts w:hint="eastAsia"/>
      </w:rPr>
    </w:lvl>
  </w:abstractNum>
  <w:abstractNum w:abstractNumId="1">
    <w:nsid w:val="E9B7CDD8"/>
    <w:multiLevelType w:val="singleLevel"/>
    <w:tmpl w:val="E9B7CDD8"/>
    <w:lvl w:ilvl="0" w:tentative="0">
      <w:start w:val="1"/>
      <w:numFmt w:val="decimal"/>
      <w:suff w:val="nothing"/>
      <w:lvlText w:val="%1、"/>
      <w:lvlJc w:val="left"/>
    </w:lvl>
  </w:abstractNum>
  <w:abstractNum w:abstractNumId="2">
    <w:nsid w:val="045329BA"/>
    <w:multiLevelType w:val="singleLevel"/>
    <w:tmpl w:val="045329BA"/>
    <w:lvl w:ilvl="0" w:tentative="0">
      <w:start w:val="1"/>
      <w:numFmt w:val="decimal"/>
      <w:suff w:val="nothing"/>
      <w:lvlText w:val="%1、"/>
      <w:lvlJc w:val="left"/>
    </w:lvl>
  </w:abstractNum>
  <w:abstractNum w:abstractNumId="3">
    <w:nsid w:val="05DF039F"/>
    <w:multiLevelType w:val="singleLevel"/>
    <w:tmpl w:val="05DF039F"/>
    <w:lvl w:ilvl="0" w:tentative="0">
      <w:start w:val="2"/>
      <w:numFmt w:val="decimal"/>
      <w:suff w:val="nothing"/>
      <w:lvlText w:val="（%1）"/>
      <w:lvlJc w:val="left"/>
    </w:lvl>
  </w:abstractNum>
  <w:abstractNum w:abstractNumId="4">
    <w:nsid w:val="2E413A41"/>
    <w:multiLevelType w:val="multilevel"/>
    <w:tmpl w:val="2E413A41"/>
    <w:lvl w:ilvl="0" w:tentative="0">
      <w:start w:val="1"/>
      <w:numFmt w:val="decimal"/>
      <w:pStyle w:val="36"/>
      <w:lvlText w:val="%1）"/>
      <w:lvlJc w:val="left"/>
      <w:pPr>
        <w:ind w:left="820" w:hanging="420"/>
      </w:pPr>
      <w:rPr>
        <w:rFonts w:hint="eastAsia"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2"/>
        <w:szCs w:val="22"/>
        <w:u w:val="none" w:color="000000"/>
        <w:shd w:val="clear" w:color="auto" w:fill="auto"/>
        <w:vertAlign w:val="baseline"/>
      </w:rPr>
    </w:lvl>
  </w:abstractNum>
  <w:abstractNum w:abstractNumId="5">
    <w:nsid w:val="307D6941"/>
    <w:multiLevelType w:val="multilevel"/>
    <w:tmpl w:val="307D6941"/>
    <w:lvl w:ilvl="0" w:tentative="0">
      <w:start w:val="1"/>
      <w:numFmt w:val="upperLetter"/>
      <w:pStyle w:val="42"/>
      <w:lvlText w:val="%1、"/>
      <w:lvlJc w:val="left"/>
      <w:pPr>
        <w:ind w:left="1020" w:hanging="420"/>
      </w:pPr>
      <w:rPr>
        <w:rFonts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6">
    <w:nsid w:val="5AD912BF"/>
    <w:multiLevelType w:val="multilevel"/>
    <w:tmpl w:val="5AD912BF"/>
    <w:lvl w:ilvl="0" w:tentative="0">
      <w:start w:val="1"/>
      <w:numFmt w:val="chineseCountingThousand"/>
      <w:pStyle w:val="33"/>
      <w:lvlText w:val="第%1条."/>
      <w:lvlJc w:val="left"/>
      <w:pPr>
        <w:ind w:left="2122" w:hanging="420"/>
      </w:pPr>
    </w:lvl>
    <w:lvl w:ilvl="1" w:tentative="0">
      <w:start w:val="1"/>
      <w:numFmt w:val="decimal"/>
      <w:lvlText w:val="%2."/>
      <w:lvlJc w:val="left"/>
      <w:pPr>
        <w:ind w:left="780" w:hanging="360"/>
      </w:pPr>
      <w:rPr>
        <w:rFonts w:hint="default"/>
      </w:rPr>
    </w:lvl>
    <w:lvl w:ilvl="2" w:tentative="0">
      <w:start w:val="1"/>
      <w:numFmt w:val="decimal"/>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BC6082B"/>
    <w:multiLevelType w:val="multilevel"/>
    <w:tmpl w:val="5BC6082B"/>
    <w:lvl w:ilvl="0" w:tentative="0">
      <w:start w:val="1"/>
      <w:numFmt w:val="chineseCountingThousand"/>
      <w:pStyle w:val="37"/>
      <w:lvlText w:val="%1、"/>
      <w:lvlJc w:val="left"/>
      <w:pPr>
        <w:ind w:left="620" w:hanging="420"/>
      </w:pPr>
    </w:lvl>
    <w:lvl w:ilvl="1" w:tentative="0">
      <w:start w:val="1"/>
      <w:numFmt w:val="decimal"/>
      <w:lvlText w:val="%2、"/>
      <w:lvlJc w:val="left"/>
      <w:pPr>
        <w:ind w:left="980" w:hanging="36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8">
    <w:nsid w:val="699E0D31"/>
    <w:multiLevelType w:val="multilevel"/>
    <w:tmpl w:val="699E0D31"/>
    <w:lvl w:ilvl="0" w:tentative="0">
      <w:start w:val="1"/>
      <w:numFmt w:val="chineseCountingThousand"/>
      <w:pStyle w:val="30"/>
      <w:lvlText w:val="%1、"/>
      <w:lvlJc w:val="left"/>
      <w:pPr>
        <w:ind w:left="569"/>
      </w:pPr>
      <w:rPr>
        <w:b w:val="0"/>
        <w:i w:val="0"/>
        <w:strike w:val="0"/>
        <w:dstrike w:val="0"/>
        <w:color w:val="000000"/>
        <w:sz w:val="22"/>
        <w:szCs w:val="22"/>
        <w:u w:val="none" w:color="000000"/>
        <w:shd w:val="clear" w:color="auto" w:fill="auto"/>
        <w:vertAlign w:val="baseline"/>
      </w:r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abstractNum w:abstractNumId="9">
    <w:nsid w:val="6BB777A8"/>
    <w:multiLevelType w:val="singleLevel"/>
    <w:tmpl w:val="6BB777A8"/>
    <w:lvl w:ilvl="0" w:tentative="0">
      <w:start w:val="1"/>
      <w:numFmt w:val="decimal"/>
      <w:suff w:val="nothing"/>
      <w:lvlText w:val="%1、"/>
      <w:lvlJc w:val="left"/>
    </w:lvl>
  </w:abstractNum>
  <w:abstractNum w:abstractNumId="10">
    <w:nsid w:val="6D3D1D6E"/>
    <w:multiLevelType w:val="multilevel"/>
    <w:tmpl w:val="6D3D1D6E"/>
    <w:lvl w:ilvl="0" w:tentative="0">
      <w:start w:val="1"/>
      <w:numFmt w:val="decimal"/>
      <w:pStyle w:val="35"/>
      <w:suff w:val="nothing"/>
      <w:lvlText w:val="%1、"/>
      <w:lvlJc w:val="left"/>
      <w:pPr>
        <w:ind w:left="426" w:firstLine="0"/>
      </w:p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num w:numId="1">
    <w:abstractNumId w:val="8"/>
  </w:num>
  <w:num w:numId="2">
    <w:abstractNumId w:val="6"/>
  </w:num>
  <w:num w:numId="3">
    <w:abstractNumId w:val="10"/>
  </w:num>
  <w:num w:numId="4">
    <w:abstractNumId w:val="4"/>
  </w:num>
  <w:num w:numId="5">
    <w:abstractNumId w:val="7"/>
  </w:num>
  <w:num w:numId="6">
    <w:abstractNumId w:val="5"/>
  </w:num>
  <w:num w:numId="7">
    <w:abstractNumId w:val="2"/>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3OTQ1ZWJhYjM4MTI5Y2JjNjQxYTQ3MGIwMWEyODYifQ=="/>
  </w:docVars>
  <w:rsids>
    <w:rsidRoot w:val="002E1BE1"/>
    <w:rsid w:val="0000487F"/>
    <w:rsid w:val="00007B84"/>
    <w:rsid w:val="00014F90"/>
    <w:rsid w:val="00015C78"/>
    <w:rsid w:val="00015E2E"/>
    <w:rsid w:val="000168C1"/>
    <w:rsid w:val="00017B04"/>
    <w:rsid w:val="00020279"/>
    <w:rsid w:val="00020476"/>
    <w:rsid w:val="00020D7B"/>
    <w:rsid w:val="00024206"/>
    <w:rsid w:val="000306E3"/>
    <w:rsid w:val="0003109D"/>
    <w:rsid w:val="00032F93"/>
    <w:rsid w:val="00034102"/>
    <w:rsid w:val="000349BC"/>
    <w:rsid w:val="0004001F"/>
    <w:rsid w:val="00040200"/>
    <w:rsid w:val="000406B2"/>
    <w:rsid w:val="00043186"/>
    <w:rsid w:val="0004467D"/>
    <w:rsid w:val="00045247"/>
    <w:rsid w:val="00051032"/>
    <w:rsid w:val="00053B7B"/>
    <w:rsid w:val="00054122"/>
    <w:rsid w:val="000572AE"/>
    <w:rsid w:val="00060046"/>
    <w:rsid w:val="000602E0"/>
    <w:rsid w:val="00060BF4"/>
    <w:rsid w:val="00061929"/>
    <w:rsid w:val="00061DA0"/>
    <w:rsid w:val="00065824"/>
    <w:rsid w:val="00065CAD"/>
    <w:rsid w:val="00066C94"/>
    <w:rsid w:val="00067A45"/>
    <w:rsid w:val="00072114"/>
    <w:rsid w:val="00072478"/>
    <w:rsid w:val="0007361A"/>
    <w:rsid w:val="00077BF0"/>
    <w:rsid w:val="00081099"/>
    <w:rsid w:val="00082D46"/>
    <w:rsid w:val="00093E87"/>
    <w:rsid w:val="00096E70"/>
    <w:rsid w:val="0009726D"/>
    <w:rsid w:val="00097C56"/>
    <w:rsid w:val="00097E54"/>
    <w:rsid w:val="000A2C16"/>
    <w:rsid w:val="000A4639"/>
    <w:rsid w:val="000B2338"/>
    <w:rsid w:val="000B69CC"/>
    <w:rsid w:val="000C0E79"/>
    <w:rsid w:val="000C29B3"/>
    <w:rsid w:val="000C34E8"/>
    <w:rsid w:val="000C394B"/>
    <w:rsid w:val="000C3959"/>
    <w:rsid w:val="000C3DA7"/>
    <w:rsid w:val="000C630D"/>
    <w:rsid w:val="000C7D0A"/>
    <w:rsid w:val="000D0C02"/>
    <w:rsid w:val="000D231B"/>
    <w:rsid w:val="000D29D7"/>
    <w:rsid w:val="000D2B04"/>
    <w:rsid w:val="000D4BAA"/>
    <w:rsid w:val="000D7072"/>
    <w:rsid w:val="000E010A"/>
    <w:rsid w:val="000E1706"/>
    <w:rsid w:val="000E3AC0"/>
    <w:rsid w:val="000E4F72"/>
    <w:rsid w:val="000E5D05"/>
    <w:rsid w:val="000F062D"/>
    <w:rsid w:val="000F4B97"/>
    <w:rsid w:val="000F5C0E"/>
    <w:rsid w:val="00102175"/>
    <w:rsid w:val="001026E0"/>
    <w:rsid w:val="001032DC"/>
    <w:rsid w:val="00103483"/>
    <w:rsid w:val="00105F58"/>
    <w:rsid w:val="001061EE"/>
    <w:rsid w:val="001102CF"/>
    <w:rsid w:val="0011154F"/>
    <w:rsid w:val="00112603"/>
    <w:rsid w:val="00112890"/>
    <w:rsid w:val="00112CE3"/>
    <w:rsid w:val="00113E6D"/>
    <w:rsid w:val="00114356"/>
    <w:rsid w:val="00114598"/>
    <w:rsid w:val="001164B3"/>
    <w:rsid w:val="00116968"/>
    <w:rsid w:val="00120F4F"/>
    <w:rsid w:val="001231E9"/>
    <w:rsid w:val="00126DBA"/>
    <w:rsid w:val="00141776"/>
    <w:rsid w:val="001419ED"/>
    <w:rsid w:val="00144C99"/>
    <w:rsid w:val="00146CFD"/>
    <w:rsid w:val="001478CF"/>
    <w:rsid w:val="0015087D"/>
    <w:rsid w:val="001548F8"/>
    <w:rsid w:val="0015498D"/>
    <w:rsid w:val="00154D16"/>
    <w:rsid w:val="001550EC"/>
    <w:rsid w:val="00156514"/>
    <w:rsid w:val="00156631"/>
    <w:rsid w:val="001600EE"/>
    <w:rsid w:val="00160646"/>
    <w:rsid w:val="00161A91"/>
    <w:rsid w:val="001669DC"/>
    <w:rsid w:val="001702F2"/>
    <w:rsid w:val="00170523"/>
    <w:rsid w:val="001722FE"/>
    <w:rsid w:val="00172B2E"/>
    <w:rsid w:val="00173A6B"/>
    <w:rsid w:val="001752A7"/>
    <w:rsid w:val="001770ED"/>
    <w:rsid w:val="00177A5F"/>
    <w:rsid w:val="0018155F"/>
    <w:rsid w:val="001854F4"/>
    <w:rsid w:val="001858EA"/>
    <w:rsid w:val="0018726E"/>
    <w:rsid w:val="00190B6E"/>
    <w:rsid w:val="00193304"/>
    <w:rsid w:val="001A1132"/>
    <w:rsid w:val="001A406D"/>
    <w:rsid w:val="001A4590"/>
    <w:rsid w:val="001A78B9"/>
    <w:rsid w:val="001A7ED1"/>
    <w:rsid w:val="001B0E21"/>
    <w:rsid w:val="001B0E55"/>
    <w:rsid w:val="001B4684"/>
    <w:rsid w:val="001B48F0"/>
    <w:rsid w:val="001B4FBD"/>
    <w:rsid w:val="001B5D71"/>
    <w:rsid w:val="001B7BF5"/>
    <w:rsid w:val="001C1E99"/>
    <w:rsid w:val="001C2796"/>
    <w:rsid w:val="001C3C2B"/>
    <w:rsid w:val="001C475B"/>
    <w:rsid w:val="001C4A1E"/>
    <w:rsid w:val="001C4C0F"/>
    <w:rsid w:val="001C62E7"/>
    <w:rsid w:val="001C7C0A"/>
    <w:rsid w:val="001D0468"/>
    <w:rsid w:val="001D0A1F"/>
    <w:rsid w:val="001D0DEC"/>
    <w:rsid w:val="001D1DAF"/>
    <w:rsid w:val="001D25C9"/>
    <w:rsid w:val="001D5752"/>
    <w:rsid w:val="001D5B4B"/>
    <w:rsid w:val="001D6181"/>
    <w:rsid w:val="001D63AA"/>
    <w:rsid w:val="001D6D20"/>
    <w:rsid w:val="001D7164"/>
    <w:rsid w:val="001E045E"/>
    <w:rsid w:val="001E203B"/>
    <w:rsid w:val="001E2420"/>
    <w:rsid w:val="001E39A0"/>
    <w:rsid w:val="001E46EF"/>
    <w:rsid w:val="001E6228"/>
    <w:rsid w:val="001E6E50"/>
    <w:rsid w:val="001E7040"/>
    <w:rsid w:val="001E7337"/>
    <w:rsid w:val="001F0834"/>
    <w:rsid w:val="001F7E4F"/>
    <w:rsid w:val="00204ACC"/>
    <w:rsid w:val="00204CBB"/>
    <w:rsid w:val="002123DC"/>
    <w:rsid w:val="002136D3"/>
    <w:rsid w:val="00213DD6"/>
    <w:rsid w:val="00214112"/>
    <w:rsid w:val="00215333"/>
    <w:rsid w:val="002202B1"/>
    <w:rsid w:val="002206CC"/>
    <w:rsid w:val="0022084C"/>
    <w:rsid w:val="002213E7"/>
    <w:rsid w:val="00221730"/>
    <w:rsid w:val="00221F21"/>
    <w:rsid w:val="00224824"/>
    <w:rsid w:val="00240A70"/>
    <w:rsid w:val="0024379E"/>
    <w:rsid w:val="0024460C"/>
    <w:rsid w:val="00245CE7"/>
    <w:rsid w:val="00246453"/>
    <w:rsid w:val="00250711"/>
    <w:rsid w:val="002507E1"/>
    <w:rsid w:val="00252749"/>
    <w:rsid w:val="0025278F"/>
    <w:rsid w:val="00253F9A"/>
    <w:rsid w:val="002575EF"/>
    <w:rsid w:val="00260A95"/>
    <w:rsid w:val="002621A2"/>
    <w:rsid w:val="00262AC6"/>
    <w:rsid w:val="00263F15"/>
    <w:rsid w:val="002646FC"/>
    <w:rsid w:val="00264C7E"/>
    <w:rsid w:val="00265261"/>
    <w:rsid w:val="00265271"/>
    <w:rsid w:val="00267F24"/>
    <w:rsid w:val="0027045E"/>
    <w:rsid w:val="00270874"/>
    <w:rsid w:val="0027272C"/>
    <w:rsid w:val="002774A4"/>
    <w:rsid w:val="002778B4"/>
    <w:rsid w:val="00280FC3"/>
    <w:rsid w:val="0028124B"/>
    <w:rsid w:val="002859BD"/>
    <w:rsid w:val="0028687A"/>
    <w:rsid w:val="00286DA9"/>
    <w:rsid w:val="00287527"/>
    <w:rsid w:val="00290416"/>
    <w:rsid w:val="0029044D"/>
    <w:rsid w:val="002919AD"/>
    <w:rsid w:val="002927CB"/>
    <w:rsid w:val="00292CC0"/>
    <w:rsid w:val="00294361"/>
    <w:rsid w:val="002954C4"/>
    <w:rsid w:val="00296119"/>
    <w:rsid w:val="0029619D"/>
    <w:rsid w:val="00297E7C"/>
    <w:rsid w:val="002A3173"/>
    <w:rsid w:val="002A4E68"/>
    <w:rsid w:val="002A582C"/>
    <w:rsid w:val="002A5CB1"/>
    <w:rsid w:val="002A7BDD"/>
    <w:rsid w:val="002B100B"/>
    <w:rsid w:val="002B22AF"/>
    <w:rsid w:val="002B332C"/>
    <w:rsid w:val="002B3B49"/>
    <w:rsid w:val="002B7FEA"/>
    <w:rsid w:val="002C30B7"/>
    <w:rsid w:val="002C63A1"/>
    <w:rsid w:val="002C6BB9"/>
    <w:rsid w:val="002D034E"/>
    <w:rsid w:val="002D19AC"/>
    <w:rsid w:val="002D212F"/>
    <w:rsid w:val="002D2475"/>
    <w:rsid w:val="002D396E"/>
    <w:rsid w:val="002D3A9A"/>
    <w:rsid w:val="002D7C36"/>
    <w:rsid w:val="002E03F8"/>
    <w:rsid w:val="002E1BE1"/>
    <w:rsid w:val="002E3A85"/>
    <w:rsid w:val="002E452E"/>
    <w:rsid w:val="002E4701"/>
    <w:rsid w:val="002E493C"/>
    <w:rsid w:val="002E55EC"/>
    <w:rsid w:val="002E5804"/>
    <w:rsid w:val="002E5DA9"/>
    <w:rsid w:val="002E6754"/>
    <w:rsid w:val="002E6BC1"/>
    <w:rsid w:val="002F24F8"/>
    <w:rsid w:val="002F4421"/>
    <w:rsid w:val="002F5B6C"/>
    <w:rsid w:val="002F5E2A"/>
    <w:rsid w:val="002F6BC0"/>
    <w:rsid w:val="003009AB"/>
    <w:rsid w:val="0030237E"/>
    <w:rsid w:val="00303BDD"/>
    <w:rsid w:val="0030591B"/>
    <w:rsid w:val="00310E3A"/>
    <w:rsid w:val="003155B3"/>
    <w:rsid w:val="00316CB6"/>
    <w:rsid w:val="003244BB"/>
    <w:rsid w:val="00326B19"/>
    <w:rsid w:val="00327B11"/>
    <w:rsid w:val="003325D9"/>
    <w:rsid w:val="00334E05"/>
    <w:rsid w:val="00335139"/>
    <w:rsid w:val="003369D2"/>
    <w:rsid w:val="00340A1F"/>
    <w:rsid w:val="003413A5"/>
    <w:rsid w:val="0034271E"/>
    <w:rsid w:val="0034365C"/>
    <w:rsid w:val="003472AC"/>
    <w:rsid w:val="00351556"/>
    <w:rsid w:val="00352A7F"/>
    <w:rsid w:val="00354392"/>
    <w:rsid w:val="003554BF"/>
    <w:rsid w:val="00355673"/>
    <w:rsid w:val="00357DF5"/>
    <w:rsid w:val="0036193A"/>
    <w:rsid w:val="00363C5C"/>
    <w:rsid w:val="0036456D"/>
    <w:rsid w:val="003669D0"/>
    <w:rsid w:val="00373494"/>
    <w:rsid w:val="00373951"/>
    <w:rsid w:val="003741EF"/>
    <w:rsid w:val="0038015B"/>
    <w:rsid w:val="003829DF"/>
    <w:rsid w:val="0038488D"/>
    <w:rsid w:val="003870A9"/>
    <w:rsid w:val="003912C4"/>
    <w:rsid w:val="00396D81"/>
    <w:rsid w:val="00397FB5"/>
    <w:rsid w:val="003A05D6"/>
    <w:rsid w:val="003A0B58"/>
    <w:rsid w:val="003A19C8"/>
    <w:rsid w:val="003A1BA4"/>
    <w:rsid w:val="003A37F8"/>
    <w:rsid w:val="003A3AB8"/>
    <w:rsid w:val="003B1C25"/>
    <w:rsid w:val="003B33A0"/>
    <w:rsid w:val="003C3442"/>
    <w:rsid w:val="003C34A4"/>
    <w:rsid w:val="003C42A7"/>
    <w:rsid w:val="003C44B7"/>
    <w:rsid w:val="003C5A64"/>
    <w:rsid w:val="003D06E8"/>
    <w:rsid w:val="003D1592"/>
    <w:rsid w:val="003D1E0B"/>
    <w:rsid w:val="003D2A5A"/>
    <w:rsid w:val="003D34C9"/>
    <w:rsid w:val="003D3A6F"/>
    <w:rsid w:val="003D572B"/>
    <w:rsid w:val="003D6FA6"/>
    <w:rsid w:val="003D7B2A"/>
    <w:rsid w:val="003E0EF0"/>
    <w:rsid w:val="003E2676"/>
    <w:rsid w:val="003E6724"/>
    <w:rsid w:val="003F073D"/>
    <w:rsid w:val="003F1328"/>
    <w:rsid w:val="003F1BB2"/>
    <w:rsid w:val="003F37C9"/>
    <w:rsid w:val="003F4375"/>
    <w:rsid w:val="003F7A40"/>
    <w:rsid w:val="003F7CD5"/>
    <w:rsid w:val="0040629F"/>
    <w:rsid w:val="004078B2"/>
    <w:rsid w:val="00410AEC"/>
    <w:rsid w:val="00410B74"/>
    <w:rsid w:val="00411ED2"/>
    <w:rsid w:val="0041531B"/>
    <w:rsid w:val="00416063"/>
    <w:rsid w:val="00416A47"/>
    <w:rsid w:val="00420C46"/>
    <w:rsid w:val="00421064"/>
    <w:rsid w:val="00422A74"/>
    <w:rsid w:val="0042363E"/>
    <w:rsid w:val="004244A8"/>
    <w:rsid w:val="00425B80"/>
    <w:rsid w:val="00430A42"/>
    <w:rsid w:val="00430B40"/>
    <w:rsid w:val="00432E93"/>
    <w:rsid w:val="0043319C"/>
    <w:rsid w:val="00434687"/>
    <w:rsid w:val="004351E2"/>
    <w:rsid w:val="00436353"/>
    <w:rsid w:val="0043770A"/>
    <w:rsid w:val="00441E39"/>
    <w:rsid w:val="00442B3F"/>
    <w:rsid w:val="00445D8A"/>
    <w:rsid w:val="00454457"/>
    <w:rsid w:val="00454AAD"/>
    <w:rsid w:val="00456DB3"/>
    <w:rsid w:val="00456DDA"/>
    <w:rsid w:val="00457F82"/>
    <w:rsid w:val="0046138B"/>
    <w:rsid w:val="00461E55"/>
    <w:rsid w:val="00462697"/>
    <w:rsid w:val="00463741"/>
    <w:rsid w:val="004651C8"/>
    <w:rsid w:val="004664B4"/>
    <w:rsid w:val="0046663F"/>
    <w:rsid w:val="00470E73"/>
    <w:rsid w:val="00472EA5"/>
    <w:rsid w:val="0047326E"/>
    <w:rsid w:val="00475233"/>
    <w:rsid w:val="00476B14"/>
    <w:rsid w:val="00476DCC"/>
    <w:rsid w:val="00477555"/>
    <w:rsid w:val="00480198"/>
    <w:rsid w:val="00482A46"/>
    <w:rsid w:val="004857AD"/>
    <w:rsid w:val="00485C30"/>
    <w:rsid w:val="0049074E"/>
    <w:rsid w:val="004908B6"/>
    <w:rsid w:val="004943C8"/>
    <w:rsid w:val="00494FA8"/>
    <w:rsid w:val="00496BDD"/>
    <w:rsid w:val="00497E68"/>
    <w:rsid w:val="004A006F"/>
    <w:rsid w:val="004A08AA"/>
    <w:rsid w:val="004A30A6"/>
    <w:rsid w:val="004A4AD7"/>
    <w:rsid w:val="004A5A52"/>
    <w:rsid w:val="004B13FB"/>
    <w:rsid w:val="004B1F44"/>
    <w:rsid w:val="004B23FE"/>
    <w:rsid w:val="004B3700"/>
    <w:rsid w:val="004B4C66"/>
    <w:rsid w:val="004B5C6E"/>
    <w:rsid w:val="004B62C0"/>
    <w:rsid w:val="004B7458"/>
    <w:rsid w:val="004B758E"/>
    <w:rsid w:val="004C01A5"/>
    <w:rsid w:val="004C13A0"/>
    <w:rsid w:val="004C2760"/>
    <w:rsid w:val="004C2E96"/>
    <w:rsid w:val="004C4C67"/>
    <w:rsid w:val="004C7F2F"/>
    <w:rsid w:val="004D07EC"/>
    <w:rsid w:val="004D3BD9"/>
    <w:rsid w:val="004D3BDF"/>
    <w:rsid w:val="004D54BC"/>
    <w:rsid w:val="004E2338"/>
    <w:rsid w:val="004E3D92"/>
    <w:rsid w:val="004E60B5"/>
    <w:rsid w:val="004F0A66"/>
    <w:rsid w:val="004F0AAB"/>
    <w:rsid w:val="004F60A1"/>
    <w:rsid w:val="004F67DE"/>
    <w:rsid w:val="004F6E51"/>
    <w:rsid w:val="00501587"/>
    <w:rsid w:val="00502030"/>
    <w:rsid w:val="005021EA"/>
    <w:rsid w:val="005024DA"/>
    <w:rsid w:val="00504CE1"/>
    <w:rsid w:val="005054E2"/>
    <w:rsid w:val="005059C8"/>
    <w:rsid w:val="005064A7"/>
    <w:rsid w:val="0051136C"/>
    <w:rsid w:val="00511600"/>
    <w:rsid w:val="00512D8A"/>
    <w:rsid w:val="00512EEC"/>
    <w:rsid w:val="0051548D"/>
    <w:rsid w:val="00515708"/>
    <w:rsid w:val="005219F3"/>
    <w:rsid w:val="00522B6B"/>
    <w:rsid w:val="00524992"/>
    <w:rsid w:val="00525431"/>
    <w:rsid w:val="00526CD6"/>
    <w:rsid w:val="00530550"/>
    <w:rsid w:val="00532509"/>
    <w:rsid w:val="005346AD"/>
    <w:rsid w:val="0053621A"/>
    <w:rsid w:val="00536985"/>
    <w:rsid w:val="00542A7D"/>
    <w:rsid w:val="00543519"/>
    <w:rsid w:val="0054381D"/>
    <w:rsid w:val="005477E2"/>
    <w:rsid w:val="005507C1"/>
    <w:rsid w:val="005520A8"/>
    <w:rsid w:val="00552762"/>
    <w:rsid w:val="0055432E"/>
    <w:rsid w:val="00556C54"/>
    <w:rsid w:val="005608CA"/>
    <w:rsid w:val="00560AA8"/>
    <w:rsid w:val="00562E01"/>
    <w:rsid w:val="005639C8"/>
    <w:rsid w:val="00571E18"/>
    <w:rsid w:val="00571EC8"/>
    <w:rsid w:val="0057287D"/>
    <w:rsid w:val="00573039"/>
    <w:rsid w:val="0057362E"/>
    <w:rsid w:val="005742B4"/>
    <w:rsid w:val="0057571D"/>
    <w:rsid w:val="005757B4"/>
    <w:rsid w:val="00575A64"/>
    <w:rsid w:val="00576BDC"/>
    <w:rsid w:val="005829E7"/>
    <w:rsid w:val="00582DDB"/>
    <w:rsid w:val="005862D5"/>
    <w:rsid w:val="0058632B"/>
    <w:rsid w:val="00586513"/>
    <w:rsid w:val="00586EE3"/>
    <w:rsid w:val="005877C0"/>
    <w:rsid w:val="00587D73"/>
    <w:rsid w:val="005949ED"/>
    <w:rsid w:val="00594FAB"/>
    <w:rsid w:val="00595074"/>
    <w:rsid w:val="005964EE"/>
    <w:rsid w:val="005A2C70"/>
    <w:rsid w:val="005A7152"/>
    <w:rsid w:val="005A7ABD"/>
    <w:rsid w:val="005B00CF"/>
    <w:rsid w:val="005B0BF7"/>
    <w:rsid w:val="005B1E33"/>
    <w:rsid w:val="005B3BC6"/>
    <w:rsid w:val="005B4A1A"/>
    <w:rsid w:val="005B52BD"/>
    <w:rsid w:val="005B7218"/>
    <w:rsid w:val="005C0645"/>
    <w:rsid w:val="005C23A1"/>
    <w:rsid w:val="005C6DCD"/>
    <w:rsid w:val="005D1402"/>
    <w:rsid w:val="005D42F5"/>
    <w:rsid w:val="005D4CBC"/>
    <w:rsid w:val="005D6A05"/>
    <w:rsid w:val="005D6A81"/>
    <w:rsid w:val="005D739D"/>
    <w:rsid w:val="005E0E5B"/>
    <w:rsid w:val="005E1CD3"/>
    <w:rsid w:val="005E559B"/>
    <w:rsid w:val="005E67F4"/>
    <w:rsid w:val="005E6D28"/>
    <w:rsid w:val="005E7E7E"/>
    <w:rsid w:val="005F0D9F"/>
    <w:rsid w:val="005F1395"/>
    <w:rsid w:val="005F159F"/>
    <w:rsid w:val="005F17A9"/>
    <w:rsid w:val="005F2711"/>
    <w:rsid w:val="005F45C4"/>
    <w:rsid w:val="005F5580"/>
    <w:rsid w:val="005F68D8"/>
    <w:rsid w:val="005F7944"/>
    <w:rsid w:val="00602D1A"/>
    <w:rsid w:val="00604AEB"/>
    <w:rsid w:val="006063AF"/>
    <w:rsid w:val="00606452"/>
    <w:rsid w:val="006075AB"/>
    <w:rsid w:val="0060796A"/>
    <w:rsid w:val="00607B1E"/>
    <w:rsid w:val="00610AF8"/>
    <w:rsid w:val="00616765"/>
    <w:rsid w:val="00620D1C"/>
    <w:rsid w:val="0062112A"/>
    <w:rsid w:val="00621601"/>
    <w:rsid w:val="00622370"/>
    <w:rsid w:val="006228F6"/>
    <w:rsid w:val="006242AC"/>
    <w:rsid w:val="006258DA"/>
    <w:rsid w:val="00625F38"/>
    <w:rsid w:val="00631122"/>
    <w:rsid w:val="006314EA"/>
    <w:rsid w:val="0063172F"/>
    <w:rsid w:val="0063196B"/>
    <w:rsid w:val="00631C35"/>
    <w:rsid w:val="00631D33"/>
    <w:rsid w:val="00632928"/>
    <w:rsid w:val="006347C0"/>
    <w:rsid w:val="00634866"/>
    <w:rsid w:val="00636767"/>
    <w:rsid w:val="00636BEE"/>
    <w:rsid w:val="00636FEF"/>
    <w:rsid w:val="00642D07"/>
    <w:rsid w:val="00644F27"/>
    <w:rsid w:val="006501FB"/>
    <w:rsid w:val="00655A11"/>
    <w:rsid w:val="00663A0E"/>
    <w:rsid w:val="0066579A"/>
    <w:rsid w:val="006673CB"/>
    <w:rsid w:val="0066795B"/>
    <w:rsid w:val="00667978"/>
    <w:rsid w:val="00671217"/>
    <w:rsid w:val="0067263D"/>
    <w:rsid w:val="0067325B"/>
    <w:rsid w:val="00673623"/>
    <w:rsid w:val="00675F34"/>
    <w:rsid w:val="00680469"/>
    <w:rsid w:val="00680869"/>
    <w:rsid w:val="00681B1A"/>
    <w:rsid w:val="006827CC"/>
    <w:rsid w:val="00683CA4"/>
    <w:rsid w:val="006849D0"/>
    <w:rsid w:val="0068731E"/>
    <w:rsid w:val="00690E4F"/>
    <w:rsid w:val="00690F06"/>
    <w:rsid w:val="0069225C"/>
    <w:rsid w:val="00693AE5"/>
    <w:rsid w:val="00694CB2"/>
    <w:rsid w:val="00695FD9"/>
    <w:rsid w:val="00696550"/>
    <w:rsid w:val="006970A1"/>
    <w:rsid w:val="006A0642"/>
    <w:rsid w:val="006A32EF"/>
    <w:rsid w:val="006A3A62"/>
    <w:rsid w:val="006A402A"/>
    <w:rsid w:val="006A5862"/>
    <w:rsid w:val="006A5F38"/>
    <w:rsid w:val="006B093A"/>
    <w:rsid w:val="006B3422"/>
    <w:rsid w:val="006B4136"/>
    <w:rsid w:val="006B5407"/>
    <w:rsid w:val="006C22DB"/>
    <w:rsid w:val="006C2C0F"/>
    <w:rsid w:val="006C3A60"/>
    <w:rsid w:val="006C4434"/>
    <w:rsid w:val="006C5CCA"/>
    <w:rsid w:val="006C6083"/>
    <w:rsid w:val="006C69CD"/>
    <w:rsid w:val="006D0577"/>
    <w:rsid w:val="006D1EDD"/>
    <w:rsid w:val="006D50F7"/>
    <w:rsid w:val="006D6C69"/>
    <w:rsid w:val="006D72A1"/>
    <w:rsid w:val="006D7F4F"/>
    <w:rsid w:val="006D7FD2"/>
    <w:rsid w:val="006E04D3"/>
    <w:rsid w:val="006E05DC"/>
    <w:rsid w:val="006E31E0"/>
    <w:rsid w:val="006E5488"/>
    <w:rsid w:val="006E5F82"/>
    <w:rsid w:val="006E6421"/>
    <w:rsid w:val="006E7552"/>
    <w:rsid w:val="006F68C3"/>
    <w:rsid w:val="006F7A5A"/>
    <w:rsid w:val="007001D7"/>
    <w:rsid w:val="00700836"/>
    <w:rsid w:val="00700A32"/>
    <w:rsid w:val="00703DFE"/>
    <w:rsid w:val="007051DC"/>
    <w:rsid w:val="00705385"/>
    <w:rsid w:val="00711102"/>
    <w:rsid w:val="00711C29"/>
    <w:rsid w:val="0071237E"/>
    <w:rsid w:val="00713558"/>
    <w:rsid w:val="00722172"/>
    <w:rsid w:val="00723C2F"/>
    <w:rsid w:val="00724668"/>
    <w:rsid w:val="00724E8B"/>
    <w:rsid w:val="00726D69"/>
    <w:rsid w:val="00730FDB"/>
    <w:rsid w:val="00731689"/>
    <w:rsid w:val="00732B96"/>
    <w:rsid w:val="0073394D"/>
    <w:rsid w:val="00736537"/>
    <w:rsid w:val="00742DFC"/>
    <w:rsid w:val="007448F6"/>
    <w:rsid w:val="00745A7C"/>
    <w:rsid w:val="007470AF"/>
    <w:rsid w:val="0074768F"/>
    <w:rsid w:val="00747A4A"/>
    <w:rsid w:val="00747FC9"/>
    <w:rsid w:val="007529F8"/>
    <w:rsid w:val="0075485B"/>
    <w:rsid w:val="007548EB"/>
    <w:rsid w:val="00754A4F"/>
    <w:rsid w:val="007552B6"/>
    <w:rsid w:val="0076208E"/>
    <w:rsid w:val="007624B7"/>
    <w:rsid w:val="007629C5"/>
    <w:rsid w:val="00763470"/>
    <w:rsid w:val="007663AE"/>
    <w:rsid w:val="00766956"/>
    <w:rsid w:val="00767577"/>
    <w:rsid w:val="00771A7F"/>
    <w:rsid w:val="007729BF"/>
    <w:rsid w:val="00772AC7"/>
    <w:rsid w:val="00772E6D"/>
    <w:rsid w:val="007756B9"/>
    <w:rsid w:val="0077579F"/>
    <w:rsid w:val="007769E5"/>
    <w:rsid w:val="00777655"/>
    <w:rsid w:val="00783A3C"/>
    <w:rsid w:val="00785A2F"/>
    <w:rsid w:val="007867C5"/>
    <w:rsid w:val="00790047"/>
    <w:rsid w:val="00790C98"/>
    <w:rsid w:val="0079139F"/>
    <w:rsid w:val="00793A10"/>
    <w:rsid w:val="0079626D"/>
    <w:rsid w:val="007975F5"/>
    <w:rsid w:val="007A3A6C"/>
    <w:rsid w:val="007A422B"/>
    <w:rsid w:val="007B19AC"/>
    <w:rsid w:val="007B2FF8"/>
    <w:rsid w:val="007B54E6"/>
    <w:rsid w:val="007B6F85"/>
    <w:rsid w:val="007B7209"/>
    <w:rsid w:val="007B72F4"/>
    <w:rsid w:val="007C0565"/>
    <w:rsid w:val="007C4911"/>
    <w:rsid w:val="007C4BD3"/>
    <w:rsid w:val="007C4D5B"/>
    <w:rsid w:val="007D0016"/>
    <w:rsid w:val="007D0A9B"/>
    <w:rsid w:val="007D0E06"/>
    <w:rsid w:val="007D1B50"/>
    <w:rsid w:val="007D2C63"/>
    <w:rsid w:val="007D5687"/>
    <w:rsid w:val="007D7D4C"/>
    <w:rsid w:val="007E3BA0"/>
    <w:rsid w:val="007E3DC2"/>
    <w:rsid w:val="007E4D93"/>
    <w:rsid w:val="007E5B2D"/>
    <w:rsid w:val="007F24AE"/>
    <w:rsid w:val="007F3E60"/>
    <w:rsid w:val="007F5242"/>
    <w:rsid w:val="008049C4"/>
    <w:rsid w:val="00814418"/>
    <w:rsid w:val="00816519"/>
    <w:rsid w:val="00816598"/>
    <w:rsid w:val="00816DD3"/>
    <w:rsid w:val="00816E66"/>
    <w:rsid w:val="0081743C"/>
    <w:rsid w:val="0082106A"/>
    <w:rsid w:val="00821666"/>
    <w:rsid w:val="0082166E"/>
    <w:rsid w:val="00823B7E"/>
    <w:rsid w:val="00831AD1"/>
    <w:rsid w:val="00832A74"/>
    <w:rsid w:val="00835157"/>
    <w:rsid w:val="00837D94"/>
    <w:rsid w:val="008409DF"/>
    <w:rsid w:val="00841405"/>
    <w:rsid w:val="00841D7B"/>
    <w:rsid w:val="0084260C"/>
    <w:rsid w:val="008442D2"/>
    <w:rsid w:val="00845064"/>
    <w:rsid w:val="00845541"/>
    <w:rsid w:val="00847DAB"/>
    <w:rsid w:val="0085093A"/>
    <w:rsid w:val="00850CAD"/>
    <w:rsid w:val="008516DF"/>
    <w:rsid w:val="00851C98"/>
    <w:rsid w:val="00853E53"/>
    <w:rsid w:val="008564B4"/>
    <w:rsid w:val="00857C1E"/>
    <w:rsid w:val="00860C95"/>
    <w:rsid w:val="00863DDE"/>
    <w:rsid w:val="00866B64"/>
    <w:rsid w:val="0087005B"/>
    <w:rsid w:val="00870CFA"/>
    <w:rsid w:val="00872833"/>
    <w:rsid w:val="00876B8D"/>
    <w:rsid w:val="00881320"/>
    <w:rsid w:val="008817A8"/>
    <w:rsid w:val="00883520"/>
    <w:rsid w:val="0088369C"/>
    <w:rsid w:val="008837F4"/>
    <w:rsid w:val="00883852"/>
    <w:rsid w:val="00883DEB"/>
    <w:rsid w:val="008869F1"/>
    <w:rsid w:val="0089069F"/>
    <w:rsid w:val="00893D0A"/>
    <w:rsid w:val="00895CBC"/>
    <w:rsid w:val="00895EBE"/>
    <w:rsid w:val="00897B19"/>
    <w:rsid w:val="008A1F04"/>
    <w:rsid w:val="008A3BFD"/>
    <w:rsid w:val="008A5059"/>
    <w:rsid w:val="008B0F08"/>
    <w:rsid w:val="008B2E82"/>
    <w:rsid w:val="008B3167"/>
    <w:rsid w:val="008B7ED5"/>
    <w:rsid w:val="008C43B2"/>
    <w:rsid w:val="008C45D8"/>
    <w:rsid w:val="008C584F"/>
    <w:rsid w:val="008C610E"/>
    <w:rsid w:val="008C6A4C"/>
    <w:rsid w:val="008C73E1"/>
    <w:rsid w:val="008D08A9"/>
    <w:rsid w:val="008D17AA"/>
    <w:rsid w:val="008D474B"/>
    <w:rsid w:val="008D6195"/>
    <w:rsid w:val="008D62FA"/>
    <w:rsid w:val="008D6A0A"/>
    <w:rsid w:val="008D7D40"/>
    <w:rsid w:val="008E0CBB"/>
    <w:rsid w:val="008E11F4"/>
    <w:rsid w:val="008E277D"/>
    <w:rsid w:val="008E2EDA"/>
    <w:rsid w:val="008F1FEF"/>
    <w:rsid w:val="008F2D9E"/>
    <w:rsid w:val="008F3A14"/>
    <w:rsid w:val="00900C2A"/>
    <w:rsid w:val="0091098F"/>
    <w:rsid w:val="00912B70"/>
    <w:rsid w:val="00912E78"/>
    <w:rsid w:val="00913DD8"/>
    <w:rsid w:val="00915284"/>
    <w:rsid w:val="00916E18"/>
    <w:rsid w:val="009200E7"/>
    <w:rsid w:val="00921C14"/>
    <w:rsid w:val="00924318"/>
    <w:rsid w:val="0092601F"/>
    <w:rsid w:val="009279E6"/>
    <w:rsid w:val="0093256A"/>
    <w:rsid w:val="0093347B"/>
    <w:rsid w:val="009338A9"/>
    <w:rsid w:val="00936613"/>
    <w:rsid w:val="00937F43"/>
    <w:rsid w:val="00940B27"/>
    <w:rsid w:val="00942EEB"/>
    <w:rsid w:val="00943D6F"/>
    <w:rsid w:val="00944569"/>
    <w:rsid w:val="00944C7D"/>
    <w:rsid w:val="009465DA"/>
    <w:rsid w:val="009517AA"/>
    <w:rsid w:val="00954469"/>
    <w:rsid w:val="00955399"/>
    <w:rsid w:val="00955DB2"/>
    <w:rsid w:val="0095641E"/>
    <w:rsid w:val="0095680D"/>
    <w:rsid w:val="00956D5F"/>
    <w:rsid w:val="00963BD9"/>
    <w:rsid w:val="00964633"/>
    <w:rsid w:val="00965460"/>
    <w:rsid w:val="009670F0"/>
    <w:rsid w:val="0097153D"/>
    <w:rsid w:val="00972A30"/>
    <w:rsid w:val="00974187"/>
    <w:rsid w:val="00974794"/>
    <w:rsid w:val="0097734C"/>
    <w:rsid w:val="00977B99"/>
    <w:rsid w:val="00983753"/>
    <w:rsid w:val="00991ADC"/>
    <w:rsid w:val="00994CE2"/>
    <w:rsid w:val="00995952"/>
    <w:rsid w:val="009A0579"/>
    <w:rsid w:val="009A179B"/>
    <w:rsid w:val="009A187A"/>
    <w:rsid w:val="009A1AEB"/>
    <w:rsid w:val="009A1D0D"/>
    <w:rsid w:val="009A2765"/>
    <w:rsid w:val="009A5B52"/>
    <w:rsid w:val="009A62BC"/>
    <w:rsid w:val="009B1072"/>
    <w:rsid w:val="009B13B7"/>
    <w:rsid w:val="009B15BA"/>
    <w:rsid w:val="009B1B11"/>
    <w:rsid w:val="009B5294"/>
    <w:rsid w:val="009C2484"/>
    <w:rsid w:val="009C284B"/>
    <w:rsid w:val="009C40DB"/>
    <w:rsid w:val="009D23C7"/>
    <w:rsid w:val="009D2624"/>
    <w:rsid w:val="009D2FB1"/>
    <w:rsid w:val="009D3D1F"/>
    <w:rsid w:val="009D5279"/>
    <w:rsid w:val="009D58F2"/>
    <w:rsid w:val="009D5BEB"/>
    <w:rsid w:val="009D7838"/>
    <w:rsid w:val="009E2115"/>
    <w:rsid w:val="009E25E6"/>
    <w:rsid w:val="009E295E"/>
    <w:rsid w:val="009E455C"/>
    <w:rsid w:val="009E5424"/>
    <w:rsid w:val="009E76EE"/>
    <w:rsid w:val="009F0CE0"/>
    <w:rsid w:val="009F4C93"/>
    <w:rsid w:val="009F5998"/>
    <w:rsid w:val="00A0270D"/>
    <w:rsid w:val="00A036CF"/>
    <w:rsid w:val="00A05182"/>
    <w:rsid w:val="00A07BDF"/>
    <w:rsid w:val="00A11BA2"/>
    <w:rsid w:val="00A12062"/>
    <w:rsid w:val="00A1241D"/>
    <w:rsid w:val="00A12DFC"/>
    <w:rsid w:val="00A1521A"/>
    <w:rsid w:val="00A15EEE"/>
    <w:rsid w:val="00A20368"/>
    <w:rsid w:val="00A2038C"/>
    <w:rsid w:val="00A22033"/>
    <w:rsid w:val="00A22234"/>
    <w:rsid w:val="00A24354"/>
    <w:rsid w:val="00A24BEB"/>
    <w:rsid w:val="00A27452"/>
    <w:rsid w:val="00A30785"/>
    <w:rsid w:val="00A36BE5"/>
    <w:rsid w:val="00A3784C"/>
    <w:rsid w:val="00A4324D"/>
    <w:rsid w:val="00A44ACC"/>
    <w:rsid w:val="00A472A9"/>
    <w:rsid w:val="00A52096"/>
    <w:rsid w:val="00A5345E"/>
    <w:rsid w:val="00A53F8D"/>
    <w:rsid w:val="00A54099"/>
    <w:rsid w:val="00A55E4D"/>
    <w:rsid w:val="00A570B6"/>
    <w:rsid w:val="00A57535"/>
    <w:rsid w:val="00A6166A"/>
    <w:rsid w:val="00A62283"/>
    <w:rsid w:val="00A65DB3"/>
    <w:rsid w:val="00A66740"/>
    <w:rsid w:val="00A7133C"/>
    <w:rsid w:val="00A72EFB"/>
    <w:rsid w:val="00A74B61"/>
    <w:rsid w:val="00A75AB3"/>
    <w:rsid w:val="00A80BDC"/>
    <w:rsid w:val="00A83033"/>
    <w:rsid w:val="00A8402C"/>
    <w:rsid w:val="00A86217"/>
    <w:rsid w:val="00A866CB"/>
    <w:rsid w:val="00A928AD"/>
    <w:rsid w:val="00A929D0"/>
    <w:rsid w:val="00A92FE6"/>
    <w:rsid w:val="00A941EB"/>
    <w:rsid w:val="00A956EF"/>
    <w:rsid w:val="00A964D8"/>
    <w:rsid w:val="00A9734E"/>
    <w:rsid w:val="00AA23AA"/>
    <w:rsid w:val="00AA3DB5"/>
    <w:rsid w:val="00AA59AC"/>
    <w:rsid w:val="00AA7ACF"/>
    <w:rsid w:val="00AB0178"/>
    <w:rsid w:val="00AB284E"/>
    <w:rsid w:val="00AB397A"/>
    <w:rsid w:val="00AB4699"/>
    <w:rsid w:val="00AB6108"/>
    <w:rsid w:val="00AB65AD"/>
    <w:rsid w:val="00AB7230"/>
    <w:rsid w:val="00AC2105"/>
    <w:rsid w:val="00AC2718"/>
    <w:rsid w:val="00AC30DE"/>
    <w:rsid w:val="00AC336D"/>
    <w:rsid w:val="00AC6A3E"/>
    <w:rsid w:val="00AC7C12"/>
    <w:rsid w:val="00AD7A8B"/>
    <w:rsid w:val="00AE0FCC"/>
    <w:rsid w:val="00AE1183"/>
    <w:rsid w:val="00AE1FA6"/>
    <w:rsid w:val="00AE3795"/>
    <w:rsid w:val="00AE50E3"/>
    <w:rsid w:val="00AE73C0"/>
    <w:rsid w:val="00AF183B"/>
    <w:rsid w:val="00AF285C"/>
    <w:rsid w:val="00AF3BFF"/>
    <w:rsid w:val="00AF6625"/>
    <w:rsid w:val="00AF7DBF"/>
    <w:rsid w:val="00B0220F"/>
    <w:rsid w:val="00B03D6A"/>
    <w:rsid w:val="00B03FE1"/>
    <w:rsid w:val="00B040FC"/>
    <w:rsid w:val="00B04142"/>
    <w:rsid w:val="00B044DE"/>
    <w:rsid w:val="00B064DF"/>
    <w:rsid w:val="00B10F6C"/>
    <w:rsid w:val="00B12978"/>
    <w:rsid w:val="00B12C60"/>
    <w:rsid w:val="00B21233"/>
    <w:rsid w:val="00B22A11"/>
    <w:rsid w:val="00B22E8D"/>
    <w:rsid w:val="00B23A55"/>
    <w:rsid w:val="00B25461"/>
    <w:rsid w:val="00B25DEA"/>
    <w:rsid w:val="00B26227"/>
    <w:rsid w:val="00B279B4"/>
    <w:rsid w:val="00B30CB1"/>
    <w:rsid w:val="00B3469F"/>
    <w:rsid w:val="00B373DE"/>
    <w:rsid w:val="00B4004D"/>
    <w:rsid w:val="00B4246A"/>
    <w:rsid w:val="00B427B3"/>
    <w:rsid w:val="00B43317"/>
    <w:rsid w:val="00B45E21"/>
    <w:rsid w:val="00B479C8"/>
    <w:rsid w:val="00B47FEF"/>
    <w:rsid w:val="00B504D7"/>
    <w:rsid w:val="00B5059D"/>
    <w:rsid w:val="00B5416D"/>
    <w:rsid w:val="00B56BB3"/>
    <w:rsid w:val="00B62232"/>
    <w:rsid w:val="00B626F2"/>
    <w:rsid w:val="00B6331F"/>
    <w:rsid w:val="00B63A72"/>
    <w:rsid w:val="00B63D4A"/>
    <w:rsid w:val="00B65392"/>
    <w:rsid w:val="00B655BF"/>
    <w:rsid w:val="00B660C9"/>
    <w:rsid w:val="00B6737C"/>
    <w:rsid w:val="00B70905"/>
    <w:rsid w:val="00B71C22"/>
    <w:rsid w:val="00B72B56"/>
    <w:rsid w:val="00B74451"/>
    <w:rsid w:val="00B75814"/>
    <w:rsid w:val="00B803D7"/>
    <w:rsid w:val="00B811ED"/>
    <w:rsid w:val="00B8248E"/>
    <w:rsid w:val="00B8295F"/>
    <w:rsid w:val="00B82E68"/>
    <w:rsid w:val="00B8435A"/>
    <w:rsid w:val="00B853FA"/>
    <w:rsid w:val="00B86108"/>
    <w:rsid w:val="00B869DB"/>
    <w:rsid w:val="00B86E13"/>
    <w:rsid w:val="00B86EA8"/>
    <w:rsid w:val="00B8722F"/>
    <w:rsid w:val="00B92520"/>
    <w:rsid w:val="00B92DCC"/>
    <w:rsid w:val="00B93063"/>
    <w:rsid w:val="00B935E1"/>
    <w:rsid w:val="00B958E1"/>
    <w:rsid w:val="00B961BE"/>
    <w:rsid w:val="00BA125B"/>
    <w:rsid w:val="00BA163D"/>
    <w:rsid w:val="00BA4713"/>
    <w:rsid w:val="00BA4D0A"/>
    <w:rsid w:val="00BA58A9"/>
    <w:rsid w:val="00BA6081"/>
    <w:rsid w:val="00BA7E46"/>
    <w:rsid w:val="00BB0482"/>
    <w:rsid w:val="00BB0CF8"/>
    <w:rsid w:val="00BB313C"/>
    <w:rsid w:val="00BC159F"/>
    <w:rsid w:val="00BC1EDF"/>
    <w:rsid w:val="00BC3141"/>
    <w:rsid w:val="00BC3EE7"/>
    <w:rsid w:val="00BC40B2"/>
    <w:rsid w:val="00BC5267"/>
    <w:rsid w:val="00BC5A77"/>
    <w:rsid w:val="00BC6F15"/>
    <w:rsid w:val="00BD00DB"/>
    <w:rsid w:val="00BD0A0E"/>
    <w:rsid w:val="00BD1372"/>
    <w:rsid w:val="00BD3282"/>
    <w:rsid w:val="00BD3DE5"/>
    <w:rsid w:val="00BD4C9F"/>
    <w:rsid w:val="00BD5254"/>
    <w:rsid w:val="00BD6334"/>
    <w:rsid w:val="00BE3177"/>
    <w:rsid w:val="00BE4B84"/>
    <w:rsid w:val="00BE4E1D"/>
    <w:rsid w:val="00BE5D6E"/>
    <w:rsid w:val="00BE7DAC"/>
    <w:rsid w:val="00BF133F"/>
    <w:rsid w:val="00BF1AA0"/>
    <w:rsid w:val="00BF1FB4"/>
    <w:rsid w:val="00BF2C57"/>
    <w:rsid w:val="00BF6F19"/>
    <w:rsid w:val="00BF7E32"/>
    <w:rsid w:val="00C004CC"/>
    <w:rsid w:val="00C01F1D"/>
    <w:rsid w:val="00C02398"/>
    <w:rsid w:val="00C054A4"/>
    <w:rsid w:val="00C05E9C"/>
    <w:rsid w:val="00C13E12"/>
    <w:rsid w:val="00C14593"/>
    <w:rsid w:val="00C1711B"/>
    <w:rsid w:val="00C20A09"/>
    <w:rsid w:val="00C21FBE"/>
    <w:rsid w:val="00C2202A"/>
    <w:rsid w:val="00C2284B"/>
    <w:rsid w:val="00C23358"/>
    <w:rsid w:val="00C23FEB"/>
    <w:rsid w:val="00C3023B"/>
    <w:rsid w:val="00C322A7"/>
    <w:rsid w:val="00C33544"/>
    <w:rsid w:val="00C37564"/>
    <w:rsid w:val="00C43C66"/>
    <w:rsid w:val="00C45464"/>
    <w:rsid w:val="00C51ADC"/>
    <w:rsid w:val="00C55BEC"/>
    <w:rsid w:val="00C56541"/>
    <w:rsid w:val="00C57FA0"/>
    <w:rsid w:val="00C60049"/>
    <w:rsid w:val="00C60C15"/>
    <w:rsid w:val="00C61A23"/>
    <w:rsid w:val="00C628E6"/>
    <w:rsid w:val="00C64BB0"/>
    <w:rsid w:val="00C73B19"/>
    <w:rsid w:val="00C76BC1"/>
    <w:rsid w:val="00C76F70"/>
    <w:rsid w:val="00C80528"/>
    <w:rsid w:val="00C8141D"/>
    <w:rsid w:val="00C844C9"/>
    <w:rsid w:val="00C85C33"/>
    <w:rsid w:val="00C86278"/>
    <w:rsid w:val="00C87FE2"/>
    <w:rsid w:val="00C92131"/>
    <w:rsid w:val="00C94C1D"/>
    <w:rsid w:val="00C95B9D"/>
    <w:rsid w:val="00C96400"/>
    <w:rsid w:val="00C97580"/>
    <w:rsid w:val="00CA2304"/>
    <w:rsid w:val="00CA356E"/>
    <w:rsid w:val="00CA495B"/>
    <w:rsid w:val="00CA4B94"/>
    <w:rsid w:val="00CA5E14"/>
    <w:rsid w:val="00CA7384"/>
    <w:rsid w:val="00CB0CB8"/>
    <w:rsid w:val="00CB13AC"/>
    <w:rsid w:val="00CB4412"/>
    <w:rsid w:val="00CB5EBC"/>
    <w:rsid w:val="00CB6870"/>
    <w:rsid w:val="00CC3291"/>
    <w:rsid w:val="00CC3B2A"/>
    <w:rsid w:val="00CC4A00"/>
    <w:rsid w:val="00CC4A1F"/>
    <w:rsid w:val="00CD2034"/>
    <w:rsid w:val="00CD6511"/>
    <w:rsid w:val="00CD7600"/>
    <w:rsid w:val="00CE0171"/>
    <w:rsid w:val="00CE0321"/>
    <w:rsid w:val="00CE521D"/>
    <w:rsid w:val="00CE5286"/>
    <w:rsid w:val="00CE69E5"/>
    <w:rsid w:val="00CE6F55"/>
    <w:rsid w:val="00CE6FC9"/>
    <w:rsid w:val="00CE732E"/>
    <w:rsid w:val="00CF1249"/>
    <w:rsid w:val="00CF153D"/>
    <w:rsid w:val="00CF3106"/>
    <w:rsid w:val="00CF5BF7"/>
    <w:rsid w:val="00CF7CE2"/>
    <w:rsid w:val="00D00419"/>
    <w:rsid w:val="00D01644"/>
    <w:rsid w:val="00D01706"/>
    <w:rsid w:val="00D02640"/>
    <w:rsid w:val="00D04043"/>
    <w:rsid w:val="00D077E9"/>
    <w:rsid w:val="00D07B80"/>
    <w:rsid w:val="00D100EA"/>
    <w:rsid w:val="00D16CED"/>
    <w:rsid w:val="00D17A71"/>
    <w:rsid w:val="00D202C5"/>
    <w:rsid w:val="00D25DAC"/>
    <w:rsid w:val="00D27F6F"/>
    <w:rsid w:val="00D32F74"/>
    <w:rsid w:val="00D33093"/>
    <w:rsid w:val="00D34BF1"/>
    <w:rsid w:val="00D35D56"/>
    <w:rsid w:val="00D366C3"/>
    <w:rsid w:val="00D37153"/>
    <w:rsid w:val="00D37432"/>
    <w:rsid w:val="00D42F1F"/>
    <w:rsid w:val="00D45393"/>
    <w:rsid w:val="00D46533"/>
    <w:rsid w:val="00D50253"/>
    <w:rsid w:val="00D50599"/>
    <w:rsid w:val="00D548F2"/>
    <w:rsid w:val="00D55BB0"/>
    <w:rsid w:val="00D57033"/>
    <w:rsid w:val="00D57B37"/>
    <w:rsid w:val="00D57FAC"/>
    <w:rsid w:val="00D61A0C"/>
    <w:rsid w:val="00D61CE7"/>
    <w:rsid w:val="00D61FE4"/>
    <w:rsid w:val="00D63E15"/>
    <w:rsid w:val="00D65969"/>
    <w:rsid w:val="00D661E1"/>
    <w:rsid w:val="00D6696C"/>
    <w:rsid w:val="00D67284"/>
    <w:rsid w:val="00D71D73"/>
    <w:rsid w:val="00D73A04"/>
    <w:rsid w:val="00D73C27"/>
    <w:rsid w:val="00D741C4"/>
    <w:rsid w:val="00D768D5"/>
    <w:rsid w:val="00D81224"/>
    <w:rsid w:val="00D813B6"/>
    <w:rsid w:val="00D831E7"/>
    <w:rsid w:val="00D838C3"/>
    <w:rsid w:val="00D8435D"/>
    <w:rsid w:val="00D84ABA"/>
    <w:rsid w:val="00D87387"/>
    <w:rsid w:val="00D91676"/>
    <w:rsid w:val="00D925B4"/>
    <w:rsid w:val="00D92B8E"/>
    <w:rsid w:val="00D930A5"/>
    <w:rsid w:val="00D93913"/>
    <w:rsid w:val="00D93E84"/>
    <w:rsid w:val="00D944E0"/>
    <w:rsid w:val="00D979D2"/>
    <w:rsid w:val="00DA2875"/>
    <w:rsid w:val="00DA2FF3"/>
    <w:rsid w:val="00DA4295"/>
    <w:rsid w:val="00DA51F6"/>
    <w:rsid w:val="00DB1A8C"/>
    <w:rsid w:val="00DB2668"/>
    <w:rsid w:val="00DB428C"/>
    <w:rsid w:val="00DB6858"/>
    <w:rsid w:val="00DB6AE4"/>
    <w:rsid w:val="00DB70D0"/>
    <w:rsid w:val="00DC0849"/>
    <w:rsid w:val="00DD12ED"/>
    <w:rsid w:val="00DD219C"/>
    <w:rsid w:val="00DD271B"/>
    <w:rsid w:val="00DD35CA"/>
    <w:rsid w:val="00DD40B0"/>
    <w:rsid w:val="00DE0064"/>
    <w:rsid w:val="00DE1B7B"/>
    <w:rsid w:val="00DE4477"/>
    <w:rsid w:val="00DE4E4B"/>
    <w:rsid w:val="00DE7E34"/>
    <w:rsid w:val="00DF128A"/>
    <w:rsid w:val="00DF1607"/>
    <w:rsid w:val="00DF1DE3"/>
    <w:rsid w:val="00DF28AB"/>
    <w:rsid w:val="00DF306A"/>
    <w:rsid w:val="00DF6575"/>
    <w:rsid w:val="00E002EE"/>
    <w:rsid w:val="00E00D22"/>
    <w:rsid w:val="00E0228A"/>
    <w:rsid w:val="00E02500"/>
    <w:rsid w:val="00E03B01"/>
    <w:rsid w:val="00E03E76"/>
    <w:rsid w:val="00E04C77"/>
    <w:rsid w:val="00E04F91"/>
    <w:rsid w:val="00E056C8"/>
    <w:rsid w:val="00E05D9C"/>
    <w:rsid w:val="00E06500"/>
    <w:rsid w:val="00E068FB"/>
    <w:rsid w:val="00E10F79"/>
    <w:rsid w:val="00E11587"/>
    <w:rsid w:val="00E121E7"/>
    <w:rsid w:val="00E12B3F"/>
    <w:rsid w:val="00E1351A"/>
    <w:rsid w:val="00E1355F"/>
    <w:rsid w:val="00E16A5F"/>
    <w:rsid w:val="00E20671"/>
    <w:rsid w:val="00E20B73"/>
    <w:rsid w:val="00E23B02"/>
    <w:rsid w:val="00E23D34"/>
    <w:rsid w:val="00E25385"/>
    <w:rsid w:val="00E2689C"/>
    <w:rsid w:val="00E27AB7"/>
    <w:rsid w:val="00E30BAE"/>
    <w:rsid w:val="00E32AD6"/>
    <w:rsid w:val="00E33041"/>
    <w:rsid w:val="00E340A7"/>
    <w:rsid w:val="00E40020"/>
    <w:rsid w:val="00E40B25"/>
    <w:rsid w:val="00E41627"/>
    <w:rsid w:val="00E4530A"/>
    <w:rsid w:val="00E479C1"/>
    <w:rsid w:val="00E52505"/>
    <w:rsid w:val="00E53112"/>
    <w:rsid w:val="00E53598"/>
    <w:rsid w:val="00E55175"/>
    <w:rsid w:val="00E5619A"/>
    <w:rsid w:val="00E564E9"/>
    <w:rsid w:val="00E66257"/>
    <w:rsid w:val="00E66DE9"/>
    <w:rsid w:val="00E67972"/>
    <w:rsid w:val="00E67B29"/>
    <w:rsid w:val="00E73A1E"/>
    <w:rsid w:val="00E73E77"/>
    <w:rsid w:val="00E75465"/>
    <w:rsid w:val="00E75BA8"/>
    <w:rsid w:val="00E76F89"/>
    <w:rsid w:val="00E80364"/>
    <w:rsid w:val="00E85C77"/>
    <w:rsid w:val="00E86FEF"/>
    <w:rsid w:val="00E90685"/>
    <w:rsid w:val="00E92E2B"/>
    <w:rsid w:val="00E93C2D"/>
    <w:rsid w:val="00E95F4C"/>
    <w:rsid w:val="00EA229C"/>
    <w:rsid w:val="00EA501A"/>
    <w:rsid w:val="00EA79C1"/>
    <w:rsid w:val="00EB0DD5"/>
    <w:rsid w:val="00EB2060"/>
    <w:rsid w:val="00EB4BFB"/>
    <w:rsid w:val="00EB6A98"/>
    <w:rsid w:val="00EC12A1"/>
    <w:rsid w:val="00EC3F7E"/>
    <w:rsid w:val="00EC6DA7"/>
    <w:rsid w:val="00EC72BE"/>
    <w:rsid w:val="00ED1B6E"/>
    <w:rsid w:val="00ED3302"/>
    <w:rsid w:val="00ED5961"/>
    <w:rsid w:val="00EE02E1"/>
    <w:rsid w:val="00EE0DA4"/>
    <w:rsid w:val="00EE1014"/>
    <w:rsid w:val="00EE130A"/>
    <w:rsid w:val="00EE31FA"/>
    <w:rsid w:val="00EE3A99"/>
    <w:rsid w:val="00EE67C2"/>
    <w:rsid w:val="00EE6C05"/>
    <w:rsid w:val="00EE7048"/>
    <w:rsid w:val="00EE7FE2"/>
    <w:rsid w:val="00EF1795"/>
    <w:rsid w:val="00EF208F"/>
    <w:rsid w:val="00EF266D"/>
    <w:rsid w:val="00EF2C7F"/>
    <w:rsid w:val="00EF3A28"/>
    <w:rsid w:val="00EF4FA4"/>
    <w:rsid w:val="00EF7BE3"/>
    <w:rsid w:val="00F02037"/>
    <w:rsid w:val="00F02677"/>
    <w:rsid w:val="00F027A7"/>
    <w:rsid w:val="00F0725E"/>
    <w:rsid w:val="00F1136A"/>
    <w:rsid w:val="00F12479"/>
    <w:rsid w:val="00F1265D"/>
    <w:rsid w:val="00F127B8"/>
    <w:rsid w:val="00F14DF0"/>
    <w:rsid w:val="00F154D4"/>
    <w:rsid w:val="00F217D3"/>
    <w:rsid w:val="00F22143"/>
    <w:rsid w:val="00F24ADB"/>
    <w:rsid w:val="00F2591A"/>
    <w:rsid w:val="00F260C5"/>
    <w:rsid w:val="00F266D7"/>
    <w:rsid w:val="00F27718"/>
    <w:rsid w:val="00F32A75"/>
    <w:rsid w:val="00F362A5"/>
    <w:rsid w:val="00F36E6D"/>
    <w:rsid w:val="00F436C2"/>
    <w:rsid w:val="00F46371"/>
    <w:rsid w:val="00F5046D"/>
    <w:rsid w:val="00F52A0F"/>
    <w:rsid w:val="00F55F3B"/>
    <w:rsid w:val="00F56AF9"/>
    <w:rsid w:val="00F5793C"/>
    <w:rsid w:val="00F57F69"/>
    <w:rsid w:val="00F61588"/>
    <w:rsid w:val="00F63E2E"/>
    <w:rsid w:val="00F64F4F"/>
    <w:rsid w:val="00F66B47"/>
    <w:rsid w:val="00F70538"/>
    <w:rsid w:val="00F73DDE"/>
    <w:rsid w:val="00F74B7A"/>
    <w:rsid w:val="00F759B5"/>
    <w:rsid w:val="00F760ED"/>
    <w:rsid w:val="00F8201E"/>
    <w:rsid w:val="00F8221A"/>
    <w:rsid w:val="00F832A8"/>
    <w:rsid w:val="00F8469E"/>
    <w:rsid w:val="00F859D4"/>
    <w:rsid w:val="00F87FC1"/>
    <w:rsid w:val="00F93158"/>
    <w:rsid w:val="00F93885"/>
    <w:rsid w:val="00F94CF1"/>
    <w:rsid w:val="00F976B8"/>
    <w:rsid w:val="00F97886"/>
    <w:rsid w:val="00F97C37"/>
    <w:rsid w:val="00FA0405"/>
    <w:rsid w:val="00FA1144"/>
    <w:rsid w:val="00FA272C"/>
    <w:rsid w:val="00FA3DD8"/>
    <w:rsid w:val="00FA3F76"/>
    <w:rsid w:val="00FA4DBC"/>
    <w:rsid w:val="00FA649D"/>
    <w:rsid w:val="00FA7D07"/>
    <w:rsid w:val="00FB05FC"/>
    <w:rsid w:val="00FB73A5"/>
    <w:rsid w:val="00FC0CDB"/>
    <w:rsid w:val="00FD0101"/>
    <w:rsid w:val="00FD0A52"/>
    <w:rsid w:val="00FD0D05"/>
    <w:rsid w:val="00FD1809"/>
    <w:rsid w:val="00FD25EE"/>
    <w:rsid w:val="00FD4736"/>
    <w:rsid w:val="00FD6050"/>
    <w:rsid w:val="00FD622A"/>
    <w:rsid w:val="00FE3DC6"/>
    <w:rsid w:val="00FE561E"/>
    <w:rsid w:val="00FE58E1"/>
    <w:rsid w:val="00FE710D"/>
    <w:rsid w:val="00FE7415"/>
    <w:rsid w:val="00FF240F"/>
    <w:rsid w:val="00FF288A"/>
    <w:rsid w:val="00FF5770"/>
    <w:rsid w:val="00FF656D"/>
    <w:rsid w:val="00FF66DD"/>
    <w:rsid w:val="011C28CA"/>
    <w:rsid w:val="012766C6"/>
    <w:rsid w:val="015D38BF"/>
    <w:rsid w:val="01653886"/>
    <w:rsid w:val="01690CBC"/>
    <w:rsid w:val="01824921"/>
    <w:rsid w:val="01A50BAD"/>
    <w:rsid w:val="01A522B0"/>
    <w:rsid w:val="01B06F98"/>
    <w:rsid w:val="01B20CE2"/>
    <w:rsid w:val="01BD17FD"/>
    <w:rsid w:val="01C40DDD"/>
    <w:rsid w:val="01D06AF9"/>
    <w:rsid w:val="02070816"/>
    <w:rsid w:val="02177B89"/>
    <w:rsid w:val="022627EC"/>
    <w:rsid w:val="022A2DBC"/>
    <w:rsid w:val="02310126"/>
    <w:rsid w:val="023B615C"/>
    <w:rsid w:val="023C626F"/>
    <w:rsid w:val="02445A7A"/>
    <w:rsid w:val="02775E4F"/>
    <w:rsid w:val="028B2521"/>
    <w:rsid w:val="029A6BEC"/>
    <w:rsid w:val="02A57D55"/>
    <w:rsid w:val="02A6518C"/>
    <w:rsid w:val="02B303A4"/>
    <w:rsid w:val="02B31A3E"/>
    <w:rsid w:val="02B72A33"/>
    <w:rsid w:val="02BC48CB"/>
    <w:rsid w:val="02BF2B97"/>
    <w:rsid w:val="02C31FE1"/>
    <w:rsid w:val="02C76BA9"/>
    <w:rsid w:val="02CF31CC"/>
    <w:rsid w:val="02CF7A3A"/>
    <w:rsid w:val="02D25A1B"/>
    <w:rsid w:val="02E66B31"/>
    <w:rsid w:val="02FC6CFF"/>
    <w:rsid w:val="03015A9E"/>
    <w:rsid w:val="030B00DE"/>
    <w:rsid w:val="03243C08"/>
    <w:rsid w:val="0349725C"/>
    <w:rsid w:val="035C7366"/>
    <w:rsid w:val="03651809"/>
    <w:rsid w:val="03717FB9"/>
    <w:rsid w:val="038A73DC"/>
    <w:rsid w:val="038C7ADF"/>
    <w:rsid w:val="03A30C61"/>
    <w:rsid w:val="03A74803"/>
    <w:rsid w:val="03A97CC0"/>
    <w:rsid w:val="03BA0F7B"/>
    <w:rsid w:val="03C7712B"/>
    <w:rsid w:val="03D7596D"/>
    <w:rsid w:val="03F74707"/>
    <w:rsid w:val="03FD38F5"/>
    <w:rsid w:val="04016A9C"/>
    <w:rsid w:val="0407738D"/>
    <w:rsid w:val="04181234"/>
    <w:rsid w:val="0451758C"/>
    <w:rsid w:val="04626F8D"/>
    <w:rsid w:val="046746B9"/>
    <w:rsid w:val="046B0430"/>
    <w:rsid w:val="04892182"/>
    <w:rsid w:val="04A809B3"/>
    <w:rsid w:val="04A90DE9"/>
    <w:rsid w:val="04AC5ACD"/>
    <w:rsid w:val="04C2712A"/>
    <w:rsid w:val="04CE5B50"/>
    <w:rsid w:val="04DA4474"/>
    <w:rsid w:val="04DD5814"/>
    <w:rsid w:val="04EA79F1"/>
    <w:rsid w:val="04FB2BF2"/>
    <w:rsid w:val="050F5196"/>
    <w:rsid w:val="052F74BE"/>
    <w:rsid w:val="0548696F"/>
    <w:rsid w:val="054E2385"/>
    <w:rsid w:val="054F73D1"/>
    <w:rsid w:val="05726ABC"/>
    <w:rsid w:val="05A446E4"/>
    <w:rsid w:val="05A45BE0"/>
    <w:rsid w:val="05BA5DDB"/>
    <w:rsid w:val="05C505A2"/>
    <w:rsid w:val="05C56214"/>
    <w:rsid w:val="05C92961"/>
    <w:rsid w:val="05D34AE9"/>
    <w:rsid w:val="05F12E9A"/>
    <w:rsid w:val="05FC4402"/>
    <w:rsid w:val="060E6E29"/>
    <w:rsid w:val="06160579"/>
    <w:rsid w:val="062A2126"/>
    <w:rsid w:val="062A59C9"/>
    <w:rsid w:val="062C6014"/>
    <w:rsid w:val="063D4972"/>
    <w:rsid w:val="06546831"/>
    <w:rsid w:val="06736542"/>
    <w:rsid w:val="06745589"/>
    <w:rsid w:val="068D6F85"/>
    <w:rsid w:val="06950114"/>
    <w:rsid w:val="06B71DD0"/>
    <w:rsid w:val="06BA37EF"/>
    <w:rsid w:val="06BB1A4B"/>
    <w:rsid w:val="06DE45E4"/>
    <w:rsid w:val="06E329C6"/>
    <w:rsid w:val="06E337F1"/>
    <w:rsid w:val="07016CD0"/>
    <w:rsid w:val="07114B11"/>
    <w:rsid w:val="071A5CEE"/>
    <w:rsid w:val="072306AB"/>
    <w:rsid w:val="07285540"/>
    <w:rsid w:val="07346077"/>
    <w:rsid w:val="07350173"/>
    <w:rsid w:val="073568EE"/>
    <w:rsid w:val="07361DBA"/>
    <w:rsid w:val="073B5507"/>
    <w:rsid w:val="075A76FE"/>
    <w:rsid w:val="075C6368"/>
    <w:rsid w:val="075E313A"/>
    <w:rsid w:val="07610177"/>
    <w:rsid w:val="07620435"/>
    <w:rsid w:val="07673919"/>
    <w:rsid w:val="076F2550"/>
    <w:rsid w:val="07B61335"/>
    <w:rsid w:val="07CF24B3"/>
    <w:rsid w:val="07D33D07"/>
    <w:rsid w:val="07EA38DA"/>
    <w:rsid w:val="08110806"/>
    <w:rsid w:val="081870E2"/>
    <w:rsid w:val="081E0B1B"/>
    <w:rsid w:val="08273CB3"/>
    <w:rsid w:val="082F270F"/>
    <w:rsid w:val="08353DAE"/>
    <w:rsid w:val="083E0849"/>
    <w:rsid w:val="08426AA5"/>
    <w:rsid w:val="085946E6"/>
    <w:rsid w:val="086670B1"/>
    <w:rsid w:val="08823AF5"/>
    <w:rsid w:val="08A00A2F"/>
    <w:rsid w:val="08B72198"/>
    <w:rsid w:val="08C72445"/>
    <w:rsid w:val="08D22BF6"/>
    <w:rsid w:val="08DC4C5E"/>
    <w:rsid w:val="08DC6352"/>
    <w:rsid w:val="08E26A25"/>
    <w:rsid w:val="08F84B6E"/>
    <w:rsid w:val="08FC4250"/>
    <w:rsid w:val="08FC7243"/>
    <w:rsid w:val="09193872"/>
    <w:rsid w:val="09321BF6"/>
    <w:rsid w:val="093875DB"/>
    <w:rsid w:val="094B3B92"/>
    <w:rsid w:val="09581E0B"/>
    <w:rsid w:val="095E3730"/>
    <w:rsid w:val="097173D1"/>
    <w:rsid w:val="09795D11"/>
    <w:rsid w:val="098C01DB"/>
    <w:rsid w:val="09AC1A2D"/>
    <w:rsid w:val="09D30000"/>
    <w:rsid w:val="09FB0118"/>
    <w:rsid w:val="0A2A6D75"/>
    <w:rsid w:val="0A4379AD"/>
    <w:rsid w:val="0A522B20"/>
    <w:rsid w:val="0A604293"/>
    <w:rsid w:val="0A6373BA"/>
    <w:rsid w:val="0A7003AD"/>
    <w:rsid w:val="0A7A38A0"/>
    <w:rsid w:val="0A843C58"/>
    <w:rsid w:val="0A8448E0"/>
    <w:rsid w:val="0A9A443A"/>
    <w:rsid w:val="0AA46F77"/>
    <w:rsid w:val="0ABC7E0F"/>
    <w:rsid w:val="0ACD27C4"/>
    <w:rsid w:val="0AF8658F"/>
    <w:rsid w:val="0AF86CF3"/>
    <w:rsid w:val="0AFA54FF"/>
    <w:rsid w:val="0B1A0749"/>
    <w:rsid w:val="0B233D6D"/>
    <w:rsid w:val="0B2C6579"/>
    <w:rsid w:val="0B3E1066"/>
    <w:rsid w:val="0B472433"/>
    <w:rsid w:val="0B4909C9"/>
    <w:rsid w:val="0B4D14AE"/>
    <w:rsid w:val="0B4D1E43"/>
    <w:rsid w:val="0B752F96"/>
    <w:rsid w:val="0B912615"/>
    <w:rsid w:val="0B9D2B35"/>
    <w:rsid w:val="0BAA7BEB"/>
    <w:rsid w:val="0BAD56C9"/>
    <w:rsid w:val="0BBA59B1"/>
    <w:rsid w:val="0BC3427F"/>
    <w:rsid w:val="0BDB2263"/>
    <w:rsid w:val="0BDD2DB5"/>
    <w:rsid w:val="0BEE1C0E"/>
    <w:rsid w:val="0BF04F80"/>
    <w:rsid w:val="0BF547AD"/>
    <w:rsid w:val="0C0D769A"/>
    <w:rsid w:val="0C171C2D"/>
    <w:rsid w:val="0C2768B8"/>
    <w:rsid w:val="0C46766C"/>
    <w:rsid w:val="0C542C4F"/>
    <w:rsid w:val="0C6752CC"/>
    <w:rsid w:val="0C7A1F06"/>
    <w:rsid w:val="0C8B7E9B"/>
    <w:rsid w:val="0C980E8C"/>
    <w:rsid w:val="0C9C4EC8"/>
    <w:rsid w:val="0CAD44AA"/>
    <w:rsid w:val="0CFB3B73"/>
    <w:rsid w:val="0D101328"/>
    <w:rsid w:val="0D1C216D"/>
    <w:rsid w:val="0D3D17F4"/>
    <w:rsid w:val="0D412B25"/>
    <w:rsid w:val="0D487377"/>
    <w:rsid w:val="0D497702"/>
    <w:rsid w:val="0D4C4CD5"/>
    <w:rsid w:val="0D4D0917"/>
    <w:rsid w:val="0D4F4BD0"/>
    <w:rsid w:val="0D6B383E"/>
    <w:rsid w:val="0DC05F76"/>
    <w:rsid w:val="0DCE6ECC"/>
    <w:rsid w:val="0DCF62AA"/>
    <w:rsid w:val="0DDA18F2"/>
    <w:rsid w:val="0DF44E90"/>
    <w:rsid w:val="0DFF325E"/>
    <w:rsid w:val="0E0D6703"/>
    <w:rsid w:val="0E2014EB"/>
    <w:rsid w:val="0E5E5888"/>
    <w:rsid w:val="0E5F6979"/>
    <w:rsid w:val="0E6059EA"/>
    <w:rsid w:val="0E6F29A8"/>
    <w:rsid w:val="0E761D6B"/>
    <w:rsid w:val="0E801307"/>
    <w:rsid w:val="0E81073A"/>
    <w:rsid w:val="0EA55AF2"/>
    <w:rsid w:val="0EAD462B"/>
    <w:rsid w:val="0EB92CB3"/>
    <w:rsid w:val="0EC51947"/>
    <w:rsid w:val="0EC735DE"/>
    <w:rsid w:val="0ECA159A"/>
    <w:rsid w:val="0ED60D77"/>
    <w:rsid w:val="0EF654C7"/>
    <w:rsid w:val="0F093810"/>
    <w:rsid w:val="0F096081"/>
    <w:rsid w:val="0F134C17"/>
    <w:rsid w:val="0F135903"/>
    <w:rsid w:val="0F1C618A"/>
    <w:rsid w:val="0F215E7C"/>
    <w:rsid w:val="0F2714D3"/>
    <w:rsid w:val="0F2C735E"/>
    <w:rsid w:val="0F331ED6"/>
    <w:rsid w:val="0F342FBB"/>
    <w:rsid w:val="0F4539E1"/>
    <w:rsid w:val="0F531714"/>
    <w:rsid w:val="0F6A340F"/>
    <w:rsid w:val="0F946148"/>
    <w:rsid w:val="0FAE6C29"/>
    <w:rsid w:val="0FB07943"/>
    <w:rsid w:val="0FC113DF"/>
    <w:rsid w:val="0FD52407"/>
    <w:rsid w:val="0FF81218"/>
    <w:rsid w:val="100F21D5"/>
    <w:rsid w:val="101041EE"/>
    <w:rsid w:val="101D1C49"/>
    <w:rsid w:val="101F3920"/>
    <w:rsid w:val="102401DB"/>
    <w:rsid w:val="103E6DE4"/>
    <w:rsid w:val="104A2676"/>
    <w:rsid w:val="107033F1"/>
    <w:rsid w:val="10770836"/>
    <w:rsid w:val="108E7FFC"/>
    <w:rsid w:val="10944070"/>
    <w:rsid w:val="109A2636"/>
    <w:rsid w:val="10A17C81"/>
    <w:rsid w:val="10AE0000"/>
    <w:rsid w:val="10B120DF"/>
    <w:rsid w:val="10B1608A"/>
    <w:rsid w:val="10B86502"/>
    <w:rsid w:val="10C42839"/>
    <w:rsid w:val="10D03822"/>
    <w:rsid w:val="10D21313"/>
    <w:rsid w:val="10D26495"/>
    <w:rsid w:val="10D71D62"/>
    <w:rsid w:val="10F632CC"/>
    <w:rsid w:val="10F81858"/>
    <w:rsid w:val="10FF52BA"/>
    <w:rsid w:val="111641AE"/>
    <w:rsid w:val="11202500"/>
    <w:rsid w:val="1122342A"/>
    <w:rsid w:val="112315E8"/>
    <w:rsid w:val="112F78F5"/>
    <w:rsid w:val="11366ED6"/>
    <w:rsid w:val="11452CB5"/>
    <w:rsid w:val="114710E3"/>
    <w:rsid w:val="11561624"/>
    <w:rsid w:val="115E6C75"/>
    <w:rsid w:val="11626D52"/>
    <w:rsid w:val="11634DBB"/>
    <w:rsid w:val="11657E7D"/>
    <w:rsid w:val="11715E0D"/>
    <w:rsid w:val="11722E13"/>
    <w:rsid w:val="118F6DF7"/>
    <w:rsid w:val="11AD1BAD"/>
    <w:rsid w:val="11D11FA4"/>
    <w:rsid w:val="11E00A51"/>
    <w:rsid w:val="11E00C08"/>
    <w:rsid w:val="11E661D5"/>
    <w:rsid w:val="11EE4B0F"/>
    <w:rsid w:val="12006DBB"/>
    <w:rsid w:val="1206261B"/>
    <w:rsid w:val="120A6BB7"/>
    <w:rsid w:val="12110968"/>
    <w:rsid w:val="125D0B88"/>
    <w:rsid w:val="127074C0"/>
    <w:rsid w:val="1272532F"/>
    <w:rsid w:val="12911EC2"/>
    <w:rsid w:val="12931372"/>
    <w:rsid w:val="129C720C"/>
    <w:rsid w:val="12A055C5"/>
    <w:rsid w:val="12AA36D7"/>
    <w:rsid w:val="12B1556C"/>
    <w:rsid w:val="12B30582"/>
    <w:rsid w:val="12B733B1"/>
    <w:rsid w:val="12BC5380"/>
    <w:rsid w:val="12CB1C50"/>
    <w:rsid w:val="12CD78EA"/>
    <w:rsid w:val="12F36486"/>
    <w:rsid w:val="13040181"/>
    <w:rsid w:val="1312147E"/>
    <w:rsid w:val="131A38BD"/>
    <w:rsid w:val="13543DA3"/>
    <w:rsid w:val="135C78DA"/>
    <w:rsid w:val="13601A59"/>
    <w:rsid w:val="137434D1"/>
    <w:rsid w:val="138B7DD9"/>
    <w:rsid w:val="13A87557"/>
    <w:rsid w:val="13A943E8"/>
    <w:rsid w:val="13CD7B6D"/>
    <w:rsid w:val="13DE3ADB"/>
    <w:rsid w:val="13E037AA"/>
    <w:rsid w:val="13FC3201"/>
    <w:rsid w:val="140773D4"/>
    <w:rsid w:val="140E29C6"/>
    <w:rsid w:val="14105FD3"/>
    <w:rsid w:val="14211536"/>
    <w:rsid w:val="144811F1"/>
    <w:rsid w:val="1448764C"/>
    <w:rsid w:val="144D50DC"/>
    <w:rsid w:val="14533531"/>
    <w:rsid w:val="145C30F7"/>
    <w:rsid w:val="146D7F0A"/>
    <w:rsid w:val="14857505"/>
    <w:rsid w:val="149440FB"/>
    <w:rsid w:val="14997153"/>
    <w:rsid w:val="149A49F3"/>
    <w:rsid w:val="149D784D"/>
    <w:rsid w:val="149E3A04"/>
    <w:rsid w:val="14C727AB"/>
    <w:rsid w:val="14C851E7"/>
    <w:rsid w:val="14E0783A"/>
    <w:rsid w:val="14E4774F"/>
    <w:rsid w:val="14F614AD"/>
    <w:rsid w:val="1504560A"/>
    <w:rsid w:val="152206FC"/>
    <w:rsid w:val="15302144"/>
    <w:rsid w:val="153C3029"/>
    <w:rsid w:val="153E0844"/>
    <w:rsid w:val="154A73F4"/>
    <w:rsid w:val="15527B8A"/>
    <w:rsid w:val="1566713A"/>
    <w:rsid w:val="1572267E"/>
    <w:rsid w:val="157601E9"/>
    <w:rsid w:val="158874A6"/>
    <w:rsid w:val="15A660CD"/>
    <w:rsid w:val="15B3019E"/>
    <w:rsid w:val="15B65307"/>
    <w:rsid w:val="15C77776"/>
    <w:rsid w:val="15CB4C93"/>
    <w:rsid w:val="15CE08AA"/>
    <w:rsid w:val="15D22960"/>
    <w:rsid w:val="15D638CE"/>
    <w:rsid w:val="160E032B"/>
    <w:rsid w:val="161D2412"/>
    <w:rsid w:val="163C0AB5"/>
    <w:rsid w:val="16437522"/>
    <w:rsid w:val="16517324"/>
    <w:rsid w:val="165341F2"/>
    <w:rsid w:val="166340CE"/>
    <w:rsid w:val="166F04FD"/>
    <w:rsid w:val="16803B94"/>
    <w:rsid w:val="168C0034"/>
    <w:rsid w:val="168E7A0C"/>
    <w:rsid w:val="16C144C8"/>
    <w:rsid w:val="16C61E12"/>
    <w:rsid w:val="16CC7DBB"/>
    <w:rsid w:val="16D77F93"/>
    <w:rsid w:val="16E064DB"/>
    <w:rsid w:val="16E72A50"/>
    <w:rsid w:val="16EE16BD"/>
    <w:rsid w:val="16EF2E3A"/>
    <w:rsid w:val="17030AD8"/>
    <w:rsid w:val="17041799"/>
    <w:rsid w:val="171C2B59"/>
    <w:rsid w:val="17232664"/>
    <w:rsid w:val="17442509"/>
    <w:rsid w:val="1748005D"/>
    <w:rsid w:val="174A51A2"/>
    <w:rsid w:val="17604CAC"/>
    <w:rsid w:val="177053C3"/>
    <w:rsid w:val="177FD375"/>
    <w:rsid w:val="17876CD0"/>
    <w:rsid w:val="1788283E"/>
    <w:rsid w:val="178F0F60"/>
    <w:rsid w:val="179606CE"/>
    <w:rsid w:val="179E290E"/>
    <w:rsid w:val="179F4D87"/>
    <w:rsid w:val="17A64274"/>
    <w:rsid w:val="17B34674"/>
    <w:rsid w:val="17C61AD1"/>
    <w:rsid w:val="17D232BF"/>
    <w:rsid w:val="17D375B6"/>
    <w:rsid w:val="17DD277E"/>
    <w:rsid w:val="17E73201"/>
    <w:rsid w:val="17EF2B1B"/>
    <w:rsid w:val="181F726F"/>
    <w:rsid w:val="18216D0F"/>
    <w:rsid w:val="18224723"/>
    <w:rsid w:val="183277E2"/>
    <w:rsid w:val="188D4901"/>
    <w:rsid w:val="189B549E"/>
    <w:rsid w:val="18B33C77"/>
    <w:rsid w:val="18C60DBD"/>
    <w:rsid w:val="18C86834"/>
    <w:rsid w:val="18CD08D9"/>
    <w:rsid w:val="18ED5DC9"/>
    <w:rsid w:val="18F733EE"/>
    <w:rsid w:val="19075B18"/>
    <w:rsid w:val="190B3D10"/>
    <w:rsid w:val="190B7F7D"/>
    <w:rsid w:val="19394EDE"/>
    <w:rsid w:val="193E1003"/>
    <w:rsid w:val="193E2DCB"/>
    <w:rsid w:val="194D130C"/>
    <w:rsid w:val="195361D0"/>
    <w:rsid w:val="19674514"/>
    <w:rsid w:val="196F206E"/>
    <w:rsid w:val="197059E4"/>
    <w:rsid w:val="1987409A"/>
    <w:rsid w:val="19990490"/>
    <w:rsid w:val="19BD0C85"/>
    <w:rsid w:val="19BE1A65"/>
    <w:rsid w:val="19E51F79"/>
    <w:rsid w:val="19E61467"/>
    <w:rsid w:val="19E65492"/>
    <w:rsid w:val="19E775D4"/>
    <w:rsid w:val="19E8737C"/>
    <w:rsid w:val="19F36C56"/>
    <w:rsid w:val="19F76611"/>
    <w:rsid w:val="19FC76B8"/>
    <w:rsid w:val="1A021656"/>
    <w:rsid w:val="1A0D3748"/>
    <w:rsid w:val="1A0E5448"/>
    <w:rsid w:val="1A125F64"/>
    <w:rsid w:val="1A2D7385"/>
    <w:rsid w:val="1A2E015E"/>
    <w:rsid w:val="1A300C7C"/>
    <w:rsid w:val="1A655454"/>
    <w:rsid w:val="1A714EBB"/>
    <w:rsid w:val="1A762F9F"/>
    <w:rsid w:val="1A773C93"/>
    <w:rsid w:val="1A7B6F3F"/>
    <w:rsid w:val="1A9112D4"/>
    <w:rsid w:val="1A9950C0"/>
    <w:rsid w:val="1AAA66EF"/>
    <w:rsid w:val="1AAE3F81"/>
    <w:rsid w:val="1AF776D6"/>
    <w:rsid w:val="1AFA767D"/>
    <w:rsid w:val="1AFD3DEC"/>
    <w:rsid w:val="1B2A1A0D"/>
    <w:rsid w:val="1B2E6D23"/>
    <w:rsid w:val="1B3368C7"/>
    <w:rsid w:val="1B374E54"/>
    <w:rsid w:val="1B3B1E5A"/>
    <w:rsid w:val="1B3D45A9"/>
    <w:rsid w:val="1B4733D8"/>
    <w:rsid w:val="1B492D43"/>
    <w:rsid w:val="1B580BC5"/>
    <w:rsid w:val="1B6524AD"/>
    <w:rsid w:val="1B76740A"/>
    <w:rsid w:val="1B7D0C4E"/>
    <w:rsid w:val="1B8B3B2B"/>
    <w:rsid w:val="1B8C22EB"/>
    <w:rsid w:val="1B9B02D2"/>
    <w:rsid w:val="1BA671BC"/>
    <w:rsid w:val="1BB74594"/>
    <w:rsid w:val="1BC91A90"/>
    <w:rsid w:val="1BCC7296"/>
    <w:rsid w:val="1BD6553D"/>
    <w:rsid w:val="1BDA28D3"/>
    <w:rsid w:val="1BDE43F2"/>
    <w:rsid w:val="1BF437C1"/>
    <w:rsid w:val="1BFA6858"/>
    <w:rsid w:val="1C0F16CA"/>
    <w:rsid w:val="1C164A7C"/>
    <w:rsid w:val="1C17224D"/>
    <w:rsid w:val="1C1C6278"/>
    <w:rsid w:val="1C2E6081"/>
    <w:rsid w:val="1C357D70"/>
    <w:rsid w:val="1C3C56D8"/>
    <w:rsid w:val="1C422BD3"/>
    <w:rsid w:val="1C4A221A"/>
    <w:rsid w:val="1C532736"/>
    <w:rsid w:val="1C7422E4"/>
    <w:rsid w:val="1C7E76C1"/>
    <w:rsid w:val="1C854AE9"/>
    <w:rsid w:val="1C8762D7"/>
    <w:rsid w:val="1CC8493F"/>
    <w:rsid w:val="1CD24EA7"/>
    <w:rsid w:val="1CDA08CC"/>
    <w:rsid w:val="1D0B3F08"/>
    <w:rsid w:val="1D1603E8"/>
    <w:rsid w:val="1D1F06CB"/>
    <w:rsid w:val="1D430CC6"/>
    <w:rsid w:val="1D4F217A"/>
    <w:rsid w:val="1D582BED"/>
    <w:rsid w:val="1D681626"/>
    <w:rsid w:val="1D6F5C49"/>
    <w:rsid w:val="1D831014"/>
    <w:rsid w:val="1D8D0AC8"/>
    <w:rsid w:val="1D9142A8"/>
    <w:rsid w:val="1DB374A1"/>
    <w:rsid w:val="1DB46C4D"/>
    <w:rsid w:val="1DB54D6C"/>
    <w:rsid w:val="1DBF15FD"/>
    <w:rsid w:val="1DE967DB"/>
    <w:rsid w:val="1DED0080"/>
    <w:rsid w:val="1DF23250"/>
    <w:rsid w:val="1E0C6E2B"/>
    <w:rsid w:val="1E0F3C0F"/>
    <w:rsid w:val="1E1313CD"/>
    <w:rsid w:val="1E1663D5"/>
    <w:rsid w:val="1E190770"/>
    <w:rsid w:val="1E191399"/>
    <w:rsid w:val="1E267562"/>
    <w:rsid w:val="1E344566"/>
    <w:rsid w:val="1E3558B7"/>
    <w:rsid w:val="1E492244"/>
    <w:rsid w:val="1E6C03DB"/>
    <w:rsid w:val="1E7706EB"/>
    <w:rsid w:val="1E8B44E7"/>
    <w:rsid w:val="1E8F5A96"/>
    <w:rsid w:val="1E94668D"/>
    <w:rsid w:val="1E953556"/>
    <w:rsid w:val="1E9A6B7D"/>
    <w:rsid w:val="1E9B7045"/>
    <w:rsid w:val="1EBA5D97"/>
    <w:rsid w:val="1ED2229C"/>
    <w:rsid w:val="1EE41A96"/>
    <w:rsid w:val="1EEE5B8D"/>
    <w:rsid w:val="1F070103"/>
    <w:rsid w:val="1F0B1F8B"/>
    <w:rsid w:val="1F1D62B0"/>
    <w:rsid w:val="1F270BA4"/>
    <w:rsid w:val="1F27503B"/>
    <w:rsid w:val="1F2D649A"/>
    <w:rsid w:val="1F3C4E81"/>
    <w:rsid w:val="1F507265"/>
    <w:rsid w:val="1F526B25"/>
    <w:rsid w:val="1F5B41D2"/>
    <w:rsid w:val="1F5F3C25"/>
    <w:rsid w:val="1F70670D"/>
    <w:rsid w:val="1F761FA5"/>
    <w:rsid w:val="1F7F7DA4"/>
    <w:rsid w:val="1F896D6A"/>
    <w:rsid w:val="1F8C51B1"/>
    <w:rsid w:val="1F9D0A1D"/>
    <w:rsid w:val="1FB71411"/>
    <w:rsid w:val="1FB76A7B"/>
    <w:rsid w:val="1FC65F76"/>
    <w:rsid w:val="1FCD6C57"/>
    <w:rsid w:val="1FD146BF"/>
    <w:rsid w:val="1FD41516"/>
    <w:rsid w:val="1FD675D6"/>
    <w:rsid w:val="1FD729EC"/>
    <w:rsid w:val="1FDA0047"/>
    <w:rsid w:val="1FF6311B"/>
    <w:rsid w:val="1FFF4B58"/>
    <w:rsid w:val="2003121A"/>
    <w:rsid w:val="200B7D0A"/>
    <w:rsid w:val="200C3F53"/>
    <w:rsid w:val="203908F5"/>
    <w:rsid w:val="203C5676"/>
    <w:rsid w:val="2045477F"/>
    <w:rsid w:val="2055052D"/>
    <w:rsid w:val="205A3711"/>
    <w:rsid w:val="205E4C0B"/>
    <w:rsid w:val="206E6BA0"/>
    <w:rsid w:val="2075762A"/>
    <w:rsid w:val="207A3371"/>
    <w:rsid w:val="20823833"/>
    <w:rsid w:val="20841C37"/>
    <w:rsid w:val="2091377F"/>
    <w:rsid w:val="209B483A"/>
    <w:rsid w:val="20AB1E65"/>
    <w:rsid w:val="20BF6082"/>
    <w:rsid w:val="20C24011"/>
    <w:rsid w:val="20C44526"/>
    <w:rsid w:val="20CC1BC4"/>
    <w:rsid w:val="20E11EE9"/>
    <w:rsid w:val="20E55D5C"/>
    <w:rsid w:val="20F55C7A"/>
    <w:rsid w:val="210963B5"/>
    <w:rsid w:val="21184DEE"/>
    <w:rsid w:val="21283157"/>
    <w:rsid w:val="212D6C51"/>
    <w:rsid w:val="214E7335"/>
    <w:rsid w:val="215157F5"/>
    <w:rsid w:val="215B6921"/>
    <w:rsid w:val="215D3947"/>
    <w:rsid w:val="21620BAD"/>
    <w:rsid w:val="21651F7A"/>
    <w:rsid w:val="21684575"/>
    <w:rsid w:val="21753B77"/>
    <w:rsid w:val="217A2DF0"/>
    <w:rsid w:val="217F7FD7"/>
    <w:rsid w:val="218B7EF1"/>
    <w:rsid w:val="218E3522"/>
    <w:rsid w:val="21982C9F"/>
    <w:rsid w:val="219F5F73"/>
    <w:rsid w:val="219F6BCC"/>
    <w:rsid w:val="21AC7538"/>
    <w:rsid w:val="21D2339C"/>
    <w:rsid w:val="21D30ECE"/>
    <w:rsid w:val="21D92375"/>
    <w:rsid w:val="21F43277"/>
    <w:rsid w:val="2203450A"/>
    <w:rsid w:val="220C2F4B"/>
    <w:rsid w:val="22305A97"/>
    <w:rsid w:val="2231195F"/>
    <w:rsid w:val="22354FDE"/>
    <w:rsid w:val="223B63B8"/>
    <w:rsid w:val="225C687B"/>
    <w:rsid w:val="225E1EDA"/>
    <w:rsid w:val="226F0472"/>
    <w:rsid w:val="227635D6"/>
    <w:rsid w:val="22776118"/>
    <w:rsid w:val="227B35E0"/>
    <w:rsid w:val="227C5BDC"/>
    <w:rsid w:val="227E6701"/>
    <w:rsid w:val="22901986"/>
    <w:rsid w:val="229715E8"/>
    <w:rsid w:val="22AB739B"/>
    <w:rsid w:val="22B15FD8"/>
    <w:rsid w:val="22C97BAA"/>
    <w:rsid w:val="22D109F9"/>
    <w:rsid w:val="22DD1912"/>
    <w:rsid w:val="22ED3B32"/>
    <w:rsid w:val="230A6CC5"/>
    <w:rsid w:val="232170C4"/>
    <w:rsid w:val="232F124C"/>
    <w:rsid w:val="234B340B"/>
    <w:rsid w:val="2354394C"/>
    <w:rsid w:val="23671171"/>
    <w:rsid w:val="23787605"/>
    <w:rsid w:val="238D221C"/>
    <w:rsid w:val="23924856"/>
    <w:rsid w:val="23A72744"/>
    <w:rsid w:val="23B83B1F"/>
    <w:rsid w:val="23C00EB0"/>
    <w:rsid w:val="23D8532B"/>
    <w:rsid w:val="23DE7605"/>
    <w:rsid w:val="23E83F57"/>
    <w:rsid w:val="23E94B2F"/>
    <w:rsid w:val="24182BFF"/>
    <w:rsid w:val="24196675"/>
    <w:rsid w:val="24263177"/>
    <w:rsid w:val="2454245A"/>
    <w:rsid w:val="246C578A"/>
    <w:rsid w:val="24820617"/>
    <w:rsid w:val="248C5663"/>
    <w:rsid w:val="248D66D2"/>
    <w:rsid w:val="24AA3A2C"/>
    <w:rsid w:val="24C15008"/>
    <w:rsid w:val="24C51146"/>
    <w:rsid w:val="24E566E5"/>
    <w:rsid w:val="24EE641F"/>
    <w:rsid w:val="24FF24E1"/>
    <w:rsid w:val="251F4DBC"/>
    <w:rsid w:val="252E1975"/>
    <w:rsid w:val="254C7371"/>
    <w:rsid w:val="255D295A"/>
    <w:rsid w:val="256F447D"/>
    <w:rsid w:val="257F3613"/>
    <w:rsid w:val="25B32729"/>
    <w:rsid w:val="25CC1D56"/>
    <w:rsid w:val="25E42F4C"/>
    <w:rsid w:val="25EC6F45"/>
    <w:rsid w:val="25FD7217"/>
    <w:rsid w:val="26005C2C"/>
    <w:rsid w:val="2605498B"/>
    <w:rsid w:val="26101B67"/>
    <w:rsid w:val="261049D5"/>
    <w:rsid w:val="262E45AD"/>
    <w:rsid w:val="2646695C"/>
    <w:rsid w:val="2666570F"/>
    <w:rsid w:val="2671448E"/>
    <w:rsid w:val="26B95AA2"/>
    <w:rsid w:val="26BE08C7"/>
    <w:rsid w:val="26C9270E"/>
    <w:rsid w:val="26DC2A70"/>
    <w:rsid w:val="26EB74F8"/>
    <w:rsid w:val="27055051"/>
    <w:rsid w:val="271B2617"/>
    <w:rsid w:val="27257379"/>
    <w:rsid w:val="272A6D0C"/>
    <w:rsid w:val="27373A8D"/>
    <w:rsid w:val="273D46C2"/>
    <w:rsid w:val="27402CF7"/>
    <w:rsid w:val="27472BB1"/>
    <w:rsid w:val="27626FBE"/>
    <w:rsid w:val="276407D6"/>
    <w:rsid w:val="276B7710"/>
    <w:rsid w:val="277E4FB4"/>
    <w:rsid w:val="278573C2"/>
    <w:rsid w:val="27912C60"/>
    <w:rsid w:val="27A14534"/>
    <w:rsid w:val="27B12F36"/>
    <w:rsid w:val="27B7271B"/>
    <w:rsid w:val="27B9640C"/>
    <w:rsid w:val="27BE0333"/>
    <w:rsid w:val="27D42737"/>
    <w:rsid w:val="27F11292"/>
    <w:rsid w:val="27F267AB"/>
    <w:rsid w:val="28000F74"/>
    <w:rsid w:val="28046230"/>
    <w:rsid w:val="280D0308"/>
    <w:rsid w:val="280E776F"/>
    <w:rsid w:val="280F3FB0"/>
    <w:rsid w:val="28131195"/>
    <w:rsid w:val="281B7484"/>
    <w:rsid w:val="28330467"/>
    <w:rsid w:val="28335AC5"/>
    <w:rsid w:val="28341F69"/>
    <w:rsid w:val="28394A8F"/>
    <w:rsid w:val="283E70E5"/>
    <w:rsid w:val="28431D69"/>
    <w:rsid w:val="28445F24"/>
    <w:rsid w:val="285E0D94"/>
    <w:rsid w:val="2860153F"/>
    <w:rsid w:val="286619EE"/>
    <w:rsid w:val="28782A51"/>
    <w:rsid w:val="287F7B1F"/>
    <w:rsid w:val="288D75E2"/>
    <w:rsid w:val="288E4FB8"/>
    <w:rsid w:val="28991A9B"/>
    <w:rsid w:val="289F74C0"/>
    <w:rsid w:val="28A1597A"/>
    <w:rsid w:val="28A15AB9"/>
    <w:rsid w:val="28AC4816"/>
    <w:rsid w:val="28BB16C4"/>
    <w:rsid w:val="28CA5D26"/>
    <w:rsid w:val="29207EDB"/>
    <w:rsid w:val="29253B65"/>
    <w:rsid w:val="292B25FD"/>
    <w:rsid w:val="292E01B0"/>
    <w:rsid w:val="293D6BFB"/>
    <w:rsid w:val="293E4722"/>
    <w:rsid w:val="2944442E"/>
    <w:rsid w:val="294B469C"/>
    <w:rsid w:val="29554335"/>
    <w:rsid w:val="296A3769"/>
    <w:rsid w:val="29762E75"/>
    <w:rsid w:val="2984597C"/>
    <w:rsid w:val="298D6698"/>
    <w:rsid w:val="29904F16"/>
    <w:rsid w:val="299319D6"/>
    <w:rsid w:val="29A278B0"/>
    <w:rsid w:val="29A9200F"/>
    <w:rsid w:val="29AE48D0"/>
    <w:rsid w:val="29BE432C"/>
    <w:rsid w:val="29D545B6"/>
    <w:rsid w:val="29E4533C"/>
    <w:rsid w:val="29E64F1E"/>
    <w:rsid w:val="29F366A9"/>
    <w:rsid w:val="2A146AF2"/>
    <w:rsid w:val="2A163C98"/>
    <w:rsid w:val="2A183BA7"/>
    <w:rsid w:val="2A1C0F07"/>
    <w:rsid w:val="2A1E4015"/>
    <w:rsid w:val="2A1F28A6"/>
    <w:rsid w:val="2A281B8D"/>
    <w:rsid w:val="2A2D06A0"/>
    <w:rsid w:val="2A4D032B"/>
    <w:rsid w:val="2A562D15"/>
    <w:rsid w:val="2A5A425F"/>
    <w:rsid w:val="2A606A2C"/>
    <w:rsid w:val="2A640C1B"/>
    <w:rsid w:val="2A763ACC"/>
    <w:rsid w:val="2A8173B3"/>
    <w:rsid w:val="2A8B1BE9"/>
    <w:rsid w:val="2A9B3FB2"/>
    <w:rsid w:val="2A9D5A47"/>
    <w:rsid w:val="2AAF6AC3"/>
    <w:rsid w:val="2ABC7703"/>
    <w:rsid w:val="2ABD3338"/>
    <w:rsid w:val="2AC018EC"/>
    <w:rsid w:val="2AC346EF"/>
    <w:rsid w:val="2AD47103"/>
    <w:rsid w:val="2AF9449E"/>
    <w:rsid w:val="2AFD1AD7"/>
    <w:rsid w:val="2B0A27F9"/>
    <w:rsid w:val="2B231E21"/>
    <w:rsid w:val="2B2879DB"/>
    <w:rsid w:val="2B2960E4"/>
    <w:rsid w:val="2B2D1E2A"/>
    <w:rsid w:val="2B3B2B82"/>
    <w:rsid w:val="2B4218D0"/>
    <w:rsid w:val="2B5F237D"/>
    <w:rsid w:val="2B6424BF"/>
    <w:rsid w:val="2B743716"/>
    <w:rsid w:val="2B8B1B90"/>
    <w:rsid w:val="2BAC5CC6"/>
    <w:rsid w:val="2BAD1B8D"/>
    <w:rsid w:val="2BB95DE5"/>
    <w:rsid w:val="2BC23DEE"/>
    <w:rsid w:val="2BE62ECD"/>
    <w:rsid w:val="2BE9306B"/>
    <w:rsid w:val="2C132AF8"/>
    <w:rsid w:val="2C16268D"/>
    <w:rsid w:val="2C2027B1"/>
    <w:rsid w:val="2C251EB6"/>
    <w:rsid w:val="2C2604DA"/>
    <w:rsid w:val="2C2E52D9"/>
    <w:rsid w:val="2C2F0835"/>
    <w:rsid w:val="2C326522"/>
    <w:rsid w:val="2C386A3F"/>
    <w:rsid w:val="2C4E5B4C"/>
    <w:rsid w:val="2C5C4581"/>
    <w:rsid w:val="2C613C58"/>
    <w:rsid w:val="2C685590"/>
    <w:rsid w:val="2C6941AB"/>
    <w:rsid w:val="2C784752"/>
    <w:rsid w:val="2C8613D7"/>
    <w:rsid w:val="2C9E4558"/>
    <w:rsid w:val="2CB174AE"/>
    <w:rsid w:val="2CB85226"/>
    <w:rsid w:val="2CBC26EC"/>
    <w:rsid w:val="2CC44C77"/>
    <w:rsid w:val="2CE67001"/>
    <w:rsid w:val="2D005162"/>
    <w:rsid w:val="2D6329A9"/>
    <w:rsid w:val="2D635E83"/>
    <w:rsid w:val="2D6F4F99"/>
    <w:rsid w:val="2D71156A"/>
    <w:rsid w:val="2D726292"/>
    <w:rsid w:val="2D793B6F"/>
    <w:rsid w:val="2D8C04FB"/>
    <w:rsid w:val="2D924AB5"/>
    <w:rsid w:val="2DA65655"/>
    <w:rsid w:val="2DC237E4"/>
    <w:rsid w:val="2DEA112B"/>
    <w:rsid w:val="2DEE38FD"/>
    <w:rsid w:val="2DF97CB5"/>
    <w:rsid w:val="2DFE2F94"/>
    <w:rsid w:val="2E1015F3"/>
    <w:rsid w:val="2E176B48"/>
    <w:rsid w:val="2E1E446D"/>
    <w:rsid w:val="2E20285F"/>
    <w:rsid w:val="2E530256"/>
    <w:rsid w:val="2E734E6D"/>
    <w:rsid w:val="2E7E0421"/>
    <w:rsid w:val="2E8756C3"/>
    <w:rsid w:val="2E8A1863"/>
    <w:rsid w:val="2E8F44F5"/>
    <w:rsid w:val="2E9120A7"/>
    <w:rsid w:val="2EA10D8E"/>
    <w:rsid w:val="2EA3331A"/>
    <w:rsid w:val="2EC11768"/>
    <w:rsid w:val="2EC70870"/>
    <w:rsid w:val="2EC742E3"/>
    <w:rsid w:val="2EE61AE3"/>
    <w:rsid w:val="2F087CAC"/>
    <w:rsid w:val="2F0D53C1"/>
    <w:rsid w:val="2F1523C9"/>
    <w:rsid w:val="2F3411E5"/>
    <w:rsid w:val="2F3564F0"/>
    <w:rsid w:val="2F3C7DD0"/>
    <w:rsid w:val="2F430574"/>
    <w:rsid w:val="2F6D32DE"/>
    <w:rsid w:val="2F7A5CF1"/>
    <w:rsid w:val="2F96104D"/>
    <w:rsid w:val="2F986E9A"/>
    <w:rsid w:val="2F992C8A"/>
    <w:rsid w:val="2FA0294C"/>
    <w:rsid w:val="2FA62DD9"/>
    <w:rsid w:val="2FDE2AA1"/>
    <w:rsid w:val="2FDF26E5"/>
    <w:rsid w:val="2FEF5336"/>
    <w:rsid w:val="300C460F"/>
    <w:rsid w:val="302E3BE5"/>
    <w:rsid w:val="30305190"/>
    <w:rsid w:val="303D059D"/>
    <w:rsid w:val="303E2A51"/>
    <w:rsid w:val="303E4DC8"/>
    <w:rsid w:val="30464D54"/>
    <w:rsid w:val="30561BB4"/>
    <w:rsid w:val="30586C8C"/>
    <w:rsid w:val="3062519A"/>
    <w:rsid w:val="30853F63"/>
    <w:rsid w:val="30C15E3C"/>
    <w:rsid w:val="30CF7334"/>
    <w:rsid w:val="30DB4AA3"/>
    <w:rsid w:val="30DC48C3"/>
    <w:rsid w:val="30E24E48"/>
    <w:rsid w:val="30F47CD6"/>
    <w:rsid w:val="310378F7"/>
    <w:rsid w:val="31062F07"/>
    <w:rsid w:val="313A4308"/>
    <w:rsid w:val="315A6954"/>
    <w:rsid w:val="31631A9E"/>
    <w:rsid w:val="316E7332"/>
    <w:rsid w:val="31796C3F"/>
    <w:rsid w:val="3181054F"/>
    <w:rsid w:val="31875011"/>
    <w:rsid w:val="319322A2"/>
    <w:rsid w:val="319B5923"/>
    <w:rsid w:val="31AB7FCF"/>
    <w:rsid w:val="31BA72A3"/>
    <w:rsid w:val="31C74305"/>
    <w:rsid w:val="31C82547"/>
    <w:rsid w:val="31CB12FB"/>
    <w:rsid w:val="31D71BB7"/>
    <w:rsid w:val="31EB6A59"/>
    <w:rsid w:val="3206531B"/>
    <w:rsid w:val="320E7B8D"/>
    <w:rsid w:val="32221B07"/>
    <w:rsid w:val="322B53CB"/>
    <w:rsid w:val="325A4F5B"/>
    <w:rsid w:val="32747C7A"/>
    <w:rsid w:val="327B2416"/>
    <w:rsid w:val="32805A9D"/>
    <w:rsid w:val="32875BAD"/>
    <w:rsid w:val="32884610"/>
    <w:rsid w:val="32BA2A93"/>
    <w:rsid w:val="32BD20A3"/>
    <w:rsid w:val="32BD5F2E"/>
    <w:rsid w:val="32C53F10"/>
    <w:rsid w:val="32D72D31"/>
    <w:rsid w:val="32EF0E7D"/>
    <w:rsid w:val="32F838FA"/>
    <w:rsid w:val="330B6C99"/>
    <w:rsid w:val="33255D2B"/>
    <w:rsid w:val="332B15DD"/>
    <w:rsid w:val="332F00A8"/>
    <w:rsid w:val="33407CA3"/>
    <w:rsid w:val="33503AE8"/>
    <w:rsid w:val="335C2374"/>
    <w:rsid w:val="338872C8"/>
    <w:rsid w:val="3399598B"/>
    <w:rsid w:val="339F79E7"/>
    <w:rsid w:val="33A8308D"/>
    <w:rsid w:val="33AE6C49"/>
    <w:rsid w:val="33B06972"/>
    <w:rsid w:val="33B5029E"/>
    <w:rsid w:val="33B858C3"/>
    <w:rsid w:val="33BA3E21"/>
    <w:rsid w:val="33ED56C2"/>
    <w:rsid w:val="342B453F"/>
    <w:rsid w:val="34397D75"/>
    <w:rsid w:val="34563267"/>
    <w:rsid w:val="34613B01"/>
    <w:rsid w:val="346C2A8B"/>
    <w:rsid w:val="34824507"/>
    <w:rsid w:val="349B4AE3"/>
    <w:rsid w:val="349E5F89"/>
    <w:rsid w:val="34A26C0A"/>
    <w:rsid w:val="34A369C8"/>
    <w:rsid w:val="34DC033C"/>
    <w:rsid w:val="350B7E8A"/>
    <w:rsid w:val="351261A2"/>
    <w:rsid w:val="3514689C"/>
    <w:rsid w:val="351C7B3E"/>
    <w:rsid w:val="352203F9"/>
    <w:rsid w:val="35220D00"/>
    <w:rsid w:val="35260E8C"/>
    <w:rsid w:val="353F4081"/>
    <w:rsid w:val="355B3730"/>
    <w:rsid w:val="3570062C"/>
    <w:rsid w:val="357010EF"/>
    <w:rsid w:val="359634F6"/>
    <w:rsid w:val="35977F67"/>
    <w:rsid w:val="35B0041B"/>
    <w:rsid w:val="35B7264A"/>
    <w:rsid w:val="35EC499B"/>
    <w:rsid w:val="35FB0F36"/>
    <w:rsid w:val="36106C96"/>
    <w:rsid w:val="362C000C"/>
    <w:rsid w:val="362D1DA6"/>
    <w:rsid w:val="36381800"/>
    <w:rsid w:val="363E2D0F"/>
    <w:rsid w:val="364D069A"/>
    <w:rsid w:val="3656754F"/>
    <w:rsid w:val="366754AB"/>
    <w:rsid w:val="366E4EA6"/>
    <w:rsid w:val="36700C56"/>
    <w:rsid w:val="367A597D"/>
    <w:rsid w:val="36845B5B"/>
    <w:rsid w:val="369167D9"/>
    <w:rsid w:val="36947600"/>
    <w:rsid w:val="36A449B6"/>
    <w:rsid w:val="36AB2205"/>
    <w:rsid w:val="36AD60F2"/>
    <w:rsid w:val="36B976AD"/>
    <w:rsid w:val="36C17AB6"/>
    <w:rsid w:val="36C824EF"/>
    <w:rsid w:val="36C85B15"/>
    <w:rsid w:val="36DB0D52"/>
    <w:rsid w:val="36F62AE0"/>
    <w:rsid w:val="36F7094F"/>
    <w:rsid w:val="370B2FEE"/>
    <w:rsid w:val="37155C4B"/>
    <w:rsid w:val="37176F9E"/>
    <w:rsid w:val="371D79A8"/>
    <w:rsid w:val="372C2941"/>
    <w:rsid w:val="374C3061"/>
    <w:rsid w:val="374C5906"/>
    <w:rsid w:val="375146E3"/>
    <w:rsid w:val="375B5517"/>
    <w:rsid w:val="375D490D"/>
    <w:rsid w:val="37630F33"/>
    <w:rsid w:val="37821BC9"/>
    <w:rsid w:val="379E46E2"/>
    <w:rsid w:val="37A0663F"/>
    <w:rsid w:val="37A96283"/>
    <w:rsid w:val="37B63F09"/>
    <w:rsid w:val="37B67541"/>
    <w:rsid w:val="37C3288E"/>
    <w:rsid w:val="37E05C50"/>
    <w:rsid w:val="37E312B6"/>
    <w:rsid w:val="37EC44FC"/>
    <w:rsid w:val="37F9792D"/>
    <w:rsid w:val="380A2888"/>
    <w:rsid w:val="381A1DE3"/>
    <w:rsid w:val="382B0746"/>
    <w:rsid w:val="382C5349"/>
    <w:rsid w:val="382D3AE9"/>
    <w:rsid w:val="383F4CF0"/>
    <w:rsid w:val="384D44B9"/>
    <w:rsid w:val="3856621D"/>
    <w:rsid w:val="38657F1D"/>
    <w:rsid w:val="386A46AA"/>
    <w:rsid w:val="387737AC"/>
    <w:rsid w:val="38786D8D"/>
    <w:rsid w:val="38792840"/>
    <w:rsid w:val="38A547BD"/>
    <w:rsid w:val="38A64890"/>
    <w:rsid w:val="38B04595"/>
    <w:rsid w:val="38B354C8"/>
    <w:rsid w:val="38B35FBD"/>
    <w:rsid w:val="38BA5017"/>
    <w:rsid w:val="38BE742F"/>
    <w:rsid w:val="38C83236"/>
    <w:rsid w:val="38D34341"/>
    <w:rsid w:val="38D640F7"/>
    <w:rsid w:val="38D729A7"/>
    <w:rsid w:val="38F455E4"/>
    <w:rsid w:val="39046FF4"/>
    <w:rsid w:val="391304BA"/>
    <w:rsid w:val="3937426A"/>
    <w:rsid w:val="3945186D"/>
    <w:rsid w:val="396A3260"/>
    <w:rsid w:val="39723957"/>
    <w:rsid w:val="3978158A"/>
    <w:rsid w:val="398105CE"/>
    <w:rsid w:val="39882D26"/>
    <w:rsid w:val="398A0125"/>
    <w:rsid w:val="39A05D15"/>
    <w:rsid w:val="39A854F6"/>
    <w:rsid w:val="39A97001"/>
    <w:rsid w:val="39AC09B7"/>
    <w:rsid w:val="39B10BCF"/>
    <w:rsid w:val="39BC1FA9"/>
    <w:rsid w:val="39C91AD3"/>
    <w:rsid w:val="39DC5416"/>
    <w:rsid w:val="39F25EBE"/>
    <w:rsid w:val="39F5320A"/>
    <w:rsid w:val="3A26548A"/>
    <w:rsid w:val="3A286293"/>
    <w:rsid w:val="3A411442"/>
    <w:rsid w:val="3A4B0ACA"/>
    <w:rsid w:val="3A504155"/>
    <w:rsid w:val="3A585CA7"/>
    <w:rsid w:val="3A5E1EB8"/>
    <w:rsid w:val="3A63793D"/>
    <w:rsid w:val="3A6512F1"/>
    <w:rsid w:val="3A6840EB"/>
    <w:rsid w:val="3A6B1D61"/>
    <w:rsid w:val="3A705C9F"/>
    <w:rsid w:val="3A757954"/>
    <w:rsid w:val="3A9C773C"/>
    <w:rsid w:val="3AAE7F93"/>
    <w:rsid w:val="3AB4509A"/>
    <w:rsid w:val="3AD06313"/>
    <w:rsid w:val="3AD8199F"/>
    <w:rsid w:val="3ADF0138"/>
    <w:rsid w:val="3AE72E6B"/>
    <w:rsid w:val="3B0F034C"/>
    <w:rsid w:val="3B1B30D7"/>
    <w:rsid w:val="3B287081"/>
    <w:rsid w:val="3B3B1059"/>
    <w:rsid w:val="3B4C1C36"/>
    <w:rsid w:val="3B5F3985"/>
    <w:rsid w:val="3B7C1D5E"/>
    <w:rsid w:val="3B866B4F"/>
    <w:rsid w:val="3B8D2701"/>
    <w:rsid w:val="3BA567E8"/>
    <w:rsid w:val="3BAD5F4A"/>
    <w:rsid w:val="3BB53351"/>
    <w:rsid w:val="3BBC5257"/>
    <w:rsid w:val="3BBE44CD"/>
    <w:rsid w:val="3BE57C6E"/>
    <w:rsid w:val="3BE6059C"/>
    <w:rsid w:val="3BEF01DF"/>
    <w:rsid w:val="3BF5127C"/>
    <w:rsid w:val="3C067BF0"/>
    <w:rsid w:val="3C0F59C5"/>
    <w:rsid w:val="3C1E28BD"/>
    <w:rsid w:val="3C5C4A6B"/>
    <w:rsid w:val="3C5D4D3B"/>
    <w:rsid w:val="3C7878F3"/>
    <w:rsid w:val="3C7C37C3"/>
    <w:rsid w:val="3C9F5631"/>
    <w:rsid w:val="3CA56B3A"/>
    <w:rsid w:val="3CA778F3"/>
    <w:rsid w:val="3CB878F5"/>
    <w:rsid w:val="3CCE1BAA"/>
    <w:rsid w:val="3CCF0BB6"/>
    <w:rsid w:val="3CD139F2"/>
    <w:rsid w:val="3CD80035"/>
    <w:rsid w:val="3CEC62CC"/>
    <w:rsid w:val="3D001BCB"/>
    <w:rsid w:val="3D015D3A"/>
    <w:rsid w:val="3D0652C5"/>
    <w:rsid w:val="3D134229"/>
    <w:rsid w:val="3D203468"/>
    <w:rsid w:val="3D207BCE"/>
    <w:rsid w:val="3D220616"/>
    <w:rsid w:val="3D275F85"/>
    <w:rsid w:val="3D276128"/>
    <w:rsid w:val="3D2D0B26"/>
    <w:rsid w:val="3D303437"/>
    <w:rsid w:val="3D323F72"/>
    <w:rsid w:val="3D394F64"/>
    <w:rsid w:val="3D3F7628"/>
    <w:rsid w:val="3D4162D8"/>
    <w:rsid w:val="3D4836F3"/>
    <w:rsid w:val="3D4B077A"/>
    <w:rsid w:val="3D57074F"/>
    <w:rsid w:val="3D5746D1"/>
    <w:rsid w:val="3D5D5FB0"/>
    <w:rsid w:val="3D73635D"/>
    <w:rsid w:val="3D766B1E"/>
    <w:rsid w:val="3D883CCA"/>
    <w:rsid w:val="3D8F18DA"/>
    <w:rsid w:val="3DA256A9"/>
    <w:rsid w:val="3DA44DBF"/>
    <w:rsid w:val="3DAE5E5B"/>
    <w:rsid w:val="3DB66C6B"/>
    <w:rsid w:val="3DB74344"/>
    <w:rsid w:val="3DB76E56"/>
    <w:rsid w:val="3DBD33E2"/>
    <w:rsid w:val="3DCC39DD"/>
    <w:rsid w:val="3DCF0C95"/>
    <w:rsid w:val="3DE412BD"/>
    <w:rsid w:val="3DEC5943"/>
    <w:rsid w:val="3DF80EEB"/>
    <w:rsid w:val="3DFC04FF"/>
    <w:rsid w:val="3E1776BF"/>
    <w:rsid w:val="3E215D43"/>
    <w:rsid w:val="3E287B32"/>
    <w:rsid w:val="3E297F69"/>
    <w:rsid w:val="3E3C6212"/>
    <w:rsid w:val="3E523345"/>
    <w:rsid w:val="3E5F540E"/>
    <w:rsid w:val="3E6D1F17"/>
    <w:rsid w:val="3E852853"/>
    <w:rsid w:val="3E990920"/>
    <w:rsid w:val="3E9C6AB4"/>
    <w:rsid w:val="3EC32EDD"/>
    <w:rsid w:val="3EC936B5"/>
    <w:rsid w:val="3EE57A31"/>
    <w:rsid w:val="3EF06066"/>
    <w:rsid w:val="3EF7107A"/>
    <w:rsid w:val="3F0A5CA7"/>
    <w:rsid w:val="3F1E7077"/>
    <w:rsid w:val="3F220CCA"/>
    <w:rsid w:val="3F2C07EA"/>
    <w:rsid w:val="3F2F2F4A"/>
    <w:rsid w:val="3F37769A"/>
    <w:rsid w:val="3F3A610B"/>
    <w:rsid w:val="3F4F218A"/>
    <w:rsid w:val="3F575509"/>
    <w:rsid w:val="3F5D7569"/>
    <w:rsid w:val="3F694E5F"/>
    <w:rsid w:val="3F8015C3"/>
    <w:rsid w:val="3F8961BF"/>
    <w:rsid w:val="3F8F63F9"/>
    <w:rsid w:val="3F986AD0"/>
    <w:rsid w:val="3FA07A8C"/>
    <w:rsid w:val="3FA267B8"/>
    <w:rsid w:val="3FAC01DF"/>
    <w:rsid w:val="3FC248B4"/>
    <w:rsid w:val="3FCC6334"/>
    <w:rsid w:val="3FDC48D6"/>
    <w:rsid w:val="3FDD2A8F"/>
    <w:rsid w:val="3FEC3436"/>
    <w:rsid w:val="3FF31371"/>
    <w:rsid w:val="3FF658FE"/>
    <w:rsid w:val="400520B8"/>
    <w:rsid w:val="40123610"/>
    <w:rsid w:val="401B7CD9"/>
    <w:rsid w:val="402F7B48"/>
    <w:rsid w:val="40345167"/>
    <w:rsid w:val="40432200"/>
    <w:rsid w:val="4045123F"/>
    <w:rsid w:val="40513BDF"/>
    <w:rsid w:val="405D7FF6"/>
    <w:rsid w:val="406219F5"/>
    <w:rsid w:val="407D5F05"/>
    <w:rsid w:val="40866DBE"/>
    <w:rsid w:val="40983C9D"/>
    <w:rsid w:val="40A8309D"/>
    <w:rsid w:val="40B05541"/>
    <w:rsid w:val="41087DF3"/>
    <w:rsid w:val="41191527"/>
    <w:rsid w:val="4128738D"/>
    <w:rsid w:val="412A5860"/>
    <w:rsid w:val="412E1B74"/>
    <w:rsid w:val="41324A3E"/>
    <w:rsid w:val="41345F32"/>
    <w:rsid w:val="4135054B"/>
    <w:rsid w:val="413843F5"/>
    <w:rsid w:val="41400F2A"/>
    <w:rsid w:val="41525353"/>
    <w:rsid w:val="41656976"/>
    <w:rsid w:val="416F7716"/>
    <w:rsid w:val="41754717"/>
    <w:rsid w:val="418A27A2"/>
    <w:rsid w:val="41925EC5"/>
    <w:rsid w:val="4199747D"/>
    <w:rsid w:val="41AA4F8D"/>
    <w:rsid w:val="41B3371C"/>
    <w:rsid w:val="41B45633"/>
    <w:rsid w:val="41BB295C"/>
    <w:rsid w:val="41BD43A8"/>
    <w:rsid w:val="41C02778"/>
    <w:rsid w:val="41C73F5A"/>
    <w:rsid w:val="41CA7043"/>
    <w:rsid w:val="41D34149"/>
    <w:rsid w:val="41E613A5"/>
    <w:rsid w:val="41E753F9"/>
    <w:rsid w:val="41EC015F"/>
    <w:rsid w:val="420267DC"/>
    <w:rsid w:val="42057927"/>
    <w:rsid w:val="42170BDF"/>
    <w:rsid w:val="42190FC4"/>
    <w:rsid w:val="4227182D"/>
    <w:rsid w:val="42331B13"/>
    <w:rsid w:val="42452141"/>
    <w:rsid w:val="425779EE"/>
    <w:rsid w:val="42582B67"/>
    <w:rsid w:val="42640D2F"/>
    <w:rsid w:val="428D789C"/>
    <w:rsid w:val="42A76C1B"/>
    <w:rsid w:val="42B00EBB"/>
    <w:rsid w:val="42B456D8"/>
    <w:rsid w:val="42BA43D1"/>
    <w:rsid w:val="42C808D2"/>
    <w:rsid w:val="42CB10F7"/>
    <w:rsid w:val="42D009BD"/>
    <w:rsid w:val="42D95F3A"/>
    <w:rsid w:val="42DB2EF0"/>
    <w:rsid w:val="42FB4FC8"/>
    <w:rsid w:val="430D71E7"/>
    <w:rsid w:val="43226CE1"/>
    <w:rsid w:val="432B076A"/>
    <w:rsid w:val="433225FF"/>
    <w:rsid w:val="43374F54"/>
    <w:rsid w:val="43480E73"/>
    <w:rsid w:val="43562F5A"/>
    <w:rsid w:val="435A4E73"/>
    <w:rsid w:val="43746402"/>
    <w:rsid w:val="437B28E2"/>
    <w:rsid w:val="438D63EC"/>
    <w:rsid w:val="438F526E"/>
    <w:rsid w:val="43B45DBD"/>
    <w:rsid w:val="43B510E5"/>
    <w:rsid w:val="43BB4C50"/>
    <w:rsid w:val="43DB1093"/>
    <w:rsid w:val="43DD7A50"/>
    <w:rsid w:val="43E41045"/>
    <w:rsid w:val="43F82E40"/>
    <w:rsid w:val="43F839F3"/>
    <w:rsid w:val="440B41F2"/>
    <w:rsid w:val="441607EB"/>
    <w:rsid w:val="44343700"/>
    <w:rsid w:val="44394C66"/>
    <w:rsid w:val="4447627E"/>
    <w:rsid w:val="445E10DB"/>
    <w:rsid w:val="44817D10"/>
    <w:rsid w:val="44A0385D"/>
    <w:rsid w:val="44A616A1"/>
    <w:rsid w:val="44BC6AA8"/>
    <w:rsid w:val="44CF6395"/>
    <w:rsid w:val="44D564FD"/>
    <w:rsid w:val="44D6259C"/>
    <w:rsid w:val="44DB03C6"/>
    <w:rsid w:val="44E92A98"/>
    <w:rsid w:val="44F13DDB"/>
    <w:rsid w:val="45022AFD"/>
    <w:rsid w:val="45073FF9"/>
    <w:rsid w:val="451935E4"/>
    <w:rsid w:val="4522666F"/>
    <w:rsid w:val="452B2DB5"/>
    <w:rsid w:val="452D591E"/>
    <w:rsid w:val="45332E3B"/>
    <w:rsid w:val="45392515"/>
    <w:rsid w:val="45474873"/>
    <w:rsid w:val="454C5BC2"/>
    <w:rsid w:val="45513FF1"/>
    <w:rsid w:val="455A690C"/>
    <w:rsid w:val="455F4C45"/>
    <w:rsid w:val="456332C3"/>
    <w:rsid w:val="456E200B"/>
    <w:rsid w:val="457E04DB"/>
    <w:rsid w:val="45A1508B"/>
    <w:rsid w:val="45A17746"/>
    <w:rsid w:val="45A47E2A"/>
    <w:rsid w:val="45D93D07"/>
    <w:rsid w:val="45E041A2"/>
    <w:rsid w:val="45E961FB"/>
    <w:rsid w:val="45EB50BC"/>
    <w:rsid w:val="45EF0E26"/>
    <w:rsid w:val="45F73FFD"/>
    <w:rsid w:val="45FA0C64"/>
    <w:rsid w:val="460E3237"/>
    <w:rsid w:val="460F339F"/>
    <w:rsid w:val="4610248D"/>
    <w:rsid w:val="462A6302"/>
    <w:rsid w:val="462C5BD6"/>
    <w:rsid w:val="463A7032"/>
    <w:rsid w:val="46417BAC"/>
    <w:rsid w:val="46490C8A"/>
    <w:rsid w:val="46491081"/>
    <w:rsid w:val="464C4F14"/>
    <w:rsid w:val="46594FFD"/>
    <w:rsid w:val="465E44FD"/>
    <w:rsid w:val="46773878"/>
    <w:rsid w:val="4681279E"/>
    <w:rsid w:val="46845A12"/>
    <w:rsid w:val="468479AA"/>
    <w:rsid w:val="46857585"/>
    <w:rsid w:val="468E4EE8"/>
    <w:rsid w:val="469871EE"/>
    <w:rsid w:val="469D6731"/>
    <w:rsid w:val="469F0A1D"/>
    <w:rsid w:val="46A957D7"/>
    <w:rsid w:val="46B355DF"/>
    <w:rsid w:val="46BC0266"/>
    <w:rsid w:val="46E752D4"/>
    <w:rsid w:val="46F40F79"/>
    <w:rsid w:val="46F965BD"/>
    <w:rsid w:val="46FB5DC3"/>
    <w:rsid w:val="47105CC2"/>
    <w:rsid w:val="47185A52"/>
    <w:rsid w:val="471A79EE"/>
    <w:rsid w:val="471E30E1"/>
    <w:rsid w:val="47252D1E"/>
    <w:rsid w:val="47271246"/>
    <w:rsid w:val="47275519"/>
    <w:rsid w:val="47305A39"/>
    <w:rsid w:val="473305DC"/>
    <w:rsid w:val="473E6893"/>
    <w:rsid w:val="476601E2"/>
    <w:rsid w:val="4767402D"/>
    <w:rsid w:val="476C1974"/>
    <w:rsid w:val="4771519E"/>
    <w:rsid w:val="47761DE7"/>
    <w:rsid w:val="478F25CA"/>
    <w:rsid w:val="47AB7D73"/>
    <w:rsid w:val="47B176AD"/>
    <w:rsid w:val="47B844B9"/>
    <w:rsid w:val="47BF4410"/>
    <w:rsid w:val="47C25F84"/>
    <w:rsid w:val="47D139F6"/>
    <w:rsid w:val="47D3120B"/>
    <w:rsid w:val="47EE5208"/>
    <w:rsid w:val="47EF335F"/>
    <w:rsid w:val="47F72214"/>
    <w:rsid w:val="47F7254F"/>
    <w:rsid w:val="48005CD6"/>
    <w:rsid w:val="480945E3"/>
    <w:rsid w:val="480E1814"/>
    <w:rsid w:val="481F1051"/>
    <w:rsid w:val="483648E5"/>
    <w:rsid w:val="48430CF9"/>
    <w:rsid w:val="485026EF"/>
    <w:rsid w:val="4857767C"/>
    <w:rsid w:val="486F6588"/>
    <w:rsid w:val="487615DF"/>
    <w:rsid w:val="487F2657"/>
    <w:rsid w:val="4882118E"/>
    <w:rsid w:val="489371DE"/>
    <w:rsid w:val="48A23E03"/>
    <w:rsid w:val="48AA3806"/>
    <w:rsid w:val="48B30565"/>
    <w:rsid w:val="48B820D3"/>
    <w:rsid w:val="48CC09EE"/>
    <w:rsid w:val="48E751B5"/>
    <w:rsid w:val="48F46426"/>
    <w:rsid w:val="48FA5457"/>
    <w:rsid w:val="48FC21FC"/>
    <w:rsid w:val="49006362"/>
    <w:rsid w:val="491718A7"/>
    <w:rsid w:val="491D5CAA"/>
    <w:rsid w:val="49252B20"/>
    <w:rsid w:val="49493298"/>
    <w:rsid w:val="49584E57"/>
    <w:rsid w:val="49621B7F"/>
    <w:rsid w:val="496C36CC"/>
    <w:rsid w:val="49B26381"/>
    <w:rsid w:val="49C36851"/>
    <w:rsid w:val="49C47C40"/>
    <w:rsid w:val="49CC6FB1"/>
    <w:rsid w:val="49D7373E"/>
    <w:rsid w:val="49D80B80"/>
    <w:rsid w:val="49D912D1"/>
    <w:rsid w:val="49E350D1"/>
    <w:rsid w:val="49F224D5"/>
    <w:rsid w:val="4A4200BE"/>
    <w:rsid w:val="4A4545EB"/>
    <w:rsid w:val="4A5611C8"/>
    <w:rsid w:val="4A6C3BDA"/>
    <w:rsid w:val="4A6F67A4"/>
    <w:rsid w:val="4A783AE0"/>
    <w:rsid w:val="4A8161D7"/>
    <w:rsid w:val="4A9208C7"/>
    <w:rsid w:val="4AA31791"/>
    <w:rsid w:val="4AAF39F2"/>
    <w:rsid w:val="4AB76A28"/>
    <w:rsid w:val="4ABC3459"/>
    <w:rsid w:val="4AD07FAE"/>
    <w:rsid w:val="4AF3760A"/>
    <w:rsid w:val="4AF50BDF"/>
    <w:rsid w:val="4B173116"/>
    <w:rsid w:val="4B2058B1"/>
    <w:rsid w:val="4B280F2C"/>
    <w:rsid w:val="4B2B4605"/>
    <w:rsid w:val="4B2F572B"/>
    <w:rsid w:val="4B304439"/>
    <w:rsid w:val="4B3966BE"/>
    <w:rsid w:val="4B477ECC"/>
    <w:rsid w:val="4B480A26"/>
    <w:rsid w:val="4B5A2F9F"/>
    <w:rsid w:val="4B87391A"/>
    <w:rsid w:val="4B981D60"/>
    <w:rsid w:val="4BB0679F"/>
    <w:rsid w:val="4BB711AB"/>
    <w:rsid w:val="4BBF6924"/>
    <w:rsid w:val="4BC47390"/>
    <w:rsid w:val="4BC936A9"/>
    <w:rsid w:val="4BCD5FAC"/>
    <w:rsid w:val="4BD803FA"/>
    <w:rsid w:val="4BEE3B73"/>
    <w:rsid w:val="4C075336"/>
    <w:rsid w:val="4C1076A5"/>
    <w:rsid w:val="4C1523F1"/>
    <w:rsid w:val="4C2C7E29"/>
    <w:rsid w:val="4C431ECB"/>
    <w:rsid w:val="4C492C92"/>
    <w:rsid w:val="4C580050"/>
    <w:rsid w:val="4C5B7FA1"/>
    <w:rsid w:val="4C666E74"/>
    <w:rsid w:val="4C801581"/>
    <w:rsid w:val="4C8A75AC"/>
    <w:rsid w:val="4C8D1398"/>
    <w:rsid w:val="4C977A1B"/>
    <w:rsid w:val="4CAC2783"/>
    <w:rsid w:val="4CB640AB"/>
    <w:rsid w:val="4CB81D49"/>
    <w:rsid w:val="4CBD7F61"/>
    <w:rsid w:val="4CCC0ED8"/>
    <w:rsid w:val="4CD11285"/>
    <w:rsid w:val="4CE3714B"/>
    <w:rsid w:val="4D0F11A0"/>
    <w:rsid w:val="4D110835"/>
    <w:rsid w:val="4D1727FB"/>
    <w:rsid w:val="4D1E6969"/>
    <w:rsid w:val="4D231116"/>
    <w:rsid w:val="4D2E08BF"/>
    <w:rsid w:val="4D415D48"/>
    <w:rsid w:val="4D492094"/>
    <w:rsid w:val="4D56712F"/>
    <w:rsid w:val="4D58202D"/>
    <w:rsid w:val="4D5B12B2"/>
    <w:rsid w:val="4D5F34B3"/>
    <w:rsid w:val="4D647D99"/>
    <w:rsid w:val="4D6A7E10"/>
    <w:rsid w:val="4D807DB7"/>
    <w:rsid w:val="4D87561D"/>
    <w:rsid w:val="4D924BE1"/>
    <w:rsid w:val="4D946941"/>
    <w:rsid w:val="4DA30E74"/>
    <w:rsid w:val="4DA97E3E"/>
    <w:rsid w:val="4DAD4B4B"/>
    <w:rsid w:val="4DDB34CB"/>
    <w:rsid w:val="4DF603A6"/>
    <w:rsid w:val="4E10095A"/>
    <w:rsid w:val="4E182C54"/>
    <w:rsid w:val="4E1E313B"/>
    <w:rsid w:val="4E4A1685"/>
    <w:rsid w:val="4E5E31B0"/>
    <w:rsid w:val="4E635C9C"/>
    <w:rsid w:val="4E685B6F"/>
    <w:rsid w:val="4E722ED6"/>
    <w:rsid w:val="4E771DD2"/>
    <w:rsid w:val="4E7A4EE8"/>
    <w:rsid w:val="4E8065F1"/>
    <w:rsid w:val="4E810996"/>
    <w:rsid w:val="4EA512BE"/>
    <w:rsid w:val="4EB86827"/>
    <w:rsid w:val="4EBB683E"/>
    <w:rsid w:val="4EC71B02"/>
    <w:rsid w:val="4EE11A3C"/>
    <w:rsid w:val="4F007CE7"/>
    <w:rsid w:val="4F1634DF"/>
    <w:rsid w:val="4F2C4346"/>
    <w:rsid w:val="4F3B2071"/>
    <w:rsid w:val="4F6D030F"/>
    <w:rsid w:val="4F7205F8"/>
    <w:rsid w:val="4F812B80"/>
    <w:rsid w:val="4F916786"/>
    <w:rsid w:val="4F9908E3"/>
    <w:rsid w:val="4FA4241D"/>
    <w:rsid w:val="4FAF23F7"/>
    <w:rsid w:val="4FD90ADF"/>
    <w:rsid w:val="4FE54E34"/>
    <w:rsid w:val="4FE857AD"/>
    <w:rsid w:val="4FEF4536"/>
    <w:rsid w:val="500B0F52"/>
    <w:rsid w:val="500B556B"/>
    <w:rsid w:val="500D6A78"/>
    <w:rsid w:val="50565149"/>
    <w:rsid w:val="506A5C79"/>
    <w:rsid w:val="506F4EF7"/>
    <w:rsid w:val="50765332"/>
    <w:rsid w:val="50775F37"/>
    <w:rsid w:val="50887115"/>
    <w:rsid w:val="509515F7"/>
    <w:rsid w:val="50975483"/>
    <w:rsid w:val="50C752F8"/>
    <w:rsid w:val="50EA36A7"/>
    <w:rsid w:val="50F63906"/>
    <w:rsid w:val="50FC4853"/>
    <w:rsid w:val="5104039A"/>
    <w:rsid w:val="51115FDE"/>
    <w:rsid w:val="511176C8"/>
    <w:rsid w:val="511952EE"/>
    <w:rsid w:val="512659E1"/>
    <w:rsid w:val="515415A9"/>
    <w:rsid w:val="5164534D"/>
    <w:rsid w:val="51731757"/>
    <w:rsid w:val="517E4203"/>
    <w:rsid w:val="518D1B07"/>
    <w:rsid w:val="518D583B"/>
    <w:rsid w:val="51A372DF"/>
    <w:rsid w:val="51AE6927"/>
    <w:rsid w:val="51B51175"/>
    <w:rsid w:val="51B73FD0"/>
    <w:rsid w:val="51C0420C"/>
    <w:rsid w:val="51C40BC0"/>
    <w:rsid w:val="51CA7DD2"/>
    <w:rsid w:val="51CE7EFB"/>
    <w:rsid w:val="51D40C86"/>
    <w:rsid w:val="51F2104B"/>
    <w:rsid w:val="51F724B1"/>
    <w:rsid w:val="51FF587E"/>
    <w:rsid w:val="52162250"/>
    <w:rsid w:val="521F000C"/>
    <w:rsid w:val="52241590"/>
    <w:rsid w:val="522F7570"/>
    <w:rsid w:val="523E307E"/>
    <w:rsid w:val="52466271"/>
    <w:rsid w:val="52596581"/>
    <w:rsid w:val="52621E12"/>
    <w:rsid w:val="526F4979"/>
    <w:rsid w:val="527C782F"/>
    <w:rsid w:val="52807A28"/>
    <w:rsid w:val="52B97B85"/>
    <w:rsid w:val="52C06936"/>
    <w:rsid w:val="52C6625A"/>
    <w:rsid w:val="52C93012"/>
    <w:rsid w:val="52CA14C6"/>
    <w:rsid w:val="52DB1E66"/>
    <w:rsid w:val="52E821CE"/>
    <w:rsid w:val="52FE48B5"/>
    <w:rsid w:val="530E27D1"/>
    <w:rsid w:val="53187209"/>
    <w:rsid w:val="533D505A"/>
    <w:rsid w:val="53403C4E"/>
    <w:rsid w:val="534A6688"/>
    <w:rsid w:val="53502FC6"/>
    <w:rsid w:val="535B5D29"/>
    <w:rsid w:val="536278EB"/>
    <w:rsid w:val="536A5AEA"/>
    <w:rsid w:val="536D4005"/>
    <w:rsid w:val="53764710"/>
    <w:rsid w:val="537E5BE2"/>
    <w:rsid w:val="53946809"/>
    <w:rsid w:val="539E624C"/>
    <w:rsid w:val="53B611D5"/>
    <w:rsid w:val="53B640DE"/>
    <w:rsid w:val="53BB2A28"/>
    <w:rsid w:val="53F1045F"/>
    <w:rsid w:val="540869D8"/>
    <w:rsid w:val="540B18F1"/>
    <w:rsid w:val="540B7773"/>
    <w:rsid w:val="541C5A4A"/>
    <w:rsid w:val="542117F6"/>
    <w:rsid w:val="54273370"/>
    <w:rsid w:val="544651A9"/>
    <w:rsid w:val="544975EB"/>
    <w:rsid w:val="545304B1"/>
    <w:rsid w:val="545439ED"/>
    <w:rsid w:val="5467581F"/>
    <w:rsid w:val="54703F84"/>
    <w:rsid w:val="54707B36"/>
    <w:rsid w:val="54752C6A"/>
    <w:rsid w:val="54905ECA"/>
    <w:rsid w:val="549D23D0"/>
    <w:rsid w:val="54BC07C7"/>
    <w:rsid w:val="54BC0A6D"/>
    <w:rsid w:val="54CA77C4"/>
    <w:rsid w:val="54D5376C"/>
    <w:rsid w:val="54DB5B87"/>
    <w:rsid w:val="54DE1F90"/>
    <w:rsid w:val="54EB47B4"/>
    <w:rsid w:val="54ED0290"/>
    <w:rsid w:val="54ED449C"/>
    <w:rsid w:val="54FB0E65"/>
    <w:rsid w:val="54FD258C"/>
    <w:rsid w:val="55172D0B"/>
    <w:rsid w:val="551C36DD"/>
    <w:rsid w:val="55244728"/>
    <w:rsid w:val="5530532D"/>
    <w:rsid w:val="55355534"/>
    <w:rsid w:val="5539380D"/>
    <w:rsid w:val="55481C65"/>
    <w:rsid w:val="55524087"/>
    <w:rsid w:val="55544334"/>
    <w:rsid w:val="55575B1D"/>
    <w:rsid w:val="555E5E5F"/>
    <w:rsid w:val="5581794E"/>
    <w:rsid w:val="55833D19"/>
    <w:rsid w:val="55850A94"/>
    <w:rsid w:val="55931208"/>
    <w:rsid w:val="55A90F33"/>
    <w:rsid w:val="55C03FD7"/>
    <w:rsid w:val="55CA71B9"/>
    <w:rsid w:val="55E95EB6"/>
    <w:rsid w:val="55F036F5"/>
    <w:rsid w:val="55F57076"/>
    <w:rsid w:val="55FC3ECF"/>
    <w:rsid w:val="560F3D19"/>
    <w:rsid w:val="56227069"/>
    <w:rsid w:val="562763BA"/>
    <w:rsid w:val="562F31A0"/>
    <w:rsid w:val="56356BCE"/>
    <w:rsid w:val="56456E34"/>
    <w:rsid w:val="56615BC1"/>
    <w:rsid w:val="567837EE"/>
    <w:rsid w:val="568022D3"/>
    <w:rsid w:val="56922D1F"/>
    <w:rsid w:val="56A10DDB"/>
    <w:rsid w:val="56A92E18"/>
    <w:rsid w:val="56AF7228"/>
    <w:rsid w:val="56B21C94"/>
    <w:rsid w:val="56C01423"/>
    <w:rsid w:val="56C45C6A"/>
    <w:rsid w:val="56D46492"/>
    <w:rsid w:val="56D71366"/>
    <w:rsid w:val="56DF04FC"/>
    <w:rsid w:val="56E83969"/>
    <w:rsid w:val="570870C0"/>
    <w:rsid w:val="57093368"/>
    <w:rsid w:val="57145C78"/>
    <w:rsid w:val="5719079F"/>
    <w:rsid w:val="57215374"/>
    <w:rsid w:val="574F2A1C"/>
    <w:rsid w:val="575C3976"/>
    <w:rsid w:val="575E3DD9"/>
    <w:rsid w:val="57630BAE"/>
    <w:rsid w:val="577666C8"/>
    <w:rsid w:val="577D403D"/>
    <w:rsid w:val="578D2239"/>
    <w:rsid w:val="57904F68"/>
    <w:rsid w:val="57935FB7"/>
    <w:rsid w:val="57A92F7E"/>
    <w:rsid w:val="57B765D3"/>
    <w:rsid w:val="57C71C02"/>
    <w:rsid w:val="57D1116E"/>
    <w:rsid w:val="57D63BF4"/>
    <w:rsid w:val="57E25D41"/>
    <w:rsid w:val="57E923BE"/>
    <w:rsid w:val="57F06272"/>
    <w:rsid w:val="58075A58"/>
    <w:rsid w:val="582C5F09"/>
    <w:rsid w:val="583214D2"/>
    <w:rsid w:val="5849560C"/>
    <w:rsid w:val="58615D44"/>
    <w:rsid w:val="586729B9"/>
    <w:rsid w:val="58756B16"/>
    <w:rsid w:val="587802F0"/>
    <w:rsid w:val="58782A1F"/>
    <w:rsid w:val="5883113E"/>
    <w:rsid w:val="588E4141"/>
    <w:rsid w:val="58941252"/>
    <w:rsid w:val="58CC54E2"/>
    <w:rsid w:val="58E30CBE"/>
    <w:rsid w:val="58ED3809"/>
    <w:rsid w:val="58EE5FEB"/>
    <w:rsid w:val="58FB644C"/>
    <w:rsid w:val="590363DD"/>
    <w:rsid w:val="590D5863"/>
    <w:rsid w:val="59117084"/>
    <w:rsid w:val="591A29EC"/>
    <w:rsid w:val="591C39E7"/>
    <w:rsid w:val="593A3D45"/>
    <w:rsid w:val="594E3CA4"/>
    <w:rsid w:val="595279A8"/>
    <w:rsid w:val="59552FA2"/>
    <w:rsid w:val="596B1C3D"/>
    <w:rsid w:val="59956320"/>
    <w:rsid w:val="59B112B5"/>
    <w:rsid w:val="59E70C91"/>
    <w:rsid w:val="59EC0AF6"/>
    <w:rsid w:val="5A020EFF"/>
    <w:rsid w:val="5A0C2061"/>
    <w:rsid w:val="5A0E1D6B"/>
    <w:rsid w:val="5A1000C2"/>
    <w:rsid w:val="5A144DDE"/>
    <w:rsid w:val="5A1B181C"/>
    <w:rsid w:val="5A1D5CB8"/>
    <w:rsid w:val="5A2163F9"/>
    <w:rsid w:val="5A290715"/>
    <w:rsid w:val="5A316B35"/>
    <w:rsid w:val="5A403EC6"/>
    <w:rsid w:val="5A461264"/>
    <w:rsid w:val="5A5831C9"/>
    <w:rsid w:val="5AA547C7"/>
    <w:rsid w:val="5AB6023B"/>
    <w:rsid w:val="5AB67D0C"/>
    <w:rsid w:val="5AD61E1F"/>
    <w:rsid w:val="5AFE5F70"/>
    <w:rsid w:val="5B05706B"/>
    <w:rsid w:val="5B141221"/>
    <w:rsid w:val="5B1B5901"/>
    <w:rsid w:val="5B1C369B"/>
    <w:rsid w:val="5B224ED6"/>
    <w:rsid w:val="5B435A44"/>
    <w:rsid w:val="5B4846A8"/>
    <w:rsid w:val="5B501F0F"/>
    <w:rsid w:val="5B600BA5"/>
    <w:rsid w:val="5B6C02A2"/>
    <w:rsid w:val="5B7B155A"/>
    <w:rsid w:val="5B882045"/>
    <w:rsid w:val="5B8E1DDD"/>
    <w:rsid w:val="5B9B1B71"/>
    <w:rsid w:val="5BAA6C91"/>
    <w:rsid w:val="5BAF0C8D"/>
    <w:rsid w:val="5BB43DC8"/>
    <w:rsid w:val="5BCC1DF8"/>
    <w:rsid w:val="5BDF6959"/>
    <w:rsid w:val="5BE3586B"/>
    <w:rsid w:val="5BEB61E7"/>
    <w:rsid w:val="5BF15EC1"/>
    <w:rsid w:val="5C0A69D0"/>
    <w:rsid w:val="5C0C5329"/>
    <w:rsid w:val="5C106BDC"/>
    <w:rsid w:val="5C166CB5"/>
    <w:rsid w:val="5C1A6CD8"/>
    <w:rsid w:val="5C315F6C"/>
    <w:rsid w:val="5C3446F2"/>
    <w:rsid w:val="5C622AF8"/>
    <w:rsid w:val="5C6317D4"/>
    <w:rsid w:val="5C762CAE"/>
    <w:rsid w:val="5C79756C"/>
    <w:rsid w:val="5C8B5BCA"/>
    <w:rsid w:val="5C8D5ED6"/>
    <w:rsid w:val="5C9127E3"/>
    <w:rsid w:val="5C96058C"/>
    <w:rsid w:val="5CB43CCB"/>
    <w:rsid w:val="5CD26A3A"/>
    <w:rsid w:val="5CE42072"/>
    <w:rsid w:val="5CE81F47"/>
    <w:rsid w:val="5CE8493C"/>
    <w:rsid w:val="5D0E67E0"/>
    <w:rsid w:val="5D204952"/>
    <w:rsid w:val="5D376AB7"/>
    <w:rsid w:val="5D382FC8"/>
    <w:rsid w:val="5D3C019C"/>
    <w:rsid w:val="5D423B78"/>
    <w:rsid w:val="5D472191"/>
    <w:rsid w:val="5D52409F"/>
    <w:rsid w:val="5D681792"/>
    <w:rsid w:val="5D683540"/>
    <w:rsid w:val="5D6E34F6"/>
    <w:rsid w:val="5D7C7E1B"/>
    <w:rsid w:val="5D800B2A"/>
    <w:rsid w:val="5D9B272E"/>
    <w:rsid w:val="5DAA3B58"/>
    <w:rsid w:val="5DB36DA8"/>
    <w:rsid w:val="5DB77DFE"/>
    <w:rsid w:val="5DBC0FE2"/>
    <w:rsid w:val="5DBC1DD8"/>
    <w:rsid w:val="5DCB2ABD"/>
    <w:rsid w:val="5DF16318"/>
    <w:rsid w:val="5E0465DD"/>
    <w:rsid w:val="5E0E771D"/>
    <w:rsid w:val="5E0F300C"/>
    <w:rsid w:val="5E1C5FB3"/>
    <w:rsid w:val="5E491267"/>
    <w:rsid w:val="5E582CB5"/>
    <w:rsid w:val="5E5E6C62"/>
    <w:rsid w:val="5E65419B"/>
    <w:rsid w:val="5E766D9E"/>
    <w:rsid w:val="5E7837AA"/>
    <w:rsid w:val="5E7E3B6C"/>
    <w:rsid w:val="5E940274"/>
    <w:rsid w:val="5EA10E16"/>
    <w:rsid w:val="5EA754BC"/>
    <w:rsid w:val="5EAB2C11"/>
    <w:rsid w:val="5EB11B24"/>
    <w:rsid w:val="5EB377F0"/>
    <w:rsid w:val="5EB83593"/>
    <w:rsid w:val="5EBC3ED4"/>
    <w:rsid w:val="5EBD3EBC"/>
    <w:rsid w:val="5ECA3D86"/>
    <w:rsid w:val="5ED97BB5"/>
    <w:rsid w:val="5EE06B0B"/>
    <w:rsid w:val="5EFA745A"/>
    <w:rsid w:val="5F0E45BB"/>
    <w:rsid w:val="5F3B2A47"/>
    <w:rsid w:val="5F641B2B"/>
    <w:rsid w:val="5F7B76FB"/>
    <w:rsid w:val="5F88356C"/>
    <w:rsid w:val="5F9174F1"/>
    <w:rsid w:val="5FB37D70"/>
    <w:rsid w:val="5FB51307"/>
    <w:rsid w:val="5FB87846"/>
    <w:rsid w:val="5FBA5E97"/>
    <w:rsid w:val="5FC31D6D"/>
    <w:rsid w:val="5FC66C44"/>
    <w:rsid w:val="5FC77F9B"/>
    <w:rsid w:val="5FCC62FB"/>
    <w:rsid w:val="5FD54B8E"/>
    <w:rsid w:val="5FD5D290"/>
    <w:rsid w:val="5FD60B51"/>
    <w:rsid w:val="5FEC656D"/>
    <w:rsid w:val="5FFE1536"/>
    <w:rsid w:val="60346557"/>
    <w:rsid w:val="6040520D"/>
    <w:rsid w:val="604D240F"/>
    <w:rsid w:val="605A2017"/>
    <w:rsid w:val="605A3FDD"/>
    <w:rsid w:val="606750F0"/>
    <w:rsid w:val="606A13B0"/>
    <w:rsid w:val="606B66E1"/>
    <w:rsid w:val="608F3FA1"/>
    <w:rsid w:val="60A02A2A"/>
    <w:rsid w:val="60A55DAA"/>
    <w:rsid w:val="60B70204"/>
    <w:rsid w:val="60C92C9B"/>
    <w:rsid w:val="61044B04"/>
    <w:rsid w:val="611479FC"/>
    <w:rsid w:val="611F0848"/>
    <w:rsid w:val="612D4AF5"/>
    <w:rsid w:val="613B3A90"/>
    <w:rsid w:val="613D53A4"/>
    <w:rsid w:val="61452119"/>
    <w:rsid w:val="61566624"/>
    <w:rsid w:val="616357DD"/>
    <w:rsid w:val="617A3380"/>
    <w:rsid w:val="617D3BD7"/>
    <w:rsid w:val="61831064"/>
    <w:rsid w:val="61943B37"/>
    <w:rsid w:val="61AC06F7"/>
    <w:rsid w:val="61AD44F3"/>
    <w:rsid w:val="61AE069A"/>
    <w:rsid w:val="61B72024"/>
    <w:rsid w:val="61B84CCE"/>
    <w:rsid w:val="61BA270F"/>
    <w:rsid w:val="61BF2C3B"/>
    <w:rsid w:val="61C377FE"/>
    <w:rsid w:val="61EA707B"/>
    <w:rsid w:val="6205230B"/>
    <w:rsid w:val="6213773F"/>
    <w:rsid w:val="62191608"/>
    <w:rsid w:val="622057BB"/>
    <w:rsid w:val="6230763D"/>
    <w:rsid w:val="62401060"/>
    <w:rsid w:val="62505ABD"/>
    <w:rsid w:val="62506F6F"/>
    <w:rsid w:val="62632A8D"/>
    <w:rsid w:val="62675A04"/>
    <w:rsid w:val="62894203"/>
    <w:rsid w:val="629A48D0"/>
    <w:rsid w:val="62A21683"/>
    <w:rsid w:val="62B15B48"/>
    <w:rsid w:val="62B63451"/>
    <w:rsid w:val="62B71B08"/>
    <w:rsid w:val="62C821BF"/>
    <w:rsid w:val="62D17968"/>
    <w:rsid w:val="62DF24F6"/>
    <w:rsid w:val="62E13823"/>
    <w:rsid w:val="62E97AAB"/>
    <w:rsid w:val="62F63CB8"/>
    <w:rsid w:val="63044797"/>
    <w:rsid w:val="631227EF"/>
    <w:rsid w:val="63123A79"/>
    <w:rsid w:val="63133777"/>
    <w:rsid w:val="631735E5"/>
    <w:rsid w:val="63177BF2"/>
    <w:rsid w:val="632A404E"/>
    <w:rsid w:val="632F2C36"/>
    <w:rsid w:val="63416D0D"/>
    <w:rsid w:val="63422A85"/>
    <w:rsid w:val="63431FD7"/>
    <w:rsid w:val="63484444"/>
    <w:rsid w:val="6353259C"/>
    <w:rsid w:val="6368244F"/>
    <w:rsid w:val="63984453"/>
    <w:rsid w:val="63B756D6"/>
    <w:rsid w:val="63E5007A"/>
    <w:rsid w:val="63F0603D"/>
    <w:rsid w:val="640764E9"/>
    <w:rsid w:val="641C56B7"/>
    <w:rsid w:val="64286C5C"/>
    <w:rsid w:val="642E4780"/>
    <w:rsid w:val="64364B4A"/>
    <w:rsid w:val="644C7020"/>
    <w:rsid w:val="6450579E"/>
    <w:rsid w:val="64813538"/>
    <w:rsid w:val="648D3CC9"/>
    <w:rsid w:val="64930346"/>
    <w:rsid w:val="6494338F"/>
    <w:rsid w:val="649E5122"/>
    <w:rsid w:val="64C978E0"/>
    <w:rsid w:val="64D16FB8"/>
    <w:rsid w:val="64E0725E"/>
    <w:rsid w:val="64E13AEF"/>
    <w:rsid w:val="64E21F50"/>
    <w:rsid w:val="64FB0B39"/>
    <w:rsid w:val="64FE32ED"/>
    <w:rsid w:val="650E30AC"/>
    <w:rsid w:val="652B70C1"/>
    <w:rsid w:val="653632AA"/>
    <w:rsid w:val="655169C5"/>
    <w:rsid w:val="656045AB"/>
    <w:rsid w:val="657032FB"/>
    <w:rsid w:val="657461EC"/>
    <w:rsid w:val="65791583"/>
    <w:rsid w:val="65840027"/>
    <w:rsid w:val="65B44407"/>
    <w:rsid w:val="65BB1822"/>
    <w:rsid w:val="65C63B99"/>
    <w:rsid w:val="65CE6B55"/>
    <w:rsid w:val="65CF48D8"/>
    <w:rsid w:val="65E2561F"/>
    <w:rsid w:val="65E35D79"/>
    <w:rsid w:val="65EE5071"/>
    <w:rsid w:val="65FD637A"/>
    <w:rsid w:val="66013ACB"/>
    <w:rsid w:val="66036960"/>
    <w:rsid w:val="662A6CE6"/>
    <w:rsid w:val="66443AED"/>
    <w:rsid w:val="66523577"/>
    <w:rsid w:val="66570524"/>
    <w:rsid w:val="667F0223"/>
    <w:rsid w:val="668C2EA3"/>
    <w:rsid w:val="66974F15"/>
    <w:rsid w:val="669E0857"/>
    <w:rsid w:val="669E729D"/>
    <w:rsid w:val="66B47C99"/>
    <w:rsid w:val="66B503E3"/>
    <w:rsid w:val="66B522E4"/>
    <w:rsid w:val="66C05B92"/>
    <w:rsid w:val="66CE396F"/>
    <w:rsid w:val="66F26971"/>
    <w:rsid w:val="66F66ED2"/>
    <w:rsid w:val="66FC1C79"/>
    <w:rsid w:val="66FC1FDD"/>
    <w:rsid w:val="66FD2D79"/>
    <w:rsid w:val="671E1BC6"/>
    <w:rsid w:val="671E5037"/>
    <w:rsid w:val="671E6944"/>
    <w:rsid w:val="672D2EA4"/>
    <w:rsid w:val="67410998"/>
    <w:rsid w:val="674414F2"/>
    <w:rsid w:val="67530DBD"/>
    <w:rsid w:val="6756106F"/>
    <w:rsid w:val="67605C98"/>
    <w:rsid w:val="676459AA"/>
    <w:rsid w:val="67656622"/>
    <w:rsid w:val="676C65A1"/>
    <w:rsid w:val="676E7A11"/>
    <w:rsid w:val="67703283"/>
    <w:rsid w:val="677C5253"/>
    <w:rsid w:val="67890559"/>
    <w:rsid w:val="678E4D56"/>
    <w:rsid w:val="679655F9"/>
    <w:rsid w:val="67970480"/>
    <w:rsid w:val="679C41FD"/>
    <w:rsid w:val="67B45335"/>
    <w:rsid w:val="67BA39D5"/>
    <w:rsid w:val="67C1438B"/>
    <w:rsid w:val="67CD6582"/>
    <w:rsid w:val="67D0065F"/>
    <w:rsid w:val="67D95E89"/>
    <w:rsid w:val="67DC006C"/>
    <w:rsid w:val="67FE10AD"/>
    <w:rsid w:val="680B01FC"/>
    <w:rsid w:val="68120C78"/>
    <w:rsid w:val="68297484"/>
    <w:rsid w:val="684C152E"/>
    <w:rsid w:val="684D3F8D"/>
    <w:rsid w:val="684F77CC"/>
    <w:rsid w:val="6850292C"/>
    <w:rsid w:val="685B0B81"/>
    <w:rsid w:val="68614624"/>
    <w:rsid w:val="68683F2B"/>
    <w:rsid w:val="68820F97"/>
    <w:rsid w:val="68883111"/>
    <w:rsid w:val="68AA7102"/>
    <w:rsid w:val="68E77C75"/>
    <w:rsid w:val="68ED5688"/>
    <w:rsid w:val="68F36F92"/>
    <w:rsid w:val="69174F44"/>
    <w:rsid w:val="69296388"/>
    <w:rsid w:val="693F3064"/>
    <w:rsid w:val="6942329B"/>
    <w:rsid w:val="69484496"/>
    <w:rsid w:val="695A3209"/>
    <w:rsid w:val="695E1C9B"/>
    <w:rsid w:val="696D294F"/>
    <w:rsid w:val="697A0E92"/>
    <w:rsid w:val="699043F7"/>
    <w:rsid w:val="69941325"/>
    <w:rsid w:val="69AA4EE0"/>
    <w:rsid w:val="69B7290C"/>
    <w:rsid w:val="69C44F9F"/>
    <w:rsid w:val="69C54B32"/>
    <w:rsid w:val="69DE4EC2"/>
    <w:rsid w:val="69E53F37"/>
    <w:rsid w:val="69FA7A14"/>
    <w:rsid w:val="6A1A4B52"/>
    <w:rsid w:val="6A211646"/>
    <w:rsid w:val="6A3D188A"/>
    <w:rsid w:val="6A7C062B"/>
    <w:rsid w:val="6A80032D"/>
    <w:rsid w:val="6A815C41"/>
    <w:rsid w:val="6A972E11"/>
    <w:rsid w:val="6A9E24F6"/>
    <w:rsid w:val="6A9E2C97"/>
    <w:rsid w:val="6ABF189E"/>
    <w:rsid w:val="6ACD1F90"/>
    <w:rsid w:val="6AD12527"/>
    <w:rsid w:val="6AD14E1A"/>
    <w:rsid w:val="6AF126B7"/>
    <w:rsid w:val="6AF21952"/>
    <w:rsid w:val="6AFE0A02"/>
    <w:rsid w:val="6B005AD5"/>
    <w:rsid w:val="6B086002"/>
    <w:rsid w:val="6B0A032C"/>
    <w:rsid w:val="6B217424"/>
    <w:rsid w:val="6B2A4363"/>
    <w:rsid w:val="6B5F64D6"/>
    <w:rsid w:val="6B6749AF"/>
    <w:rsid w:val="6B8038DE"/>
    <w:rsid w:val="6B8D29CD"/>
    <w:rsid w:val="6B91656C"/>
    <w:rsid w:val="6BAE0CB8"/>
    <w:rsid w:val="6BBC5BBB"/>
    <w:rsid w:val="6BC76E6D"/>
    <w:rsid w:val="6BCD74B7"/>
    <w:rsid w:val="6BEB44BE"/>
    <w:rsid w:val="6BF241F3"/>
    <w:rsid w:val="6BFE7287"/>
    <w:rsid w:val="6C0C1E82"/>
    <w:rsid w:val="6C1857F8"/>
    <w:rsid w:val="6C1A325C"/>
    <w:rsid w:val="6C4D0255"/>
    <w:rsid w:val="6C56202C"/>
    <w:rsid w:val="6C6406D9"/>
    <w:rsid w:val="6C7F73B9"/>
    <w:rsid w:val="6CB93214"/>
    <w:rsid w:val="6CCF7D9F"/>
    <w:rsid w:val="6CE54BAD"/>
    <w:rsid w:val="6CE97496"/>
    <w:rsid w:val="6CF303EA"/>
    <w:rsid w:val="6CF41172"/>
    <w:rsid w:val="6CF65CF4"/>
    <w:rsid w:val="6CF870FA"/>
    <w:rsid w:val="6D13610C"/>
    <w:rsid w:val="6D1A08EA"/>
    <w:rsid w:val="6D2D1EB1"/>
    <w:rsid w:val="6D335328"/>
    <w:rsid w:val="6D3601D6"/>
    <w:rsid w:val="6D421187"/>
    <w:rsid w:val="6D505D9E"/>
    <w:rsid w:val="6D660251"/>
    <w:rsid w:val="6D867241"/>
    <w:rsid w:val="6D894308"/>
    <w:rsid w:val="6D951AB9"/>
    <w:rsid w:val="6D9E3743"/>
    <w:rsid w:val="6DA30282"/>
    <w:rsid w:val="6DBE77DB"/>
    <w:rsid w:val="6DC742B3"/>
    <w:rsid w:val="6DCF4F15"/>
    <w:rsid w:val="6DD639F5"/>
    <w:rsid w:val="6DE85FD7"/>
    <w:rsid w:val="6DFB26D4"/>
    <w:rsid w:val="6DFB3F5C"/>
    <w:rsid w:val="6E072901"/>
    <w:rsid w:val="6E1477D2"/>
    <w:rsid w:val="6E1B7692"/>
    <w:rsid w:val="6E263684"/>
    <w:rsid w:val="6E4927BB"/>
    <w:rsid w:val="6E493BF1"/>
    <w:rsid w:val="6E5269C2"/>
    <w:rsid w:val="6E5C26FF"/>
    <w:rsid w:val="6E7531BF"/>
    <w:rsid w:val="6E817A86"/>
    <w:rsid w:val="6E87423A"/>
    <w:rsid w:val="6E906853"/>
    <w:rsid w:val="6E9E75AD"/>
    <w:rsid w:val="6EAC1A30"/>
    <w:rsid w:val="6EAD54F2"/>
    <w:rsid w:val="6EAE0CA0"/>
    <w:rsid w:val="6EAF5204"/>
    <w:rsid w:val="6EB50B85"/>
    <w:rsid w:val="6EB61174"/>
    <w:rsid w:val="6EC15584"/>
    <w:rsid w:val="6EC2567E"/>
    <w:rsid w:val="6ECA1BEA"/>
    <w:rsid w:val="6EE50B1D"/>
    <w:rsid w:val="6EED2379"/>
    <w:rsid w:val="6EED33CE"/>
    <w:rsid w:val="6EFD1370"/>
    <w:rsid w:val="6F0A0F7F"/>
    <w:rsid w:val="6F2149B6"/>
    <w:rsid w:val="6F435FDC"/>
    <w:rsid w:val="6F497D81"/>
    <w:rsid w:val="6F55168D"/>
    <w:rsid w:val="6F7651A1"/>
    <w:rsid w:val="6F767597"/>
    <w:rsid w:val="6F8E3EE9"/>
    <w:rsid w:val="6FA41644"/>
    <w:rsid w:val="6FB10EB7"/>
    <w:rsid w:val="6FB55F72"/>
    <w:rsid w:val="6FB76FE6"/>
    <w:rsid w:val="6FBB4A17"/>
    <w:rsid w:val="6FBE1F1E"/>
    <w:rsid w:val="6FC03636"/>
    <w:rsid w:val="6FCB2FA1"/>
    <w:rsid w:val="6FCF17CA"/>
    <w:rsid w:val="6FDE35E9"/>
    <w:rsid w:val="6FDE49CE"/>
    <w:rsid w:val="6FF326E5"/>
    <w:rsid w:val="70346CD2"/>
    <w:rsid w:val="703A7A12"/>
    <w:rsid w:val="705259CF"/>
    <w:rsid w:val="705A1CE5"/>
    <w:rsid w:val="70643B06"/>
    <w:rsid w:val="7072442A"/>
    <w:rsid w:val="70754588"/>
    <w:rsid w:val="708671E1"/>
    <w:rsid w:val="70912956"/>
    <w:rsid w:val="709A0492"/>
    <w:rsid w:val="70A1440B"/>
    <w:rsid w:val="70B02FE2"/>
    <w:rsid w:val="70CD7726"/>
    <w:rsid w:val="70E231B1"/>
    <w:rsid w:val="710604F1"/>
    <w:rsid w:val="71097945"/>
    <w:rsid w:val="71235869"/>
    <w:rsid w:val="713C708F"/>
    <w:rsid w:val="715872D1"/>
    <w:rsid w:val="715F298C"/>
    <w:rsid w:val="716A028F"/>
    <w:rsid w:val="716E5EE1"/>
    <w:rsid w:val="71711B55"/>
    <w:rsid w:val="717B4518"/>
    <w:rsid w:val="718F158B"/>
    <w:rsid w:val="71926986"/>
    <w:rsid w:val="71A4214C"/>
    <w:rsid w:val="71A44BDA"/>
    <w:rsid w:val="71AA690A"/>
    <w:rsid w:val="71AF507B"/>
    <w:rsid w:val="71BB6985"/>
    <w:rsid w:val="71C215F3"/>
    <w:rsid w:val="71CF2F03"/>
    <w:rsid w:val="71E60A7F"/>
    <w:rsid w:val="72025BF6"/>
    <w:rsid w:val="72026628"/>
    <w:rsid w:val="721B755E"/>
    <w:rsid w:val="72234969"/>
    <w:rsid w:val="72251C8E"/>
    <w:rsid w:val="72361670"/>
    <w:rsid w:val="72460809"/>
    <w:rsid w:val="72586F7B"/>
    <w:rsid w:val="725B6F82"/>
    <w:rsid w:val="726056E6"/>
    <w:rsid w:val="727548DB"/>
    <w:rsid w:val="727C3516"/>
    <w:rsid w:val="72874400"/>
    <w:rsid w:val="72897CF6"/>
    <w:rsid w:val="729B6B8D"/>
    <w:rsid w:val="72A83289"/>
    <w:rsid w:val="72AE51FA"/>
    <w:rsid w:val="72AE6847"/>
    <w:rsid w:val="72B03F3B"/>
    <w:rsid w:val="72B244D8"/>
    <w:rsid w:val="72BC36AE"/>
    <w:rsid w:val="72BD4050"/>
    <w:rsid w:val="72CB65F3"/>
    <w:rsid w:val="72D61BA2"/>
    <w:rsid w:val="72DF0A3B"/>
    <w:rsid w:val="72E93AC7"/>
    <w:rsid w:val="730161F2"/>
    <w:rsid w:val="73096D11"/>
    <w:rsid w:val="73163983"/>
    <w:rsid w:val="733A7E71"/>
    <w:rsid w:val="73572D9B"/>
    <w:rsid w:val="73662CF9"/>
    <w:rsid w:val="737F673B"/>
    <w:rsid w:val="7399224D"/>
    <w:rsid w:val="73A81128"/>
    <w:rsid w:val="73B72180"/>
    <w:rsid w:val="73BF0D34"/>
    <w:rsid w:val="73BF49CA"/>
    <w:rsid w:val="73C006BD"/>
    <w:rsid w:val="73CD0F58"/>
    <w:rsid w:val="73E044AD"/>
    <w:rsid w:val="73EC475B"/>
    <w:rsid w:val="73F14646"/>
    <w:rsid w:val="73F27BAF"/>
    <w:rsid w:val="74097E4A"/>
    <w:rsid w:val="740B6ED4"/>
    <w:rsid w:val="74104E36"/>
    <w:rsid w:val="74184051"/>
    <w:rsid w:val="74255AA2"/>
    <w:rsid w:val="74261812"/>
    <w:rsid w:val="74264157"/>
    <w:rsid w:val="743101C5"/>
    <w:rsid w:val="743A281E"/>
    <w:rsid w:val="74462EBD"/>
    <w:rsid w:val="745F2D9A"/>
    <w:rsid w:val="747928E1"/>
    <w:rsid w:val="74A658E1"/>
    <w:rsid w:val="74A71D24"/>
    <w:rsid w:val="74AA59A6"/>
    <w:rsid w:val="74C70FAD"/>
    <w:rsid w:val="74D80B53"/>
    <w:rsid w:val="74DB14EF"/>
    <w:rsid w:val="74E75BEC"/>
    <w:rsid w:val="75076E40"/>
    <w:rsid w:val="7520433C"/>
    <w:rsid w:val="7525711F"/>
    <w:rsid w:val="752F472F"/>
    <w:rsid w:val="75356728"/>
    <w:rsid w:val="753A7F99"/>
    <w:rsid w:val="754D465C"/>
    <w:rsid w:val="754F4935"/>
    <w:rsid w:val="75555FB8"/>
    <w:rsid w:val="755C1784"/>
    <w:rsid w:val="7563514F"/>
    <w:rsid w:val="75710DE1"/>
    <w:rsid w:val="75750A98"/>
    <w:rsid w:val="757D4029"/>
    <w:rsid w:val="75837F2C"/>
    <w:rsid w:val="758425F2"/>
    <w:rsid w:val="75940979"/>
    <w:rsid w:val="75A30E62"/>
    <w:rsid w:val="75BA604F"/>
    <w:rsid w:val="75D17047"/>
    <w:rsid w:val="75D73501"/>
    <w:rsid w:val="75ED1537"/>
    <w:rsid w:val="76111EC6"/>
    <w:rsid w:val="76195BCA"/>
    <w:rsid w:val="762B73A9"/>
    <w:rsid w:val="762C55FB"/>
    <w:rsid w:val="763640F5"/>
    <w:rsid w:val="763D388D"/>
    <w:rsid w:val="763E1747"/>
    <w:rsid w:val="76522B87"/>
    <w:rsid w:val="76576E5C"/>
    <w:rsid w:val="76630847"/>
    <w:rsid w:val="768B10C2"/>
    <w:rsid w:val="76981629"/>
    <w:rsid w:val="76A33CC1"/>
    <w:rsid w:val="76C9089E"/>
    <w:rsid w:val="76EF5C97"/>
    <w:rsid w:val="7705117C"/>
    <w:rsid w:val="771909AE"/>
    <w:rsid w:val="77210B8D"/>
    <w:rsid w:val="772D241A"/>
    <w:rsid w:val="772F1916"/>
    <w:rsid w:val="77305F4F"/>
    <w:rsid w:val="77A40618"/>
    <w:rsid w:val="77A6263E"/>
    <w:rsid w:val="77AB19CA"/>
    <w:rsid w:val="77AC00DC"/>
    <w:rsid w:val="77B4549B"/>
    <w:rsid w:val="77B74220"/>
    <w:rsid w:val="77B749E8"/>
    <w:rsid w:val="77D0696F"/>
    <w:rsid w:val="77D2242A"/>
    <w:rsid w:val="77DA1086"/>
    <w:rsid w:val="77E06E3E"/>
    <w:rsid w:val="77E7409B"/>
    <w:rsid w:val="77EC6934"/>
    <w:rsid w:val="77F14000"/>
    <w:rsid w:val="77F50617"/>
    <w:rsid w:val="77F60333"/>
    <w:rsid w:val="78191567"/>
    <w:rsid w:val="7824395F"/>
    <w:rsid w:val="782A3AD1"/>
    <w:rsid w:val="78420AA7"/>
    <w:rsid w:val="784E5F1E"/>
    <w:rsid w:val="78543B84"/>
    <w:rsid w:val="7863351A"/>
    <w:rsid w:val="787405A4"/>
    <w:rsid w:val="78852E1A"/>
    <w:rsid w:val="7893617E"/>
    <w:rsid w:val="78A83166"/>
    <w:rsid w:val="78C435B1"/>
    <w:rsid w:val="78C942A8"/>
    <w:rsid w:val="78CF04BF"/>
    <w:rsid w:val="78D6184E"/>
    <w:rsid w:val="78F16688"/>
    <w:rsid w:val="78F65DC0"/>
    <w:rsid w:val="78F7026D"/>
    <w:rsid w:val="790173AE"/>
    <w:rsid w:val="79337443"/>
    <w:rsid w:val="793938C7"/>
    <w:rsid w:val="793B7903"/>
    <w:rsid w:val="7943522D"/>
    <w:rsid w:val="7977469C"/>
    <w:rsid w:val="79872B48"/>
    <w:rsid w:val="798A547F"/>
    <w:rsid w:val="798E3E58"/>
    <w:rsid w:val="79915F01"/>
    <w:rsid w:val="79B4543F"/>
    <w:rsid w:val="79B85975"/>
    <w:rsid w:val="79D20883"/>
    <w:rsid w:val="79D31128"/>
    <w:rsid w:val="79D939C3"/>
    <w:rsid w:val="79E709F9"/>
    <w:rsid w:val="79E73C9A"/>
    <w:rsid w:val="7A067F11"/>
    <w:rsid w:val="7A083C89"/>
    <w:rsid w:val="7A11357A"/>
    <w:rsid w:val="7A244BB8"/>
    <w:rsid w:val="7A2C1830"/>
    <w:rsid w:val="7A3472DD"/>
    <w:rsid w:val="7A361AF6"/>
    <w:rsid w:val="7A4142F7"/>
    <w:rsid w:val="7A414757"/>
    <w:rsid w:val="7A5761AA"/>
    <w:rsid w:val="7A635B27"/>
    <w:rsid w:val="7A692D45"/>
    <w:rsid w:val="7A6C28FD"/>
    <w:rsid w:val="7A780722"/>
    <w:rsid w:val="7A91121B"/>
    <w:rsid w:val="7A9F4206"/>
    <w:rsid w:val="7AA9783C"/>
    <w:rsid w:val="7AB3168D"/>
    <w:rsid w:val="7ACD16AF"/>
    <w:rsid w:val="7AD26520"/>
    <w:rsid w:val="7AE364A4"/>
    <w:rsid w:val="7AEE04B7"/>
    <w:rsid w:val="7AEF2611"/>
    <w:rsid w:val="7AF303A2"/>
    <w:rsid w:val="7AF33FBD"/>
    <w:rsid w:val="7B076FF6"/>
    <w:rsid w:val="7B110D4C"/>
    <w:rsid w:val="7B134E72"/>
    <w:rsid w:val="7B2014A6"/>
    <w:rsid w:val="7B2142C8"/>
    <w:rsid w:val="7B327C76"/>
    <w:rsid w:val="7B85510B"/>
    <w:rsid w:val="7B873CE7"/>
    <w:rsid w:val="7B8D275A"/>
    <w:rsid w:val="7BB936FB"/>
    <w:rsid w:val="7BB93F97"/>
    <w:rsid w:val="7BF95D82"/>
    <w:rsid w:val="7BFB0786"/>
    <w:rsid w:val="7C1B2748"/>
    <w:rsid w:val="7C27784A"/>
    <w:rsid w:val="7C2D79D7"/>
    <w:rsid w:val="7C370CC0"/>
    <w:rsid w:val="7C3874AE"/>
    <w:rsid w:val="7C3B2FB3"/>
    <w:rsid w:val="7C3F5D03"/>
    <w:rsid w:val="7C441224"/>
    <w:rsid w:val="7C500316"/>
    <w:rsid w:val="7C5A422F"/>
    <w:rsid w:val="7C705B15"/>
    <w:rsid w:val="7C765B14"/>
    <w:rsid w:val="7C8E41ED"/>
    <w:rsid w:val="7C966762"/>
    <w:rsid w:val="7CA36A7E"/>
    <w:rsid w:val="7CAA6F11"/>
    <w:rsid w:val="7CB81DFB"/>
    <w:rsid w:val="7CBE43D7"/>
    <w:rsid w:val="7CC0084B"/>
    <w:rsid w:val="7CD9464A"/>
    <w:rsid w:val="7CE51FEA"/>
    <w:rsid w:val="7CFD979A"/>
    <w:rsid w:val="7D434CCC"/>
    <w:rsid w:val="7D59210E"/>
    <w:rsid w:val="7D5A735D"/>
    <w:rsid w:val="7D5D23BA"/>
    <w:rsid w:val="7D832D35"/>
    <w:rsid w:val="7D8365C1"/>
    <w:rsid w:val="7D853D75"/>
    <w:rsid w:val="7D864293"/>
    <w:rsid w:val="7D896E9D"/>
    <w:rsid w:val="7DA51208"/>
    <w:rsid w:val="7DD312F7"/>
    <w:rsid w:val="7DFF3CBD"/>
    <w:rsid w:val="7E096674"/>
    <w:rsid w:val="7E1252B3"/>
    <w:rsid w:val="7E174F7E"/>
    <w:rsid w:val="7E1C1010"/>
    <w:rsid w:val="7E1E2713"/>
    <w:rsid w:val="7E3E0555"/>
    <w:rsid w:val="7E411BBD"/>
    <w:rsid w:val="7E464798"/>
    <w:rsid w:val="7E6357DB"/>
    <w:rsid w:val="7E782434"/>
    <w:rsid w:val="7E811B6E"/>
    <w:rsid w:val="7E857DD3"/>
    <w:rsid w:val="7E8D4360"/>
    <w:rsid w:val="7E9A1078"/>
    <w:rsid w:val="7E9F1F32"/>
    <w:rsid w:val="7EA87DB1"/>
    <w:rsid w:val="7EAD79AC"/>
    <w:rsid w:val="7EB17CAA"/>
    <w:rsid w:val="7EBA20C8"/>
    <w:rsid w:val="7EBB3983"/>
    <w:rsid w:val="7ECF5E38"/>
    <w:rsid w:val="7ED212B4"/>
    <w:rsid w:val="7ED24865"/>
    <w:rsid w:val="7ED7457F"/>
    <w:rsid w:val="7EDF493C"/>
    <w:rsid w:val="7EF3157D"/>
    <w:rsid w:val="7F12457F"/>
    <w:rsid w:val="7F271466"/>
    <w:rsid w:val="7F342ABE"/>
    <w:rsid w:val="7F364167"/>
    <w:rsid w:val="7F512FDD"/>
    <w:rsid w:val="7F515E83"/>
    <w:rsid w:val="7F6134B5"/>
    <w:rsid w:val="7F6354F0"/>
    <w:rsid w:val="7F9D4E73"/>
    <w:rsid w:val="7FA5141B"/>
    <w:rsid w:val="7FB00A42"/>
    <w:rsid w:val="7FB1427D"/>
    <w:rsid w:val="7FB96309"/>
    <w:rsid w:val="7FC85B87"/>
    <w:rsid w:val="7FD300F9"/>
    <w:rsid w:val="7FD82EAB"/>
    <w:rsid w:val="7FE258AC"/>
    <w:rsid w:val="7FED5AFA"/>
    <w:rsid w:val="7FF42B7A"/>
    <w:rsid w:val="7FF44562"/>
    <w:rsid w:val="B3EE39D3"/>
    <w:rsid w:val="D6DFE36C"/>
    <w:rsid w:val="FAFF9388"/>
    <w:rsid w:val="FBFFDBE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Body Text"/>
    <w:basedOn w:val="1"/>
    <w:link w:val="23"/>
    <w:qFormat/>
    <w:uiPriority w:val="0"/>
    <w:rPr>
      <w:rFonts w:ascii="Times New Roman" w:hAnsi="Times New Roman" w:eastAsia="宋体" w:cs="Times New Roman"/>
      <w:szCs w:val="24"/>
      <w:u w:val="single"/>
    </w:rPr>
  </w:style>
  <w:style w:type="paragraph" w:styleId="6">
    <w:name w:val="endnote text"/>
    <w:basedOn w:val="1"/>
    <w:link w:val="48"/>
    <w:semiHidden/>
    <w:unhideWhenUsed/>
    <w:qFormat/>
    <w:uiPriority w:val="99"/>
    <w:pPr>
      <w:snapToGrid w:val="0"/>
      <w:jc w:val="left"/>
    </w:pPr>
  </w:style>
  <w:style w:type="paragraph" w:styleId="7">
    <w:name w:val="Balloon Text"/>
    <w:basedOn w:val="1"/>
    <w:link w:val="19"/>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Autospacing="1" w:afterAutospacing="1"/>
      <w:jc w:val="left"/>
    </w:pPr>
    <w:rPr>
      <w:rFonts w:cs="Times New Roman"/>
      <w:kern w:val="0"/>
      <w:sz w:val="24"/>
    </w:rPr>
  </w:style>
  <w:style w:type="paragraph" w:styleId="11">
    <w:name w:val="annotation subject"/>
    <w:basedOn w:val="4"/>
    <w:next w:val="4"/>
    <w:link w:val="26"/>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22"/>
    <w:rPr>
      <w:b/>
    </w:rPr>
  </w:style>
  <w:style w:type="character" w:styleId="16">
    <w:name w:val="endnote reference"/>
    <w:basedOn w:val="14"/>
    <w:semiHidden/>
    <w:unhideWhenUsed/>
    <w:qFormat/>
    <w:uiPriority w:val="99"/>
    <w:rPr>
      <w:vertAlign w:val="superscript"/>
    </w:rPr>
  </w:style>
  <w:style w:type="character" w:styleId="17">
    <w:name w:val="annotation reference"/>
    <w:basedOn w:val="14"/>
    <w:semiHidden/>
    <w:unhideWhenUsed/>
    <w:qFormat/>
    <w:uiPriority w:val="99"/>
    <w:rPr>
      <w:sz w:val="21"/>
      <w:szCs w:val="21"/>
    </w:rPr>
  </w:style>
  <w:style w:type="paragraph" w:customStyle="1" w:styleId="18">
    <w:name w:val="Char Char Char Char Char"/>
    <w:basedOn w:val="1"/>
    <w:qFormat/>
    <w:uiPriority w:val="0"/>
    <w:pPr>
      <w:widowControl/>
      <w:spacing w:after="160" w:line="240" w:lineRule="exact"/>
    </w:pPr>
    <w:rPr>
      <w:rFonts w:ascii="Times New Roman" w:hAnsi="Times New Roman" w:eastAsia="宋体" w:cs="Arial"/>
      <w:kern w:val="0"/>
      <w:sz w:val="22"/>
      <w:szCs w:val="20"/>
      <w:lang w:eastAsia="en-US"/>
    </w:rPr>
  </w:style>
  <w:style w:type="character" w:customStyle="1" w:styleId="19">
    <w:name w:val="批注框文本 Char"/>
    <w:basedOn w:val="14"/>
    <w:link w:val="7"/>
    <w:semiHidden/>
    <w:qFormat/>
    <w:uiPriority w:val="99"/>
    <w:rPr>
      <w:sz w:val="18"/>
      <w:szCs w:val="18"/>
    </w:r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正文文本 Char"/>
    <w:basedOn w:val="14"/>
    <w:link w:val="5"/>
    <w:qFormat/>
    <w:uiPriority w:val="0"/>
    <w:rPr>
      <w:rFonts w:ascii="Times New Roman" w:hAnsi="Times New Roman" w:eastAsia="宋体" w:cs="Times New Roman"/>
      <w:szCs w:val="24"/>
      <w:u w:val="single"/>
    </w:rPr>
  </w:style>
  <w:style w:type="paragraph" w:styleId="24">
    <w:name w:val="List Paragraph"/>
    <w:basedOn w:val="1"/>
    <w:qFormat/>
    <w:uiPriority w:val="34"/>
    <w:pPr>
      <w:ind w:firstLine="420" w:firstLineChars="200"/>
    </w:pPr>
  </w:style>
  <w:style w:type="character" w:customStyle="1" w:styleId="25">
    <w:name w:val="批注文字 Char"/>
    <w:basedOn w:val="14"/>
    <w:link w:val="4"/>
    <w:semiHidden/>
    <w:qFormat/>
    <w:uiPriority w:val="99"/>
  </w:style>
  <w:style w:type="character" w:customStyle="1" w:styleId="26">
    <w:name w:val="批注主题 Char"/>
    <w:basedOn w:val="25"/>
    <w:link w:val="11"/>
    <w:semiHidden/>
    <w:qFormat/>
    <w:uiPriority w:val="99"/>
    <w:rPr>
      <w:b/>
      <w:bCs/>
    </w:rPr>
  </w:style>
  <w:style w:type="paragraph" w:customStyle="1" w:styleId="27">
    <w:name w:val="Default"/>
    <w:basedOn w:val="1"/>
    <w:qFormat/>
    <w:uiPriority w:val="0"/>
    <w:pPr>
      <w:widowControl/>
      <w:autoSpaceDE w:val="0"/>
      <w:autoSpaceDN w:val="0"/>
      <w:jc w:val="left"/>
    </w:pPr>
    <w:rPr>
      <w:rFonts w:ascii="楷体" w:hAnsi="楷体" w:eastAsia="宋体" w:cs="宋体"/>
      <w:color w:val="000000"/>
      <w:kern w:val="0"/>
      <w:sz w:val="24"/>
      <w:szCs w:val="24"/>
    </w:rPr>
  </w:style>
  <w:style w:type="character" w:customStyle="1" w:styleId="28">
    <w:name w:val="标题 2 Char"/>
    <w:basedOn w:val="14"/>
    <w:link w:val="3"/>
    <w:qFormat/>
    <w:uiPriority w:val="0"/>
    <w:rPr>
      <w:rFonts w:ascii="Arial" w:hAnsi="Arial" w:eastAsia="黑体" w:cs="Times New Roman"/>
      <w:b/>
      <w:bCs/>
      <w:sz w:val="32"/>
      <w:szCs w:val="32"/>
    </w:rPr>
  </w:style>
  <w:style w:type="paragraph" w:customStyle="1" w:styleId="29">
    <w:name w:val="列出段落1"/>
    <w:basedOn w:val="1"/>
    <w:qFormat/>
    <w:uiPriority w:val="0"/>
    <w:pPr>
      <w:ind w:firstLine="420" w:firstLineChars="200"/>
    </w:pPr>
    <w:rPr>
      <w:rFonts w:ascii="Times New Roman" w:hAnsi="Times New Roman" w:eastAsia="宋体" w:cs="Times New Roman"/>
      <w:szCs w:val="24"/>
    </w:rPr>
  </w:style>
  <w:style w:type="paragraph" w:customStyle="1" w:styleId="30">
    <w:name w:val="一、二、三"/>
    <w:basedOn w:val="1"/>
    <w:next w:val="1"/>
    <w:link w:val="41"/>
    <w:qFormat/>
    <w:uiPriority w:val="0"/>
    <w:pPr>
      <w:widowControl/>
      <w:numPr>
        <w:ilvl w:val="0"/>
        <w:numId w:val="1"/>
      </w:numPr>
      <w:adjustRightInd w:val="0"/>
      <w:snapToGrid w:val="0"/>
      <w:spacing w:line="360" w:lineRule="auto"/>
      <w:ind w:left="0" w:firstLine="200" w:firstLineChars="200"/>
      <w:jc w:val="left"/>
    </w:pPr>
    <w:rPr>
      <w:rFonts w:ascii="宋体" w:hAnsi="宋体" w:eastAsia="宋体" w:cs="宋体"/>
      <w:color w:val="000000"/>
      <w:sz w:val="22"/>
    </w:rPr>
  </w:style>
  <w:style w:type="table" w:customStyle="1" w:styleId="31">
    <w:name w:val="网格型1"/>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32">
    <w:name w:val="TableGrid"/>
    <w:qFormat/>
    <w:uiPriority w:val="0"/>
    <w:rPr>
      <w:kern w:val="2"/>
      <w:sz w:val="21"/>
      <w:szCs w:val="22"/>
    </w:rPr>
    <w:tblPr>
      <w:tblCellMar>
        <w:top w:w="0" w:type="dxa"/>
        <w:left w:w="0" w:type="dxa"/>
        <w:bottom w:w="0" w:type="dxa"/>
        <w:right w:w="0" w:type="dxa"/>
      </w:tblCellMar>
    </w:tblPr>
  </w:style>
  <w:style w:type="paragraph" w:customStyle="1" w:styleId="33">
    <w:name w:val="第一条"/>
    <w:basedOn w:val="1"/>
    <w:link w:val="34"/>
    <w:qFormat/>
    <w:uiPriority w:val="0"/>
    <w:pPr>
      <w:widowControl/>
      <w:numPr>
        <w:ilvl w:val="0"/>
        <w:numId w:val="2"/>
      </w:numPr>
      <w:adjustRightInd w:val="0"/>
      <w:snapToGrid w:val="0"/>
      <w:spacing w:line="360" w:lineRule="auto"/>
      <w:ind w:left="0" w:firstLine="0"/>
      <w:jc w:val="left"/>
    </w:pPr>
    <w:rPr>
      <w:rFonts w:ascii="宋体" w:hAnsi="宋体" w:eastAsia="黑体" w:cs="宋体"/>
      <w:b/>
      <w:bCs/>
      <w:color w:val="000000"/>
    </w:rPr>
  </w:style>
  <w:style w:type="character" w:customStyle="1" w:styleId="34">
    <w:name w:val="第一条 字符"/>
    <w:basedOn w:val="14"/>
    <w:link w:val="33"/>
    <w:qFormat/>
    <w:uiPriority w:val="0"/>
    <w:rPr>
      <w:rFonts w:ascii="宋体" w:hAnsi="宋体" w:eastAsia="黑体" w:cs="宋体"/>
      <w:b/>
      <w:bCs/>
      <w:color w:val="000000"/>
      <w:kern w:val="2"/>
      <w:sz w:val="21"/>
      <w:szCs w:val="22"/>
    </w:rPr>
  </w:style>
  <w:style w:type="paragraph" w:customStyle="1" w:styleId="35">
    <w:name w:val="1、2、3"/>
    <w:next w:val="36"/>
    <w:link w:val="38"/>
    <w:qFormat/>
    <w:uiPriority w:val="0"/>
    <w:pPr>
      <w:numPr>
        <w:ilvl w:val="0"/>
        <w:numId w:val="3"/>
      </w:numPr>
      <w:adjustRightInd w:val="0"/>
      <w:snapToGrid w:val="0"/>
      <w:spacing w:line="276" w:lineRule="auto"/>
      <w:ind w:left="0" w:firstLine="200" w:firstLineChars="200"/>
    </w:pPr>
    <w:rPr>
      <w:rFonts w:ascii="宋体" w:hAnsi="宋体" w:eastAsia="楷体" w:cs="宋体"/>
      <w:color w:val="000000"/>
      <w:kern w:val="2"/>
      <w:sz w:val="21"/>
      <w:szCs w:val="22"/>
      <w:lang w:val="en-US" w:eastAsia="zh-CN" w:bidi="ar-SA"/>
    </w:rPr>
  </w:style>
  <w:style w:type="paragraph" w:customStyle="1" w:styleId="36">
    <w:name w:val="1)2)3)"/>
    <w:basedOn w:val="1"/>
    <w:next w:val="1"/>
    <w:link w:val="40"/>
    <w:qFormat/>
    <w:uiPriority w:val="0"/>
    <w:pPr>
      <w:widowControl/>
      <w:numPr>
        <w:ilvl w:val="0"/>
        <w:numId w:val="4"/>
      </w:numPr>
      <w:adjustRightInd w:val="0"/>
      <w:snapToGrid w:val="0"/>
      <w:spacing w:line="276" w:lineRule="auto"/>
      <w:ind w:left="200" w:leftChars="200" w:firstLine="200" w:firstLineChars="200"/>
      <w:jc w:val="left"/>
    </w:pPr>
    <w:rPr>
      <w:rFonts w:ascii="宋体" w:hAnsi="宋体" w:eastAsia="楷体" w:cs="宋体"/>
      <w:color w:val="000000"/>
    </w:rPr>
  </w:style>
  <w:style w:type="paragraph" w:customStyle="1" w:styleId="37">
    <w:name w:val="粗体一、二、三"/>
    <w:link w:val="39"/>
    <w:qFormat/>
    <w:uiPriority w:val="0"/>
    <w:pPr>
      <w:numPr>
        <w:ilvl w:val="0"/>
        <w:numId w:val="5"/>
      </w:numPr>
      <w:spacing w:before="50" w:beforeLines="50" w:after="50" w:afterLines="50"/>
      <w:outlineLvl w:val="1"/>
    </w:pPr>
    <w:rPr>
      <w:rFonts w:ascii="宋体" w:hAnsi="宋体" w:eastAsia="宋体" w:cs="宋体"/>
      <w:b/>
      <w:color w:val="000000"/>
      <w:kern w:val="2"/>
      <w:sz w:val="22"/>
      <w:szCs w:val="22"/>
      <w:lang w:val="en-US" w:eastAsia="zh-CN" w:bidi="ar-SA"/>
    </w:rPr>
  </w:style>
  <w:style w:type="character" w:customStyle="1" w:styleId="38">
    <w:name w:val="1、2、3 字符"/>
    <w:basedOn w:val="14"/>
    <w:link w:val="35"/>
    <w:qFormat/>
    <w:uiPriority w:val="0"/>
    <w:rPr>
      <w:rFonts w:ascii="宋体" w:hAnsi="宋体" w:eastAsia="楷体" w:cs="宋体"/>
      <w:color w:val="000000"/>
      <w:kern w:val="2"/>
      <w:sz w:val="21"/>
      <w:szCs w:val="22"/>
    </w:rPr>
  </w:style>
  <w:style w:type="character" w:customStyle="1" w:styleId="39">
    <w:name w:val="粗体一、二、三 字符"/>
    <w:basedOn w:val="38"/>
    <w:link w:val="37"/>
    <w:qFormat/>
    <w:uiPriority w:val="0"/>
    <w:rPr>
      <w:rFonts w:ascii="宋体" w:hAnsi="宋体" w:eastAsia="宋体" w:cs="宋体"/>
      <w:b/>
      <w:color w:val="000000"/>
      <w:kern w:val="2"/>
      <w:sz w:val="22"/>
      <w:szCs w:val="22"/>
    </w:rPr>
  </w:style>
  <w:style w:type="character" w:customStyle="1" w:styleId="40">
    <w:name w:val="1)2)3) 字符"/>
    <w:basedOn w:val="14"/>
    <w:link w:val="36"/>
    <w:qFormat/>
    <w:uiPriority w:val="0"/>
    <w:rPr>
      <w:rFonts w:ascii="宋体" w:hAnsi="宋体" w:eastAsia="楷体" w:cs="宋体"/>
      <w:color w:val="000000"/>
      <w:kern w:val="2"/>
      <w:sz w:val="21"/>
      <w:szCs w:val="22"/>
    </w:rPr>
  </w:style>
  <w:style w:type="character" w:customStyle="1" w:styleId="41">
    <w:name w:val="一、二、三 字符"/>
    <w:basedOn w:val="14"/>
    <w:link w:val="30"/>
    <w:qFormat/>
    <w:uiPriority w:val="0"/>
    <w:rPr>
      <w:rFonts w:ascii="宋体" w:hAnsi="宋体" w:eastAsia="宋体" w:cs="宋体"/>
      <w:color w:val="000000"/>
      <w:kern w:val="2"/>
      <w:sz w:val="22"/>
      <w:szCs w:val="22"/>
    </w:rPr>
  </w:style>
  <w:style w:type="paragraph" w:customStyle="1" w:styleId="42">
    <w:name w:val="A、B、C、"/>
    <w:basedOn w:val="36"/>
    <w:link w:val="44"/>
    <w:qFormat/>
    <w:uiPriority w:val="0"/>
    <w:pPr>
      <w:numPr>
        <w:numId w:val="6"/>
      </w:numPr>
      <w:ind w:left="400" w:leftChars="400"/>
    </w:pPr>
  </w:style>
  <w:style w:type="paragraph" w:customStyle="1" w:styleId="43">
    <w:name w:val="1）的正文"/>
    <w:basedOn w:val="1"/>
    <w:link w:val="45"/>
    <w:qFormat/>
    <w:uiPriority w:val="0"/>
    <w:pPr>
      <w:widowControl/>
      <w:adjustRightInd w:val="0"/>
      <w:snapToGrid w:val="0"/>
      <w:spacing w:line="276" w:lineRule="auto"/>
      <w:ind w:left="200" w:leftChars="200" w:firstLine="200" w:firstLineChars="200"/>
      <w:jc w:val="left"/>
    </w:pPr>
    <w:rPr>
      <w:rFonts w:ascii="宋体" w:hAnsi="宋体" w:eastAsia="楷体" w:cs="宋体"/>
      <w:color w:val="000000"/>
    </w:rPr>
  </w:style>
  <w:style w:type="character" w:customStyle="1" w:styleId="44">
    <w:name w:val="A、B、C、 字符"/>
    <w:basedOn w:val="40"/>
    <w:link w:val="42"/>
    <w:qFormat/>
    <w:uiPriority w:val="0"/>
    <w:rPr>
      <w:rFonts w:ascii="宋体" w:hAnsi="宋体" w:eastAsia="楷体" w:cs="宋体"/>
      <w:color w:val="000000"/>
      <w:kern w:val="2"/>
      <w:sz w:val="21"/>
      <w:szCs w:val="22"/>
    </w:rPr>
  </w:style>
  <w:style w:type="character" w:customStyle="1" w:styleId="45">
    <w:name w:val="1）的正文 字符"/>
    <w:basedOn w:val="14"/>
    <w:link w:val="43"/>
    <w:qFormat/>
    <w:uiPriority w:val="0"/>
    <w:rPr>
      <w:rFonts w:ascii="宋体" w:hAnsi="宋体" w:eastAsia="楷体" w:cs="宋体"/>
      <w:color w:val="000000"/>
      <w:kern w:val="2"/>
      <w:sz w:val="21"/>
      <w:szCs w:val="22"/>
    </w:rPr>
  </w:style>
  <w:style w:type="character" w:customStyle="1" w:styleId="46">
    <w:name w:val="标题 1 Char"/>
    <w:basedOn w:val="14"/>
    <w:link w:val="2"/>
    <w:qFormat/>
    <w:uiPriority w:val="9"/>
    <w:rPr>
      <w:b/>
      <w:bCs/>
      <w:kern w:val="44"/>
      <w:sz w:val="44"/>
      <w:szCs w:val="44"/>
    </w:rPr>
  </w:style>
  <w:style w:type="paragraph" w:customStyle="1" w:styleId="47">
    <w:name w:val="正文所"/>
    <w:basedOn w:val="1"/>
    <w:qFormat/>
    <w:uiPriority w:val="0"/>
    <w:pPr>
      <w:spacing w:line="360" w:lineRule="auto"/>
      <w:ind w:firstLine="420" w:firstLineChars="200"/>
    </w:pPr>
    <w:rPr>
      <w:rFonts w:ascii="宋体" w:hAnsi="Times New Roman" w:eastAsia="华文宋体" w:cs="Times New Roman"/>
      <w:sz w:val="24"/>
      <w:szCs w:val="20"/>
    </w:rPr>
  </w:style>
  <w:style w:type="character" w:customStyle="1" w:styleId="48">
    <w:name w:val="尾注文本 Char"/>
    <w:basedOn w:val="14"/>
    <w:link w:val="6"/>
    <w:semiHidden/>
    <w:qFormat/>
    <w:uiPriority w:val="99"/>
    <w:rPr>
      <w:rFonts w:asciiTheme="minorHAnsi" w:hAnsiTheme="minorHAnsi" w:eastAsiaTheme="minorEastAsia" w:cstheme="minorBidi"/>
      <w:kern w:val="2"/>
      <w:sz w:val="21"/>
      <w:szCs w:val="22"/>
    </w:rPr>
  </w:style>
  <w:style w:type="paragraph" w:customStyle="1" w:styleId="49">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50">
    <w:name w:val="font41"/>
    <w:basedOn w:val="14"/>
    <w:qFormat/>
    <w:uiPriority w:val="0"/>
    <w:rPr>
      <w:rFonts w:hint="eastAsia" w:ascii="楷体" w:hAnsi="楷体" w:eastAsia="楷体" w:cs="楷体"/>
      <w:b/>
      <w:bCs/>
      <w:color w:val="C00000"/>
      <w:sz w:val="21"/>
      <w:szCs w:val="21"/>
      <w:u w:val="single"/>
    </w:rPr>
  </w:style>
  <w:style w:type="character" w:customStyle="1" w:styleId="51">
    <w:name w:val="font31"/>
    <w:basedOn w:val="14"/>
    <w:qFormat/>
    <w:uiPriority w:val="0"/>
    <w:rPr>
      <w:rFonts w:hint="eastAsia" w:ascii="楷体" w:hAnsi="楷体" w:eastAsia="楷体" w:cs="楷体"/>
      <w:b/>
      <w:bCs/>
      <w:color w:val="000000"/>
      <w:sz w:val="21"/>
      <w:szCs w:val="21"/>
      <w:u w:val="none"/>
    </w:rPr>
  </w:style>
  <w:style w:type="character" w:customStyle="1" w:styleId="52">
    <w:name w:val="font01"/>
    <w:basedOn w:val="14"/>
    <w:qFormat/>
    <w:uiPriority w:val="0"/>
    <w:rPr>
      <w:rFonts w:ascii="楷体_GB2312" w:eastAsia="楷体_GB2312" w:cs="楷体_GB2312"/>
      <w:b/>
      <w:bCs/>
      <w:color w:val="000000"/>
      <w:sz w:val="21"/>
      <w:szCs w:val="21"/>
      <w:u w:val="none"/>
    </w:rPr>
  </w:style>
  <w:style w:type="character" w:customStyle="1" w:styleId="53">
    <w:name w:val="15"/>
    <w:basedOn w:val="14"/>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FD41C6-4FC4-42D5-988F-65C3B59A7C9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37926</Words>
  <Characters>38587</Characters>
  <Lines>246</Lines>
  <Paragraphs>69</Paragraphs>
  <TotalTime>0</TotalTime>
  <ScaleCrop>false</ScaleCrop>
  <LinksUpToDate>false</LinksUpToDate>
  <CharactersWithSpaces>38905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2022-04-05T14:12:00Z</dcterms:created>
  <dc:creator>微软用户</dc:creator>
  <cp:lastModifiedBy>周 翔</cp:lastModifiedBy>
  <dcterms:modified xsi:type="dcterms:W3CDTF">2025-07-21T09:55:58Z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4C03DA4496B441A086B0D676CF29F745</vt:lpwstr>
  </property>
  <property fmtid="{D5CDD505-2E9C-101B-9397-08002B2CF9AE}" pid="3" name="KSOProductBuildVer">
    <vt:lpwstr>2052-11.8.2.10321</vt:lpwstr>
  </property>
</Properties>
</file>