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ascii="楷体_GB2312" w:hAnsi="宋体" w:eastAsia="楷体_GB2312"/>
          <w:b/>
          <w:bCs/>
          <w:szCs w:val="21"/>
        </w:rPr>
      </w:pPr>
    </w:p>
    <w:p>
      <w:pPr>
        <w:pStyle w:val="2"/>
        <w:spacing w:after="0" w:line="360" w:lineRule="auto"/>
        <w:jc w:val="center"/>
        <w:rPr>
          <w:rFonts w:ascii="黑体" w:hAnsi="黑体" w:eastAsia="黑体" w:cs="黑体"/>
          <w:sz w:val="36"/>
          <w:szCs w:val="36"/>
        </w:rPr>
      </w:pPr>
      <w:r>
        <w:rPr>
          <w:rFonts w:hint="eastAsia" w:ascii="黑体" w:hAnsi="黑体" w:eastAsia="黑体" w:cs="黑体"/>
          <w:sz w:val="36"/>
          <w:szCs w:val="36"/>
        </w:rPr>
        <w:t>上银理财有限责任公司</w:t>
      </w:r>
      <w:r>
        <w:rPr>
          <w:rFonts w:hint="eastAsia" w:ascii="黑体" w:hAnsi="黑体" w:eastAsia="黑体" w:cs="黑体"/>
          <w:sz w:val="36"/>
          <w:szCs w:val="36"/>
          <w:lang w:val="en-US" w:eastAsia="zh-CN"/>
        </w:rPr>
        <w:t>理财</w:t>
      </w:r>
      <w:r>
        <w:rPr>
          <w:rFonts w:hint="eastAsia" w:ascii="黑体" w:hAnsi="黑体" w:eastAsia="黑体" w:cs="黑体"/>
          <w:sz w:val="36"/>
          <w:szCs w:val="36"/>
        </w:rPr>
        <w:t>产品投资协议书</w:t>
      </w:r>
    </w:p>
    <w:p>
      <w:pPr>
        <w:spacing w:line="360" w:lineRule="auto"/>
        <w:ind w:firstLine="720"/>
        <w:jc w:val="center"/>
        <w:rPr>
          <w:rFonts w:ascii="黑体" w:hAnsi="黑体" w:eastAsia="黑体"/>
          <w:b/>
          <w:bCs/>
          <w:sz w:val="28"/>
        </w:rPr>
      </w:pPr>
      <w:r>
        <w:rPr>
          <w:rFonts w:hint="eastAsia" w:ascii="黑体" w:hAnsi="黑体" w:eastAsia="黑体"/>
          <w:b/>
          <w:bCs/>
          <w:sz w:val="28"/>
        </w:rPr>
        <w:t>（版本号：20</w:t>
      </w:r>
      <w:r>
        <w:rPr>
          <w:rFonts w:hint="eastAsia" w:ascii="黑体" w:hAnsi="黑体" w:eastAsia="黑体"/>
          <w:b/>
          <w:bCs/>
          <w:sz w:val="28"/>
          <w:lang w:val="en-US" w:eastAsia="zh-CN"/>
        </w:rPr>
        <w:t>25</w:t>
      </w:r>
      <w:r>
        <w:rPr>
          <w:rFonts w:hint="eastAsia" w:ascii="黑体" w:hAnsi="黑体" w:eastAsia="黑体"/>
          <w:b/>
          <w:bCs/>
          <w:sz w:val="28"/>
        </w:rPr>
        <w:t>.01）</w:t>
      </w:r>
    </w:p>
    <w:p>
      <w:pPr>
        <w:widowControl/>
        <w:spacing w:line="360" w:lineRule="auto"/>
        <w:ind w:firstLine="480"/>
        <w:jc w:val="center"/>
        <w:rPr>
          <w:rFonts w:ascii="仿宋" w:hAnsi="仿宋" w:eastAsia="仿宋" w:cs="仿宋"/>
          <w:b/>
          <w:kern w:val="0"/>
          <w:sz w:val="24"/>
          <w:lang w:bidi="ar"/>
        </w:rPr>
      </w:pPr>
    </w:p>
    <w:p>
      <w:pPr>
        <w:spacing w:line="360" w:lineRule="auto"/>
        <w:ind w:firstLine="720"/>
        <w:jc w:val="center"/>
        <w:rPr>
          <w:rFonts w:ascii="黑体" w:hAnsi="黑体" w:eastAsia="黑体"/>
          <w:b/>
          <w:bCs/>
          <w:sz w:val="28"/>
        </w:rPr>
      </w:pPr>
      <w:r>
        <w:rPr>
          <w:rFonts w:hint="eastAsia" w:ascii="黑体" w:hAnsi="黑体" w:eastAsia="黑体"/>
          <w:b/>
          <w:bCs/>
          <w:sz w:val="28"/>
        </w:rPr>
        <w:t>理财非存款、产品有风险、投资须谨慎。</w:t>
      </w:r>
    </w:p>
    <w:p>
      <w:pPr>
        <w:pStyle w:val="3"/>
        <w:spacing w:before="0" w:after="0" w:line="360" w:lineRule="auto"/>
        <w:jc w:val="left"/>
        <w:rPr>
          <w:rFonts w:ascii="仿宋" w:hAnsi="仿宋" w:eastAsia="仿宋" w:cs="仿宋"/>
          <w:sz w:val="24"/>
          <w:szCs w:val="24"/>
        </w:rPr>
      </w:pP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投资者（以下简称“甲方”）自愿购买由上银理财有限责任公司（以下简称“乙方”）作为管理人发行的【上银理财</w:t>
      </w:r>
      <w:bookmarkStart w:id="3" w:name="_GoBack"/>
      <w:bookmarkEnd w:id="3"/>
      <w:r>
        <w:rPr>
          <w:rFonts w:hint="eastAsia" w:ascii="仿宋" w:hAnsi="仿宋" w:eastAsia="仿宋" w:cs="仿宋"/>
          <w:kern w:val="0"/>
          <w:sz w:val="24"/>
          <w:lang w:bidi="ar"/>
        </w:rPr>
        <w:t>“易享利”系列开放式（3个月持有期）理财产品WPEK24M0305期】理财产品（产品代码：【WPEK24M0305】以下简称“本理财产品”），并签订本协议。</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本协议为规范甲乙双方在理财业务中权利和义务的法律文件。订立本协议的原则是平等自愿、诚实信用、充分保护投资者的合法权益。</w:t>
      </w:r>
      <w:r>
        <w:rPr>
          <w:rFonts w:hint="eastAsia" w:ascii="仿宋" w:hAnsi="仿宋" w:eastAsia="仿宋" w:cs="仿宋"/>
          <w:b/>
          <w:bCs/>
          <w:kern w:val="0"/>
          <w:sz w:val="24"/>
          <w:lang w:bidi="ar"/>
        </w:rPr>
        <w:t>请投资者认真阅读以下条款，尤其是标注加粗的条款。如果投资者不同意本协议的任何内容，或者无法准确理解相关条款的解释，请不要进行后续操作。</w:t>
      </w:r>
    </w:p>
    <w:p>
      <w:pPr>
        <w:widowControl/>
        <w:spacing w:line="360" w:lineRule="auto"/>
        <w:ind w:firstLine="420"/>
        <w:rPr>
          <w:rFonts w:ascii="仿宋" w:hAnsi="仿宋" w:eastAsia="仿宋" w:cs="仿宋"/>
          <w:b/>
          <w:bCs/>
          <w:sz w:val="24"/>
        </w:rPr>
      </w:pPr>
      <w:r>
        <w:rPr>
          <w:rFonts w:hint="eastAsia" w:ascii="仿宋" w:hAnsi="仿宋" w:eastAsia="仿宋" w:cs="仿宋"/>
          <w:b/>
          <w:bCs/>
          <w:kern w:val="0"/>
          <w:sz w:val="24"/>
          <w:lang w:bidi="ar"/>
        </w:rPr>
        <w:t>甲方承诺：</w:t>
      </w:r>
      <w:r>
        <w:rPr>
          <w:rFonts w:hint="eastAsia" w:ascii="仿宋" w:hAnsi="仿宋" w:eastAsia="仿宋" w:cs="仿宋"/>
          <w:b/>
          <w:sz w:val="24"/>
          <w:szCs w:val="28"/>
          <w:lang w:bidi="ar"/>
        </w:rPr>
        <w:t>甲方已经阅读本理财产品所有销售文件，清楚知晓其内容，对有关条款不存在任何疑问或异议，接受并签署本投资协议书。</w:t>
      </w:r>
      <w:r>
        <w:rPr>
          <w:rFonts w:hint="eastAsia" w:ascii="仿宋" w:hAnsi="仿宋" w:eastAsia="仿宋" w:cs="仿宋"/>
          <w:b/>
          <w:sz w:val="24"/>
          <w:szCs w:val="28"/>
        </w:rPr>
        <w:t>甲方以自身合法持有的资金购买乙方发行并管理的产品，并能充分理解所购买产品的内容，完全知晓产品可能出现的各种风险，愿意并能够承担风险；如甲方在本协议项下投资的理财产品为“私募理财产品”，甲方符合监管要求的合格投资者条件。乙方向甲方提供的市场分析和预测仅供参考，甲方据此做出的任何决策均出于甲方自身的判断，并自愿承担购买</w:t>
      </w:r>
      <w:r>
        <w:rPr>
          <w:rFonts w:hint="eastAsia" w:ascii="仿宋" w:hAnsi="仿宋" w:eastAsia="仿宋" w:cs="仿宋"/>
          <w:b/>
          <w:sz w:val="24"/>
          <w:szCs w:val="28"/>
          <w:lang w:bidi="ar"/>
        </w:rPr>
        <w:t>（或赎回、撤单等其他行为）</w:t>
      </w:r>
      <w:r>
        <w:rPr>
          <w:rFonts w:hint="eastAsia" w:ascii="仿宋" w:hAnsi="仿宋" w:eastAsia="仿宋" w:cs="仿宋"/>
          <w:b/>
          <w:sz w:val="24"/>
          <w:szCs w:val="28"/>
        </w:rPr>
        <w:t>理财产品所产生的相关风险和全部后果。</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第一条 协议的构成和效力</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本协议与相应期次理财产品的《产品说明书》、《风险揭示书》、《销售协议书》、《客户权益须知》等相关文件共同构成一份完整且不可分割的、关于甲方投资乙方理财产品的法律文件（以下简称“理财产品文件”）。本协议与《产品说明书》不一致的内容，以《产品说明书》约定为准。</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第二条 风险揭示</w:t>
      </w:r>
    </w:p>
    <w:p>
      <w:pPr>
        <w:widowControl/>
        <w:spacing w:line="360" w:lineRule="auto"/>
        <w:ind w:firstLine="482"/>
        <w:rPr>
          <w:rFonts w:ascii="仿宋" w:hAnsi="仿宋" w:eastAsia="仿宋" w:cs="仿宋"/>
          <w:b/>
          <w:bCs/>
          <w:sz w:val="24"/>
        </w:rPr>
      </w:pPr>
      <w:r>
        <w:rPr>
          <w:rFonts w:hint="eastAsia" w:ascii="仿宋" w:hAnsi="仿宋" w:eastAsia="仿宋" w:cs="仿宋"/>
          <w:b/>
          <w:bCs/>
          <w:kern w:val="0"/>
          <w:sz w:val="24"/>
          <w:lang w:bidi="ar"/>
        </w:rPr>
        <w:t>理财非存款、产品有风险、投资须谨慎。理财产品过往业绩不代表其未来表现，不等于理财产品实际收益。投资理财产品可能面临各种风险因素，具体于相应期次理财产品《风险揭示书》中进行揭示，甲方应仔细阅读并充分理解相关销售文件。</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第三条 甲方的权利和义务</w:t>
      </w:r>
    </w:p>
    <w:p>
      <w:pPr>
        <w:widowControl/>
        <w:spacing w:line="360" w:lineRule="auto"/>
        <w:ind w:firstLine="480" w:firstLineChars="200"/>
        <w:rPr>
          <w:rFonts w:hint="eastAsia" w:ascii="仿宋" w:hAnsi="仿宋" w:eastAsia="仿宋" w:cs="仿宋"/>
          <w:kern w:val="0"/>
          <w:sz w:val="24"/>
          <w:lang w:val="en-US" w:eastAsia="zh-CN" w:bidi="ar"/>
        </w:rPr>
      </w:pPr>
      <w:bookmarkStart w:id="0" w:name="_Hlk100080347"/>
      <w:r>
        <w:rPr>
          <w:rFonts w:hint="eastAsia" w:ascii="仿宋" w:hAnsi="仿宋" w:eastAsia="仿宋" w:cs="仿宋"/>
          <w:kern w:val="0"/>
          <w:sz w:val="24"/>
          <w:lang w:bidi="ar"/>
        </w:rPr>
        <w:t>1.</w:t>
      </w:r>
      <w:r>
        <w:rPr>
          <w:rFonts w:hint="eastAsia" w:ascii="仿宋" w:hAnsi="仿宋" w:eastAsia="仿宋" w:cs="仿宋"/>
          <w:kern w:val="0"/>
          <w:sz w:val="24"/>
          <w:lang w:val="en-US" w:eastAsia="zh-CN" w:bidi="ar"/>
        </w:rPr>
        <w:t>【适用于个人投资者】甲方具有完全民事行为能力，有完全适当的资格与能力签订并履行理财产品合同，不存在法律、行政法规有关规定禁止或限制投资理财产品的情形。</w:t>
      </w:r>
    </w:p>
    <w:p>
      <w:pPr>
        <w:widowControl/>
        <w:spacing w:line="360" w:lineRule="auto"/>
        <w:ind w:firstLine="480" w:firstLineChars="0"/>
        <w:rPr>
          <w:rFonts w:hint="eastAsia" w:ascii="仿宋" w:hAnsi="仿宋" w:eastAsia="仿宋" w:cs="仿宋"/>
          <w:kern w:val="0"/>
          <w:sz w:val="24"/>
          <w:lang w:val="en-US" w:eastAsia="zh-CN" w:bidi="ar"/>
        </w:rPr>
      </w:pPr>
      <w:r>
        <w:rPr>
          <w:rFonts w:hint="eastAsia" w:ascii="仿宋" w:hAnsi="仿宋" w:eastAsia="仿宋" w:cs="仿宋"/>
          <w:kern w:val="0"/>
          <w:sz w:val="24"/>
          <w:lang w:val="en-US" w:eastAsia="zh-CN" w:bidi="ar"/>
        </w:rPr>
        <w:t>【适用于机构投资者】甲方确认签署和履行理财产品合同系其真实意思表示，已经按照其章程或者其它内部管理文件的要求取得合法、有效的授权且不违反对其有约束力的任何合同和其他法律文件；甲方已经取得签订和履行理财产品合同所需的一切有关批准、许可、备案或者登记。</w:t>
      </w:r>
    </w:p>
    <w:p>
      <w:pPr>
        <w:widowControl/>
        <w:spacing w:line="360" w:lineRule="auto"/>
        <w:ind w:firstLine="480" w:firstLineChars="0"/>
        <w:rPr>
          <w:rFonts w:hint="eastAsia" w:ascii="仿宋" w:hAnsi="仿宋" w:eastAsia="仿宋" w:cs="仿宋"/>
          <w:kern w:val="0"/>
          <w:sz w:val="24"/>
          <w:lang w:bidi="ar"/>
        </w:rPr>
      </w:pPr>
      <w:r>
        <w:rPr>
          <w:rFonts w:hint="eastAsia" w:ascii="仿宋" w:hAnsi="仿宋" w:eastAsia="仿宋" w:cs="仿宋"/>
          <w:kern w:val="0"/>
          <w:sz w:val="24"/>
          <w:lang w:val="en-US" w:eastAsia="zh-CN" w:bidi="ar"/>
        </w:rPr>
        <w:t>2.</w:t>
      </w:r>
      <w:r>
        <w:rPr>
          <w:rFonts w:hint="eastAsia" w:ascii="仿宋" w:hAnsi="仿宋" w:eastAsia="仿宋" w:cs="仿宋"/>
          <w:kern w:val="0"/>
          <w:sz w:val="24"/>
          <w:lang w:bidi="ar"/>
        </w:rPr>
        <w:t>甲方有权通过《产品说明书》了解包括但不限于本理财产品的投资范围、投资资产种类和投资比例等内容。</w:t>
      </w:r>
    </w:p>
    <w:p>
      <w:pPr>
        <w:widowControl/>
        <w:spacing w:line="360" w:lineRule="auto"/>
        <w:ind w:firstLine="480" w:firstLineChars="200"/>
        <w:rPr>
          <w:rFonts w:hint="eastAsia" w:ascii="仿宋" w:hAnsi="仿宋" w:eastAsia="仿宋" w:cs="仿宋"/>
          <w:kern w:val="0"/>
          <w:sz w:val="24"/>
          <w:szCs w:val="22"/>
          <w:lang w:eastAsia="zh-CN" w:bidi="ar"/>
        </w:rPr>
      </w:pPr>
      <w:r>
        <w:rPr>
          <w:rFonts w:hint="eastAsia" w:ascii="仿宋" w:hAnsi="仿宋" w:eastAsia="仿宋" w:cs="仿宋"/>
          <w:kern w:val="0"/>
          <w:sz w:val="24"/>
          <w:szCs w:val="22"/>
          <w:lang w:val="en-US" w:eastAsia="zh-CN" w:bidi="ar"/>
        </w:rPr>
        <w:t>3</w:t>
      </w:r>
      <w:r>
        <w:rPr>
          <w:rFonts w:hint="eastAsia" w:ascii="仿宋" w:hAnsi="仿宋" w:eastAsia="仿宋" w:cs="仿宋"/>
          <w:kern w:val="0"/>
          <w:sz w:val="24"/>
          <w:szCs w:val="22"/>
          <w:lang w:bidi="ar"/>
        </w:rPr>
        <w:t>.甲方有权按照本合同、《产品说明书》的约定，购买或赎回本理财产品</w:t>
      </w:r>
      <w:r>
        <w:rPr>
          <w:rFonts w:hint="eastAsia" w:ascii="仿宋" w:hAnsi="仿宋" w:eastAsia="仿宋" w:cs="仿宋"/>
          <w:kern w:val="0"/>
          <w:sz w:val="24"/>
          <w:szCs w:val="22"/>
          <w:lang w:eastAsia="zh-CN" w:bidi="ar"/>
        </w:rPr>
        <w:t>。</w:t>
      </w:r>
    </w:p>
    <w:p>
      <w:pPr>
        <w:spacing w:line="360" w:lineRule="auto"/>
        <w:ind w:firstLine="480" w:firstLineChars="200"/>
        <w:rPr>
          <w:rFonts w:hint="eastAsia" w:ascii="仿宋" w:hAnsi="仿宋" w:eastAsia="仿宋" w:cs="仿宋"/>
          <w:kern w:val="0"/>
          <w:sz w:val="24"/>
          <w:lang w:eastAsia="zh-CN" w:bidi="ar"/>
        </w:rPr>
      </w:pPr>
      <w:r>
        <w:rPr>
          <w:rFonts w:hint="eastAsia" w:ascii="仿宋" w:hAnsi="仿宋" w:eastAsia="仿宋" w:cs="仿宋"/>
          <w:kern w:val="0"/>
          <w:sz w:val="24"/>
          <w:szCs w:val="22"/>
          <w:lang w:val="en-US" w:eastAsia="zh-CN" w:bidi="ar"/>
        </w:rPr>
        <w:t>4</w:t>
      </w:r>
      <w:r>
        <w:rPr>
          <w:rFonts w:hint="eastAsia" w:ascii="仿宋" w:hAnsi="仿宋" w:eastAsia="仿宋" w:cs="仿宋"/>
          <w:kern w:val="0"/>
          <w:sz w:val="24"/>
          <w:szCs w:val="22"/>
          <w:lang w:bidi="ar"/>
        </w:rPr>
        <w:t>.甲方有权取得与持有份额相对应的投资收益、分配清算后的剩余财产（如有）</w:t>
      </w:r>
      <w:r>
        <w:rPr>
          <w:rFonts w:hint="eastAsia" w:ascii="仿宋" w:hAnsi="仿宋" w:eastAsia="仿宋" w:cs="仿宋"/>
          <w:kern w:val="0"/>
          <w:sz w:val="24"/>
          <w:szCs w:val="22"/>
          <w:lang w:eastAsia="zh-CN" w:bidi="ar"/>
        </w:rPr>
        <w:t>。</w:t>
      </w:r>
    </w:p>
    <w:bookmarkEnd w:id="0"/>
    <w:p>
      <w:pPr>
        <w:widowControl/>
        <w:spacing w:line="360" w:lineRule="auto"/>
        <w:ind w:firstLine="480"/>
        <w:rPr>
          <w:rFonts w:hint="eastAsia" w:ascii="仿宋" w:hAnsi="仿宋" w:eastAsia="仿宋" w:cs="仿宋"/>
          <w:kern w:val="0"/>
          <w:sz w:val="24"/>
          <w:lang w:bidi="ar"/>
        </w:rPr>
      </w:pPr>
      <w:r>
        <w:rPr>
          <w:rFonts w:hint="eastAsia" w:ascii="仿宋" w:hAnsi="仿宋" w:eastAsia="仿宋" w:cs="仿宋"/>
          <w:kern w:val="0"/>
          <w:sz w:val="24"/>
          <w:lang w:val="en-US" w:eastAsia="zh-CN" w:bidi="ar"/>
        </w:rPr>
        <w:t>5</w:t>
      </w:r>
      <w:r>
        <w:rPr>
          <w:rFonts w:hint="eastAsia" w:ascii="仿宋" w:hAnsi="仿宋" w:eastAsia="仿宋" w:cs="仿宋"/>
          <w:kern w:val="0"/>
          <w:sz w:val="24"/>
          <w:lang w:bidi="ar"/>
        </w:rPr>
        <w:t>.甲方承诺其购买理财产品的资金为合法自有资金或合法募集资金，不存在使用贷款、发行债券等筹集的非自有资金投资资产管理产品的情形（合法募集资金除外），甲方承诺投资理财产品使用的资金来源合法合规，并且系为合法之目的投资本理财产品，而非为洗钱等违法犯罪之目的，甲方将配合乙方开展投资者身份识别及尽职调查等反洗钱活动，及时、真实、准确、完整提供身份信息及资金来源等信息。</w:t>
      </w:r>
    </w:p>
    <w:p>
      <w:pPr>
        <w:widowControl/>
        <w:spacing w:line="360" w:lineRule="auto"/>
        <w:ind w:firstLine="480"/>
        <w:rPr>
          <w:rFonts w:hint="eastAsia" w:ascii="仿宋" w:hAnsi="仿宋" w:eastAsia="仿宋" w:cs="仿宋"/>
          <w:kern w:val="0"/>
          <w:sz w:val="24"/>
          <w:lang w:eastAsia="zh-CN" w:bidi="ar"/>
        </w:rPr>
      </w:pPr>
      <w:r>
        <w:rPr>
          <w:rFonts w:hint="eastAsia" w:ascii="仿宋" w:hAnsi="仿宋" w:eastAsia="仿宋" w:cs="仿宋"/>
          <w:kern w:val="0"/>
          <w:sz w:val="24"/>
          <w:lang w:val="en-US" w:eastAsia="zh-CN" w:bidi="ar"/>
        </w:rPr>
        <w:t>6.</w:t>
      </w:r>
      <w:r>
        <w:rPr>
          <w:rFonts w:hint="eastAsia" w:ascii="仿宋" w:hAnsi="仿宋" w:eastAsia="仿宋" w:cs="仿宋"/>
          <w:kern w:val="0"/>
          <w:sz w:val="24"/>
          <w:lang w:bidi="ar"/>
        </w:rPr>
        <w:t>甲方承诺</w:t>
      </w:r>
      <w:r>
        <w:rPr>
          <w:rFonts w:hint="eastAsia" w:ascii="仿宋" w:hAnsi="仿宋" w:eastAsia="仿宋" w:cs="仿宋"/>
          <w:kern w:val="0"/>
          <w:sz w:val="24"/>
          <w:lang w:val="en-US" w:eastAsia="zh-CN" w:bidi="ar"/>
        </w:rPr>
        <w:t>其</w:t>
      </w:r>
      <w:r>
        <w:rPr>
          <w:rFonts w:hint="eastAsia" w:ascii="仿宋" w:hAnsi="仿宋" w:eastAsia="仿宋" w:cs="仿宋"/>
          <w:kern w:val="0"/>
          <w:sz w:val="24"/>
          <w:lang w:bidi="ar"/>
        </w:rPr>
        <w:t>投资理财产品不存在违反监管要求的产品嵌套，以及以投资本理财产品从事规避投资范围、杠杆约束等监管要求等的通道业务违法违规行为</w:t>
      </w:r>
      <w:r>
        <w:rPr>
          <w:rFonts w:hint="eastAsia" w:ascii="仿宋" w:hAnsi="仿宋" w:eastAsia="仿宋" w:cs="仿宋"/>
          <w:kern w:val="0"/>
          <w:sz w:val="24"/>
          <w:lang w:eastAsia="zh-CN" w:bidi="ar"/>
        </w:rPr>
        <w:t>；</w:t>
      </w:r>
      <w:r>
        <w:rPr>
          <w:rFonts w:hint="eastAsia" w:ascii="仿宋" w:hAnsi="仿宋" w:eastAsia="仿宋" w:cs="仿宋"/>
          <w:kern w:val="0"/>
          <w:sz w:val="24"/>
          <w:lang w:bidi="ar"/>
        </w:rPr>
        <w:t>甲方以其管理的私募资产管理产品投资于理财产品的，该私募资产管理产品的所有投资者为符合法律法规规定的合格投资者且委托财产来源合法合规</w:t>
      </w:r>
      <w:r>
        <w:rPr>
          <w:rFonts w:hint="eastAsia" w:ascii="仿宋" w:hAnsi="仿宋" w:eastAsia="仿宋" w:cs="仿宋"/>
          <w:kern w:val="0"/>
          <w:sz w:val="24"/>
          <w:lang w:eastAsia="zh-CN" w:bidi="ar"/>
        </w:rPr>
        <w:t>；</w:t>
      </w:r>
      <w:r>
        <w:rPr>
          <w:rFonts w:hint="eastAsia" w:ascii="仿宋" w:hAnsi="仿宋" w:eastAsia="仿宋" w:cs="仿宋"/>
          <w:kern w:val="0"/>
          <w:sz w:val="24"/>
          <w:lang w:val="en-US" w:eastAsia="zh-CN" w:bidi="ar"/>
        </w:rPr>
        <w:t>甲方应配合乙方为识别合格投资者等目的进行的尽职调查。</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7</w:t>
      </w:r>
      <w:r>
        <w:rPr>
          <w:rFonts w:hint="eastAsia" w:ascii="仿宋" w:hAnsi="仿宋" w:eastAsia="仿宋" w:cs="仿宋"/>
          <w:kern w:val="0"/>
          <w:sz w:val="24"/>
          <w:lang w:bidi="ar"/>
        </w:rPr>
        <w:t>.甲方承诺所提供的所有资料真实、完整、合法、有效，如有变更，甲方应及时通过理财产品文件约定的方式办理变更手续。若甲方未及时办理相关变更手续，由此导致的一切后果由甲方自行承担，乙方对此不承担任何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8</w:t>
      </w:r>
      <w:r>
        <w:rPr>
          <w:rFonts w:hint="eastAsia" w:ascii="仿宋" w:hAnsi="仿宋" w:eastAsia="仿宋" w:cs="仿宋"/>
          <w:kern w:val="0"/>
          <w:sz w:val="24"/>
          <w:lang w:bidi="ar"/>
        </w:rPr>
        <w:t>.在产品认/申购期内，如因甲方原因（包括但不限于甲方账户冻结、挂失、换卡、销户、长期不动户、变更等原因）导致投资本金不能从其约定账户足额划转导致甲方对相关理财产品的购买不成功的，乙方不承担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9</w:t>
      </w:r>
      <w:r>
        <w:rPr>
          <w:rFonts w:hint="eastAsia" w:ascii="仿宋" w:hAnsi="仿宋" w:eastAsia="仿宋" w:cs="仿宋"/>
          <w:kern w:val="0"/>
          <w:sz w:val="24"/>
          <w:lang w:bidi="ar"/>
        </w:rPr>
        <w:t>.甲方对本协议及其条款负有保密义务，未经乙方书面许可，甲方不得向任何组织、个人提供或泄露与乙方有关的业务资料及信息，法律、法规另有规定的除外。</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val="en-US" w:eastAsia="zh-CN" w:bidi="ar"/>
        </w:rPr>
        <w:t>10</w:t>
      </w:r>
      <w:r>
        <w:rPr>
          <w:rFonts w:hint="eastAsia" w:ascii="仿宋" w:hAnsi="仿宋" w:eastAsia="仿宋" w:cs="仿宋"/>
          <w:b/>
          <w:bCs/>
          <w:kern w:val="0"/>
          <w:sz w:val="24"/>
          <w:lang w:bidi="ar"/>
        </w:rPr>
        <w:t>.甲方签署本协议，即同意授权乙方在下述情形时均无须再通知甲方：</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（1）在甲方提交认/申购申请时；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（2）从甲方约定账户冻结/预扣资金时；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（3）于约定时间根据乙方确认的认/申购结果扣划相应资金至乙方指定账户时；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（4）进行币种转换于境外投资时。</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11</w:t>
      </w:r>
      <w:r>
        <w:rPr>
          <w:rFonts w:hint="eastAsia" w:ascii="仿宋" w:hAnsi="仿宋" w:eastAsia="仿宋" w:cs="仿宋"/>
          <w:kern w:val="0"/>
          <w:sz w:val="24"/>
          <w:lang w:bidi="ar"/>
        </w:rPr>
        <w:t>.</w:t>
      </w:r>
      <w:r>
        <w:rPr>
          <w:rFonts w:hint="eastAsia" w:ascii="仿宋" w:hAnsi="仿宋" w:eastAsia="仿宋" w:cs="仿宋"/>
          <w:kern w:val="0"/>
          <w:sz w:val="24"/>
          <w:lang w:val="en-US" w:eastAsia="zh-CN" w:bidi="ar"/>
        </w:rPr>
        <w:t>甲方</w:t>
      </w:r>
      <w:r>
        <w:rPr>
          <w:rFonts w:hint="default" w:ascii="仿宋" w:hAnsi="仿宋" w:eastAsia="仿宋" w:cs="仿宋"/>
          <w:kern w:val="0"/>
          <w:sz w:val="24"/>
          <w:lang w:val="en-US" w:eastAsia="zh-CN" w:bidi="ar"/>
        </w:rPr>
        <w:t>保证熟悉理财产品类型特征及不同销售渠道的相关规定，了</w:t>
      </w:r>
      <w:r>
        <w:rPr>
          <w:rFonts w:hint="eastAsia" w:ascii="仿宋" w:hAnsi="仿宋" w:eastAsia="仿宋" w:cs="仿宋"/>
          <w:kern w:val="0"/>
          <w:sz w:val="24"/>
          <w:lang w:val="en-US" w:eastAsia="zh-CN" w:bidi="ar"/>
        </w:rPr>
        <w:t>解理财产品直销与代理销售的相关区别。</w:t>
      </w:r>
      <w:r>
        <w:rPr>
          <w:rFonts w:hint="eastAsia" w:ascii="仿宋" w:hAnsi="仿宋" w:eastAsia="仿宋" w:cs="仿宋"/>
          <w:kern w:val="0"/>
          <w:sz w:val="24"/>
          <w:lang w:bidi="ar"/>
        </w:rPr>
        <w:t>对于甲方通过</w:t>
      </w:r>
      <w:r>
        <w:rPr>
          <w:rFonts w:hint="eastAsia" w:ascii="仿宋" w:hAnsi="仿宋" w:eastAsia="仿宋" w:cs="仿宋"/>
          <w:kern w:val="0"/>
          <w:sz w:val="24"/>
          <w:lang w:val="en-US" w:eastAsia="zh-CN" w:bidi="ar"/>
        </w:rPr>
        <w:t>乙方或</w:t>
      </w:r>
      <w:r>
        <w:rPr>
          <w:rFonts w:hint="eastAsia" w:ascii="仿宋" w:hAnsi="仿宋" w:eastAsia="仿宋" w:cs="仿宋"/>
          <w:kern w:val="0"/>
          <w:sz w:val="24"/>
          <w:lang w:bidi="ar"/>
        </w:rPr>
        <w:t>代理销售机构的网上银行、手机银行等各渠道购买的由乙方管理的理财产品，甲方确认其在</w:t>
      </w:r>
      <w:r>
        <w:rPr>
          <w:rFonts w:hint="eastAsia" w:ascii="仿宋" w:hAnsi="仿宋" w:eastAsia="仿宋" w:cs="仿宋"/>
          <w:kern w:val="0"/>
          <w:sz w:val="24"/>
          <w:lang w:val="en-US" w:eastAsia="zh-CN" w:bidi="ar"/>
        </w:rPr>
        <w:t>乙方或</w:t>
      </w:r>
      <w:r>
        <w:rPr>
          <w:rFonts w:hint="eastAsia" w:ascii="仿宋" w:hAnsi="仿宋" w:eastAsia="仿宋" w:cs="仿宋"/>
          <w:kern w:val="0"/>
          <w:sz w:val="24"/>
          <w:lang w:bidi="ar"/>
        </w:rPr>
        <w:t>代理销售机构渠道系统点击确认的理财产品销售文件的合法有效性，与纸质签署具有同等效力，并确认记录以及录音、录像构成对甲方操作行为（包括但不限于购买、赎回、撤单等业务）的终局证据，并且在双方发生争议时可以作为合法有效的证据使用。</w:t>
      </w:r>
    </w:p>
    <w:p>
      <w:pPr>
        <w:widowControl/>
        <w:spacing w:line="360" w:lineRule="auto"/>
        <w:ind w:firstLine="480"/>
        <w:rPr>
          <w:rFonts w:ascii="仿宋" w:hAnsi="仿宋" w:eastAsia="仿宋" w:cs="仿宋"/>
          <w:sz w:val="24"/>
        </w:rPr>
      </w:pPr>
      <w:r>
        <w:rPr>
          <w:rFonts w:hint="eastAsia" w:ascii="仿宋" w:hAnsi="仿宋" w:eastAsia="仿宋" w:cs="仿宋"/>
          <w:b/>
          <w:bCs/>
          <w:kern w:val="0"/>
          <w:sz w:val="24"/>
          <w:lang w:val="en-US" w:eastAsia="zh-CN" w:bidi="ar"/>
        </w:rPr>
        <w:t>12</w:t>
      </w:r>
      <w:r>
        <w:rPr>
          <w:rFonts w:hint="eastAsia" w:ascii="仿宋" w:hAnsi="仿宋" w:eastAsia="仿宋" w:cs="仿宋"/>
          <w:b/>
          <w:bCs/>
          <w:kern w:val="0"/>
          <w:sz w:val="24"/>
          <w:lang w:bidi="ar"/>
        </w:rPr>
        <w:t>.如甲方投资的理财产品为私募理财产品，甲方自签署理财产品合同或提交认/申购申请时起可以享有24小时的投资冷静期。</w:t>
      </w:r>
      <w:r>
        <w:rPr>
          <w:rFonts w:hint="eastAsia" w:ascii="仿宋" w:hAnsi="仿宋" w:eastAsia="仿宋" w:cs="仿宋"/>
          <w:kern w:val="0"/>
          <w:sz w:val="24"/>
          <w:lang w:bidi="ar"/>
        </w:rPr>
        <w:t>在冷静期内，如甲方改变投资决定，应立即在投资冷静期内撤销认/申购的申请，并提出解除相应理财产品合同，乙方应当遵从甲方意愿，解除已签订的理财产品合同，并及时退还甲方的全部投资款项。</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13</w:t>
      </w:r>
      <w:r>
        <w:rPr>
          <w:rFonts w:hint="eastAsia" w:ascii="仿宋" w:hAnsi="仿宋" w:eastAsia="仿宋" w:cs="仿宋"/>
          <w:kern w:val="0"/>
          <w:sz w:val="24"/>
          <w:lang w:bidi="ar"/>
        </w:rPr>
        <w:t>.甲方签署本协议，即视为知晓并确认无论通过任何渠道购买本产品，均是基于对产品的特点、期限、流动性及相关风险的充分理解和评估所作出的独立判断，由此产生的一切后果，将由甲方自行独立承担。监管有最新规定的，从其规定。</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val="en-US" w:eastAsia="zh-CN" w:bidi="ar"/>
        </w:rPr>
        <w:t>14</w:t>
      </w:r>
      <w:r>
        <w:rPr>
          <w:rFonts w:hint="eastAsia" w:ascii="仿宋" w:hAnsi="仿宋" w:eastAsia="仿宋" w:cs="仿宋"/>
          <w:kern w:val="0"/>
          <w:sz w:val="24"/>
          <w:lang w:bidi="ar"/>
        </w:rPr>
        <w:t>.甲方承诺在产品存续期内，除按照《产品说明书》约定的情形外，不得要求乙方退还已扣划款项或以任何形式清算其持有的理财产品份额，且不得将约定账户销户。</w:t>
      </w:r>
      <w:r>
        <w:rPr>
          <w:rFonts w:hint="eastAsia" w:ascii="仿宋" w:hAnsi="仿宋" w:eastAsia="仿宋" w:cs="仿宋"/>
          <w:kern w:val="0"/>
          <w:sz w:val="24"/>
          <w:szCs w:val="24"/>
          <w:lang w:bidi="ar"/>
        </w:rPr>
        <w:t>代理销售</w:t>
      </w:r>
      <w:r>
        <w:rPr>
          <w:rFonts w:hint="eastAsia" w:ascii="仿宋" w:hAnsi="仿宋" w:eastAsia="仿宋" w:cs="仿宋"/>
          <w:kern w:val="0"/>
          <w:sz w:val="24"/>
          <w:lang w:bidi="ar"/>
        </w:rPr>
        <w:t>机构即为甲方约定账户开户银行的，</w:t>
      </w:r>
      <w:r>
        <w:rPr>
          <w:rFonts w:hint="eastAsia" w:ascii="仿宋" w:hAnsi="仿宋" w:eastAsia="仿宋" w:cs="仿宋"/>
          <w:kern w:val="0"/>
          <w:sz w:val="24"/>
          <w:szCs w:val="24"/>
          <w:lang w:bidi="ar"/>
        </w:rPr>
        <w:t>代理销售</w:t>
      </w:r>
      <w:r>
        <w:rPr>
          <w:rFonts w:hint="eastAsia" w:ascii="仿宋" w:hAnsi="仿宋" w:eastAsia="仿宋" w:cs="仿宋"/>
          <w:kern w:val="0"/>
          <w:sz w:val="24"/>
          <w:lang w:bidi="ar"/>
        </w:rPr>
        <w:t>机构有权拒绝甲方的销户请求并及时告知乙方。</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val="en-US" w:eastAsia="zh-CN" w:bidi="ar"/>
        </w:rPr>
        <w:t>15</w:t>
      </w:r>
      <w:r>
        <w:rPr>
          <w:rFonts w:hint="eastAsia" w:ascii="仿宋" w:hAnsi="仿宋" w:eastAsia="仿宋" w:cs="仿宋"/>
          <w:kern w:val="0"/>
          <w:sz w:val="24"/>
          <w:lang w:bidi="ar"/>
        </w:rPr>
        <w:t>.如因甲方的原因，导致乙方对其他第三方承担赔偿责任，甲方承诺对乙方承担相应的赔偿责任。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16</w:t>
      </w:r>
      <w:r>
        <w:rPr>
          <w:rFonts w:ascii="仿宋" w:hAnsi="仿宋" w:eastAsia="仿宋" w:cs="仿宋"/>
          <w:kern w:val="0"/>
          <w:sz w:val="24"/>
          <w:lang w:bidi="ar"/>
        </w:rPr>
        <w:t>.</w:t>
      </w:r>
      <w:r>
        <w:rPr>
          <w:rFonts w:hint="eastAsia" w:ascii="仿宋" w:hAnsi="仿宋" w:eastAsia="仿宋" w:cs="仿宋"/>
          <w:kern w:val="0"/>
          <w:sz w:val="24"/>
          <w:lang w:bidi="ar"/>
        </w:rPr>
        <w:t>根据《产品说明书》的相关约定，甲方所应享有的其他权利和应履行的其他义务。</w:t>
      </w:r>
    </w:p>
    <w:p>
      <w:pPr>
        <w:widowControl/>
        <w:spacing w:line="360" w:lineRule="auto"/>
        <w:rPr>
          <w:rFonts w:ascii="仿宋" w:hAnsi="仿宋" w:eastAsia="仿宋" w:cs="仿宋"/>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第四条 乙方权利和义务</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1.乙方有权向甲方收取理财产品的相关费用，具体收费项目、条件、标准和方式，在《产品说明书》中载明，</w:t>
      </w:r>
      <w:r>
        <w:rPr>
          <w:rFonts w:hint="eastAsia" w:ascii="仿宋" w:hAnsi="仿宋" w:eastAsia="仿宋" w:cs="仿宋"/>
          <w:b/>
          <w:bCs/>
          <w:kern w:val="0"/>
          <w:sz w:val="24"/>
          <w:lang w:bidi="ar"/>
        </w:rPr>
        <w:t>乙方有权根据《产品说明书》的约定通过信息披露的方式对具体收费项目、条件、标准和方式进行变更。乙方亦有权根据服务项目或服务内容，对服务价格、优惠措施及其生效和终止日期、与价格相关的例外条款和限制性条款、咨询（投诉）的联系方式等信息通过乙方</w:t>
      </w:r>
      <w:r>
        <w:rPr>
          <w:rFonts w:hint="eastAsia" w:ascii="仿宋" w:hAnsi="仿宋" w:eastAsia="仿宋" w:cs="仿宋"/>
          <w:b/>
          <w:bCs/>
          <w:kern w:val="0"/>
          <w:sz w:val="24"/>
          <w:lang w:val="en-US" w:eastAsia="zh-CN" w:bidi="ar"/>
        </w:rPr>
        <w:t>或</w:t>
      </w:r>
      <w:r>
        <w:rPr>
          <w:rFonts w:hint="eastAsia" w:ascii="仿宋" w:hAnsi="仿宋" w:eastAsia="仿宋" w:cs="仿宋"/>
          <w:b/>
          <w:bCs/>
          <w:kern w:val="0"/>
          <w:sz w:val="24"/>
          <w:lang w:bidi="ar"/>
        </w:rPr>
        <w:t>代理销售机构的网点、网站等渠道或乙方在《产品说明书》指定的信息披露场所向甲方进行信息披露。</w:t>
      </w:r>
      <w:r>
        <w:rPr>
          <w:rFonts w:hint="eastAsia" w:ascii="仿宋" w:hAnsi="仿宋" w:eastAsia="仿宋" w:cs="仿宋"/>
          <w:kern w:val="0"/>
          <w:sz w:val="24"/>
          <w:lang w:bidi="ar"/>
        </w:rPr>
        <w:t>该等乙方信息披露内容构成本协议不可分割的一部分，与本协议具有同等效力，甲方应在充分知晓、理解有关信息披露内容后签署本协议，并在签署本协议后持续关注。</w:t>
      </w:r>
    </w:p>
    <w:p>
      <w:pPr>
        <w:spacing w:line="360" w:lineRule="auto"/>
        <w:ind w:firstLine="482"/>
        <w:rPr>
          <w:rFonts w:ascii="仿宋" w:hAnsi="仿宋" w:eastAsia="仿宋" w:cs="仿宋"/>
          <w:b/>
          <w:bCs/>
          <w:sz w:val="24"/>
        </w:rPr>
      </w:pPr>
      <w:r>
        <w:rPr>
          <w:rFonts w:hint="eastAsia" w:ascii="仿宋" w:hAnsi="仿宋" w:eastAsia="仿宋" w:cs="仿宋"/>
          <w:kern w:val="0"/>
          <w:sz w:val="24"/>
          <w:lang w:bidi="ar"/>
        </w:rPr>
        <w:t>2.乙方及/或代理销售机构按照《产品说明书》约定向甲方进行理财产品份额的利益分配并将对应资金划入甲方约定账户后，即视为乙方已向甲方完成利益分配和资金的清算分配。</w:t>
      </w:r>
      <w:r>
        <w:rPr>
          <w:rFonts w:hint="eastAsia" w:ascii="仿宋" w:hAnsi="仿宋" w:eastAsia="仿宋" w:cs="仿宋"/>
          <w:b/>
          <w:bCs/>
          <w:kern w:val="0"/>
          <w:sz w:val="24"/>
          <w:lang w:bidi="ar"/>
        </w:rPr>
        <w:t>因甲方约定账户冻结、挂失、换卡、销户、长期不动户等原因造成账户变更或异常，甲方应及时到乙方</w:t>
      </w:r>
      <w:r>
        <w:rPr>
          <w:rFonts w:hint="eastAsia" w:ascii="仿宋" w:hAnsi="仿宋" w:eastAsia="仿宋" w:cs="仿宋"/>
          <w:b/>
          <w:bCs/>
          <w:kern w:val="0"/>
          <w:sz w:val="24"/>
          <w:lang w:val="en-US" w:eastAsia="zh-CN" w:bidi="ar"/>
        </w:rPr>
        <w:t>或代理销售</w:t>
      </w:r>
      <w:r>
        <w:rPr>
          <w:rFonts w:hint="eastAsia" w:ascii="仿宋" w:hAnsi="仿宋" w:eastAsia="仿宋" w:cs="仿宋"/>
          <w:b/>
          <w:bCs/>
          <w:kern w:val="0"/>
          <w:sz w:val="24"/>
          <w:lang w:bidi="ar"/>
        </w:rPr>
        <w:t>机构处办理变更手续，并经乙方和代理销售机构确认后生效。如因甲方未及时办理变更手续而造成乙方及/或代理销售机构无法向甲方进行正常收益分配和资金清算分配，由此导致甲方损失的由甲方自行承担，乙方不承担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3.乙方应按照《产品说明书》的约定披露产品相关信息。</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4.如果发生本理财产品所投资资产项下义务人违约等情形，</w:t>
      </w:r>
      <w:r>
        <w:rPr>
          <w:rFonts w:hint="eastAsia" w:ascii="仿宋" w:hAnsi="仿宋" w:eastAsia="仿宋" w:cs="仿宋"/>
          <w:b/>
          <w:bCs/>
          <w:kern w:val="0"/>
          <w:sz w:val="24"/>
          <w:lang w:bidi="ar"/>
        </w:rPr>
        <w:t>甲方同意，乙方有权向上述义务人进行追索，追索期间所发生的费用（包括但不限于诉讼费、仲裁费、律师费等全部费用）由理财产品承担，将从追索回来的款项中扣除。若管理人以其固有财产先行垫付的，乙方有权从追索回来的款项中优先扣除。</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5.乙方作为理财产品管理人，全权负责理财产品资金的运用和理财产品资产的管理，</w:t>
      </w:r>
      <w:r>
        <w:rPr>
          <w:rFonts w:hint="eastAsia" w:ascii="仿宋" w:hAnsi="仿宋" w:eastAsia="仿宋" w:cs="仿宋"/>
          <w:b/>
          <w:bCs/>
          <w:kern w:val="0"/>
          <w:sz w:val="24"/>
          <w:lang w:bidi="ar"/>
        </w:rPr>
        <w:t>有权参加与理财产品所投资资产相关的所有会议，并代表理财产品及其全部投资者对相关事项进行表决；乙方有权代表甲方利益，按照法律法规和监管部门相关规定以及与投资相关的法律文件的约定对理财产品投资产生的风险资产进行多种方式的处置，包括但不限于转让、重组、债转股、资产证券化、委外催收、抵债资产收取与处置、破产重整等。甲方对此充分理解并同意该等授权安排。</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6.乙方有权按照法律法规和监管要求，</w:t>
      </w:r>
      <w:r>
        <w:rPr>
          <w:rFonts w:hint="eastAsia" w:ascii="仿宋" w:hAnsi="仿宋" w:eastAsia="仿宋" w:cs="仿宋"/>
          <w:b/>
          <w:bCs/>
          <w:kern w:val="0"/>
          <w:sz w:val="24"/>
          <w:lang w:bidi="ar"/>
        </w:rPr>
        <w:t>报送甲方身份信息及其持有理财产品信息等；在乙方办理本协议项下相关事项所必需的情形下，甲方同意并授权乙方向乙方集团成员、服务机构及其他乙方认为必要的业务合作机构提供乙方获取的甲方信息，范围包括但不限于甲方的身份信息、账户信息等。</w:t>
      </w:r>
      <w:r>
        <w:rPr>
          <w:rFonts w:hint="eastAsia" w:ascii="仿宋" w:hAnsi="仿宋" w:eastAsia="仿宋" w:cs="仿宋"/>
          <w:kern w:val="0"/>
          <w:sz w:val="24"/>
          <w:lang w:bidi="ar"/>
        </w:rPr>
        <w:t>上述第三方将为处理本协议项下事务之目的接触并按照乙方的业务需要以及“最少必须”原则使用甲方信息。乙方承诺将向有关第三方明确其保护甲方信息的职责并要求第三方承担相应保密义务。</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7.除按《产品说明书》约定乙方或甲方享有的提前终止权外，甲方有违约行为时，乙方有权提前终止本协议。</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8.乙方或代理销售机构发现或有合理理由怀疑甲方或其资金存在洗钱、恐怖融资、逃税等嫌疑的，乙方有权提前终止本协议，造成甲方损失的，乙方不承担责任。</w:t>
      </w:r>
    </w:p>
    <w:p>
      <w:pPr>
        <w:spacing w:line="360" w:lineRule="auto"/>
        <w:ind w:firstLine="482"/>
        <w:rPr>
          <w:rFonts w:ascii="仿宋" w:hAnsi="仿宋" w:eastAsia="仿宋" w:cs="仿宋"/>
          <w:kern w:val="0"/>
          <w:sz w:val="24"/>
          <w:lang w:bidi="ar"/>
        </w:rPr>
      </w:pPr>
      <w:bookmarkStart w:id="1" w:name="_Hlk100085418"/>
      <w:r>
        <w:rPr>
          <w:rFonts w:hint="eastAsia" w:ascii="仿宋" w:hAnsi="仿宋" w:eastAsia="仿宋" w:cs="仿宋"/>
          <w:kern w:val="0"/>
          <w:sz w:val="24"/>
          <w:lang w:bidi="ar"/>
        </w:rPr>
        <w:t>9</w:t>
      </w:r>
      <w:r>
        <w:rPr>
          <w:rFonts w:ascii="仿宋" w:hAnsi="仿宋" w:eastAsia="仿宋" w:cs="仿宋"/>
          <w:kern w:val="0"/>
          <w:sz w:val="24"/>
          <w:lang w:bidi="ar"/>
        </w:rPr>
        <w:t>.</w:t>
      </w:r>
      <w:r>
        <w:rPr>
          <w:rFonts w:hint="eastAsia" w:ascii="仿宋" w:hAnsi="仿宋" w:eastAsia="仿宋" w:cs="仿宋"/>
          <w:kern w:val="0"/>
          <w:sz w:val="24"/>
          <w:lang w:bidi="ar"/>
        </w:rPr>
        <w:t>乙方应以诚实信用、勤勉尽责为原则，根据《产品说明书》所载要求管理和运用理财产品资产。</w:t>
      </w:r>
    </w:p>
    <w:bookmarkEnd w:id="1"/>
    <w:p>
      <w:pPr>
        <w:widowControl/>
        <w:spacing w:line="360" w:lineRule="auto"/>
        <w:ind w:firstLine="480"/>
        <w:rPr>
          <w:rFonts w:ascii="仿宋" w:hAnsi="仿宋" w:eastAsia="仿宋" w:cs="仿宋"/>
          <w:kern w:val="0"/>
          <w:sz w:val="24"/>
          <w:lang w:bidi="ar"/>
        </w:rPr>
      </w:pPr>
      <w:bookmarkStart w:id="2" w:name="_Hlk100071245"/>
      <w:r>
        <w:rPr>
          <w:rFonts w:ascii="仿宋" w:hAnsi="仿宋" w:eastAsia="仿宋" w:cs="仿宋"/>
          <w:kern w:val="0"/>
          <w:sz w:val="24"/>
          <w:lang w:bidi="ar"/>
        </w:rPr>
        <w:t>10.</w:t>
      </w:r>
      <w:r>
        <w:rPr>
          <w:rFonts w:hint="eastAsia" w:ascii="仿宋" w:hAnsi="仿宋" w:eastAsia="仿宋" w:cs="仿宋"/>
          <w:kern w:val="0"/>
          <w:sz w:val="24"/>
          <w:lang w:bidi="ar"/>
        </w:rPr>
        <w:t>乙方有义务根据《产品说明书》的相关规定进行理财产品的信息披露。</w:t>
      </w:r>
    </w:p>
    <w:p>
      <w:pPr>
        <w:widowControl/>
        <w:spacing w:line="360" w:lineRule="auto"/>
        <w:ind w:firstLine="480"/>
        <w:rPr>
          <w:rFonts w:ascii="仿宋" w:hAnsi="仿宋" w:eastAsia="仿宋" w:cs="仿宋"/>
          <w:sz w:val="24"/>
        </w:rPr>
      </w:pPr>
      <w:r>
        <w:rPr>
          <w:rFonts w:ascii="仿宋" w:hAnsi="仿宋" w:eastAsia="仿宋" w:cs="仿宋"/>
          <w:kern w:val="0"/>
          <w:sz w:val="24"/>
          <w:lang w:bidi="ar"/>
        </w:rPr>
        <w:t>11.</w:t>
      </w:r>
      <w:r>
        <w:rPr>
          <w:rFonts w:hint="eastAsia" w:ascii="仿宋" w:hAnsi="仿宋" w:eastAsia="仿宋" w:cs="仿宋"/>
          <w:kern w:val="0"/>
          <w:sz w:val="24"/>
          <w:lang w:bidi="ar"/>
        </w:rPr>
        <w:t>乙方有义务根据《产品说明书》的相关规定对甲方的重要信息进行保密。</w:t>
      </w:r>
    </w:p>
    <w:p>
      <w:pPr>
        <w:widowControl/>
        <w:spacing w:line="360" w:lineRule="auto"/>
        <w:ind w:firstLine="480"/>
        <w:rPr>
          <w:rFonts w:ascii="仿宋" w:hAnsi="仿宋" w:eastAsia="仿宋" w:cs="仿宋"/>
          <w:kern w:val="0"/>
          <w:sz w:val="24"/>
          <w:lang w:bidi="ar"/>
        </w:rPr>
      </w:pPr>
      <w:r>
        <w:rPr>
          <w:rFonts w:ascii="仿宋" w:hAnsi="仿宋" w:eastAsia="仿宋" w:cs="仿宋"/>
          <w:kern w:val="0"/>
          <w:sz w:val="24"/>
          <w:lang w:bidi="ar"/>
        </w:rPr>
        <w:t>12</w:t>
      </w:r>
      <w:r>
        <w:rPr>
          <w:rFonts w:hint="eastAsia" w:ascii="仿宋" w:hAnsi="仿宋" w:eastAsia="仿宋" w:cs="仿宋"/>
          <w:kern w:val="0"/>
          <w:sz w:val="24"/>
          <w:lang w:bidi="ar"/>
        </w:rPr>
        <w:t>.根据《产品说明书》的相关约定，乙方所应享有的其他权利和应履行的其他义务。</w:t>
      </w:r>
    </w:p>
    <w:bookmarkEnd w:id="2"/>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第五条 理财产品的投资管理</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1.甲方已清楚知悉并同意本协议项下理财产品的投资管理由乙方负责实施。</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2.乙方按照法律法规和产品说明书的约定诚实信用、谨慎勤勉地实施投资管理行为，以专业技能管理理财产品资产，依法维护理财产品全体投资者的利益。</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3.乙方不对任何理财产品的本金或收益做出任何承诺或保证。</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4.甲方同意乙方依据相关法律法规规定、产品说明书约定或产品投资管理需要选任或委托相关投资管理机构、托管机构等理财投资合作机构；同意乙方以自身名义或理财产品名义签署合同/协议等相关文件；承诺承担乙方履行合同/协议等相关文件产生的法律后果。</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bidi="ar"/>
        </w:rPr>
        <w:t>5.为实现理财产品的投资目标及/或维护理财产品全体投资者的利益，乙方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乙方有权以自身名义代表理财产品全体投资者采取诉讼或其他权利救济措施。乙方采取上述行动所产生的费用（包括但不限于诉讼费、仲裁费、律师费等全部费用）和法律后果由理财产品承担，若管理人以其固有财产先行垫付的，乙方有权从追索回来的款项中优先扣除。</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6.甲方同意乙方在产品说明书约定的投资计划（包括但不限于投资范围、投资资产种类、投资比例等内容）内，依据自身的投资决策流程和风险管理机制做出和实施相关投资管理决定。</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7.出现市场情况变化等情况时，乙方可根据需要做出调整产品说明书约定投资计划的决定，并通过产品说明书约定的途径与方式进行披露。甲方应注意及时就所认购/申购产品的信息进行查询。乙方将本着维护理财产品全体投资者利益的原则依据相关法律法规进行投资计划调整。</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第六条 免责条款</w:t>
      </w:r>
    </w:p>
    <w:p>
      <w:pPr>
        <w:widowControl/>
        <w:spacing w:line="360" w:lineRule="auto"/>
        <w:ind w:firstLine="480"/>
        <w:rPr>
          <w:rFonts w:ascii="仿宋" w:hAnsi="仿宋" w:eastAsia="仿宋" w:cs="仿宋"/>
          <w:b/>
          <w:bCs/>
          <w:kern w:val="0"/>
          <w:sz w:val="24"/>
          <w:lang w:bidi="ar"/>
        </w:rPr>
      </w:pPr>
      <w:r>
        <w:rPr>
          <w:rFonts w:hint="eastAsia" w:ascii="仿宋" w:hAnsi="仿宋" w:eastAsia="仿宋" w:cs="仿宋"/>
          <w:b/>
          <w:bCs/>
          <w:kern w:val="0"/>
          <w:sz w:val="24"/>
          <w:lang w:bidi="ar"/>
        </w:rPr>
        <w:t>1.</w:t>
      </w:r>
      <w:r>
        <w:rPr>
          <w:rFonts w:hint="eastAsia" w:ascii="仿宋" w:hAnsi="仿宋" w:eastAsia="仿宋" w:cs="仿宋"/>
          <w:b/>
          <w:bCs/>
          <w:kern w:val="0"/>
          <w:sz w:val="24"/>
          <w:lang w:val="zh-CN" w:bidi="ar"/>
        </w:rPr>
        <w:t xml:space="preserve"> 如因法律颁布或修订、政策变化、监管要求等任一原因，致使乙方提供或维持本合同项下服务不合法、不合规的，乙方有权调整服务内容或不再提供服务，要求甲方提前赎回投资并终止协议。由此导致的甲方损失，乙方不承担责任。</w:t>
      </w:r>
    </w:p>
    <w:p>
      <w:pPr>
        <w:widowControl/>
        <w:spacing w:line="360" w:lineRule="auto"/>
        <w:ind w:firstLine="480"/>
        <w:rPr>
          <w:rFonts w:ascii="仿宋" w:hAnsi="仿宋" w:eastAsia="仿宋" w:cs="仿宋"/>
          <w:b/>
          <w:bCs/>
          <w:kern w:val="0"/>
          <w:sz w:val="24"/>
          <w:lang w:val="zh-CN" w:bidi="ar"/>
        </w:rPr>
      </w:pPr>
      <w:r>
        <w:rPr>
          <w:rFonts w:hint="eastAsia" w:ascii="仿宋" w:hAnsi="仿宋" w:eastAsia="仿宋" w:cs="仿宋"/>
          <w:b/>
          <w:bCs/>
          <w:kern w:val="0"/>
          <w:sz w:val="24"/>
          <w:lang w:bidi="ar"/>
        </w:rPr>
        <w:t xml:space="preserve">2. </w:t>
      </w:r>
      <w:r>
        <w:rPr>
          <w:rFonts w:hint="eastAsia" w:ascii="仿宋" w:hAnsi="仿宋" w:eastAsia="仿宋" w:cs="仿宋"/>
          <w:b/>
          <w:bCs/>
          <w:kern w:val="0"/>
          <w:sz w:val="24"/>
          <w:lang w:val="zh-CN" w:bidi="ar"/>
        </w:rPr>
        <w:t>乙方因不可抗力事件及不可归责于受托方的其他原因导致无法及时办理理财申购、赎回业务的，甲方免除乙方责任，但乙方应采取必要措施尽可能使业务恢复正常运行。协议所称不可抗力是指不能预见、不能避免、不能克服并对当事人造成重大影响的客观情况，包括但不限于自然灾害如洪水、地震、火灾和风暴等以及社会事件如战争、动乱、罢工、政府行为或法律规定及政策变化等。</w:t>
      </w:r>
    </w:p>
    <w:p>
      <w:pPr>
        <w:widowControl/>
        <w:spacing w:line="360" w:lineRule="auto"/>
        <w:ind w:firstLine="480"/>
        <w:rPr>
          <w:rFonts w:ascii="仿宋" w:hAnsi="仿宋" w:eastAsia="仿宋" w:cs="仿宋"/>
          <w:b/>
          <w:bCs/>
          <w:kern w:val="0"/>
          <w:sz w:val="24"/>
          <w:lang w:bidi="ar"/>
        </w:rPr>
      </w:pPr>
      <w:r>
        <w:rPr>
          <w:rFonts w:hint="eastAsia" w:ascii="仿宋" w:hAnsi="仿宋" w:eastAsia="仿宋" w:cs="仿宋"/>
          <w:b/>
          <w:bCs/>
          <w:kern w:val="0"/>
          <w:sz w:val="24"/>
          <w:lang w:val="zh-CN" w:bidi="ar"/>
        </w:rPr>
        <w:t>3. 因有权机关、银行、支付清算机构等依法对甲方理财份额及账户执行冻结或扣划等措施，账户被限制支付、状态异常等原因导致的交易失败及损失等，由甲方自行承担。</w:t>
      </w:r>
    </w:p>
    <w:p>
      <w:pPr>
        <w:widowControl/>
        <w:spacing w:line="360" w:lineRule="auto"/>
        <w:ind w:firstLine="480"/>
        <w:rPr>
          <w:rFonts w:ascii="仿宋" w:hAnsi="仿宋" w:eastAsia="仿宋" w:cs="仿宋"/>
          <w:b/>
          <w:bCs/>
          <w:kern w:val="0"/>
          <w:sz w:val="24"/>
          <w:lang w:val="zh-CN" w:bidi="ar"/>
        </w:rPr>
      </w:pPr>
      <w:r>
        <w:rPr>
          <w:rFonts w:hint="eastAsia" w:ascii="仿宋" w:hAnsi="仿宋" w:eastAsia="仿宋" w:cs="仿宋"/>
          <w:b/>
          <w:bCs/>
          <w:kern w:val="0"/>
          <w:sz w:val="24"/>
          <w:lang w:val="zh-CN" w:bidi="ar"/>
        </w:rPr>
        <w:t>发生前述情形时，乙方将在条件允许的情况下采取必要的、合理的补救措施，以尽力保护甲方利益，减少甲方损失，但乙方不保证甲方的损失因乙方的补救措施而必然减少，且乙方无义务必须采取前述补救措施。</w:t>
      </w:r>
    </w:p>
    <w:p>
      <w:pPr>
        <w:widowControl/>
        <w:spacing w:line="360" w:lineRule="auto"/>
        <w:rPr>
          <w:rFonts w:ascii="仿宋" w:hAnsi="仿宋" w:eastAsia="仿宋" w:cs="仿宋"/>
          <w:b/>
          <w:bCs/>
          <w:kern w:val="0"/>
          <w:sz w:val="24"/>
          <w:lang w:bidi="ar"/>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第七条 法律适用与争议处理</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 xml:space="preserve">1.本协议适用中华人民共和国大陆地区的法律。 </w:t>
      </w:r>
    </w:p>
    <w:p>
      <w:pPr>
        <w:widowControl/>
        <w:spacing w:line="360" w:lineRule="auto"/>
        <w:ind w:firstLine="482" w:firstLineChars="200"/>
        <w:rPr>
          <w:rFonts w:ascii="仿宋" w:hAnsi="仿宋" w:eastAsia="仿宋" w:cs="仿宋"/>
          <w:b/>
          <w:bCs/>
          <w:kern w:val="0"/>
          <w:sz w:val="24"/>
          <w:lang w:bidi="ar"/>
        </w:rPr>
      </w:pPr>
      <w:r>
        <w:rPr>
          <w:rFonts w:hint="eastAsia" w:ascii="仿宋" w:hAnsi="仿宋" w:eastAsia="仿宋" w:cs="仿宋"/>
          <w:b/>
          <w:bCs/>
          <w:kern w:val="0"/>
          <w:sz w:val="24"/>
          <w:lang w:bidi="ar"/>
        </w:rPr>
        <w:t>2.本协议项下及与之有关的一切争议，甲乙双方应首先友好协商解决。协商未达成一致的，任何一方可向乙方所在地法院提起诉讼。</w:t>
      </w:r>
    </w:p>
    <w:p>
      <w:pPr>
        <w:spacing w:line="360" w:lineRule="auto"/>
        <w:ind w:firstLine="482" w:firstLineChars="200"/>
        <w:rPr>
          <w:rFonts w:ascii="仿宋" w:hAnsi="仿宋" w:eastAsia="仿宋" w:cs="仿宋"/>
          <w:b/>
          <w:bCs/>
          <w:kern w:val="0"/>
          <w:sz w:val="24"/>
          <w:lang w:bidi="ar"/>
        </w:rPr>
      </w:pPr>
      <w:r>
        <w:rPr>
          <w:rFonts w:hint="eastAsia" w:ascii="仿宋" w:hAnsi="仿宋" w:eastAsia="仿宋" w:cs="仿宋"/>
          <w:b/>
          <w:bCs/>
          <w:kern w:val="0"/>
          <w:sz w:val="24"/>
          <w:lang w:bidi="ar"/>
        </w:rPr>
        <w:t>3.在协商或诉讼期间，对于本协议不涉及争议部分的条款，合同当事人仍须履行。</w:t>
      </w:r>
    </w:p>
    <w:p>
      <w:pPr>
        <w:spacing w:line="360" w:lineRule="auto"/>
        <w:ind w:firstLine="482" w:firstLineChars="200"/>
        <w:rPr>
          <w:rFonts w:ascii="仿宋" w:hAnsi="仿宋" w:eastAsia="仿宋" w:cs="仿宋"/>
          <w:b/>
          <w:bCs/>
          <w:sz w:val="24"/>
        </w:rPr>
      </w:pPr>
      <w:r>
        <w:rPr>
          <w:rFonts w:hint="eastAsia" w:ascii="仿宋" w:hAnsi="仿宋" w:eastAsia="仿宋" w:cs="仿宋"/>
          <w:b/>
          <w:bCs/>
          <w:sz w:val="24"/>
        </w:rPr>
        <w:t>4.甲方确认其向</w:t>
      </w:r>
      <w:r>
        <w:rPr>
          <w:rFonts w:hint="eastAsia" w:ascii="仿宋" w:hAnsi="仿宋" w:eastAsia="仿宋" w:cs="仿宋"/>
          <w:b/>
          <w:bCs/>
          <w:sz w:val="24"/>
          <w:lang w:val="en-US" w:eastAsia="zh-CN"/>
        </w:rPr>
        <w:t>乙方</w:t>
      </w:r>
      <w:r>
        <w:rPr>
          <w:rFonts w:hint="eastAsia" w:ascii="仿宋" w:hAnsi="仿宋" w:eastAsia="仿宋" w:cs="仿宋"/>
          <w:b/>
          <w:bCs/>
          <w:sz w:val="24"/>
        </w:rPr>
        <w:t>提供的通讯地址、联络方式及电子邮箱适用于本协议项下的通知及一审、二审、再审及执行程序。上述通知方式发生变化，甲方应当及时修改相关预留信息，未修改前，甲方按照原通知方式进行送达的，视为有效送达。未免歧义，双方确认本条款不够成对信息披露相关约定的修改。</w:t>
      </w:r>
    </w:p>
    <w:p>
      <w:pPr>
        <w:widowControl/>
        <w:spacing w:line="360" w:lineRule="auto"/>
        <w:rPr>
          <w:rFonts w:ascii="仿宋" w:hAnsi="仿宋" w:eastAsia="仿宋" w:cs="仿宋"/>
          <w:b/>
          <w:bCs/>
          <w:kern w:val="0"/>
          <w:sz w:val="24"/>
          <w:lang w:bidi="ar"/>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第八条 协议的生效和终止</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1.甲方通过乙方</w:t>
      </w:r>
      <w:r>
        <w:rPr>
          <w:rFonts w:hint="eastAsia" w:ascii="仿宋" w:hAnsi="仿宋" w:eastAsia="仿宋" w:cs="仿宋"/>
          <w:kern w:val="0"/>
          <w:sz w:val="24"/>
          <w:lang w:val="en-US" w:eastAsia="zh-CN" w:bidi="ar"/>
        </w:rPr>
        <w:t>或</w:t>
      </w:r>
      <w:r>
        <w:rPr>
          <w:rFonts w:hint="eastAsia" w:ascii="仿宋" w:hAnsi="仿宋" w:eastAsia="仿宋" w:cs="仿宋"/>
          <w:kern w:val="0"/>
          <w:sz w:val="24"/>
          <w:lang w:bidi="ar"/>
        </w:rPr>
        <w:t>代理销售机构营业网点柜面渠道购买理财产品的，本协议自甲方签署所购买产品对应的理财业务专用凭证、认缴认购或申购资金并经乙方</w:t>
      </w:r>
      <w:r>
        <w:rPr>
          <w:rFonts w:hint="eastAsia" w:ascii="仿宋" w:hAnsi="仿宋" w:eastAsia="仿宋" w:cs="仿宋"/>
          <w:kern w:val="0"/>
          <w:sz w:val="24"/>
          <w:lang w:val="en-US" w:eastAsia="zh-CN" w:bidi="ar"/>
        </w:rPr>
        <w:t>或</w:t>
      </w:r>
      <w:r>
        <w:rPr>
          <w:rFonts w:hint="eastAsia" w:ascii="仿宋" w:hAnsi="仿宋" w:eastAsia="仿宋" w:cs="仿宋"/>
          <w:kern w:val="0"/>
          <w:sz w:val="24"/>
          <w:lang w:bidi="ar"/>
        </w:rPr>
        <w:t>代理销售机构业务系统受理后生效。甲方在乙方</w:t>
      </w:r>
      <w:r>
        <w:rPr>
          <w:rFonts w:hint="eastAsia" w:ascii="仿宋" w:hAnsi="仿宋" w:eastAsia="仿宋" w:cs="仿宋"/>
          <w:kern w:val="0"/>
          <w:sz w:val="24"/>
          <w:lang w:val="en-US" w:eastAsia="zh-CN" w:bidi="ar"/>
        </w:rPr>
        <w:t>或</w:t>
      </w:r>
      <w:r>
        <w:rPr>
          <w:rFonts w:hint="eastAsia" w:ascii="仿宋" w:hAnsi="仿宋" w:eastAsia="仿宋" w:cs="仿宋"/>
          <w:kern w:val="0"/>
          <w:sz w:val="24"/>
          <w:lang w:bidi="ar"/>
        </w:rPr>
        <w:t>代理销售机构网上银行、手机银行、ITM等电子渠道购买理财产品的，本协议自甲方点击同意确认、完成验证手续并购买后生效。</w:t>
      </w:r>
      <w:r>
        <w:rPr>
          <w:rFonts w:hint="eastAsia" w:ascii="仿宋" w:hAnsi="仿宋" w:eastAsia="仿宋" w:cs="仿宋"/>
          <w:b/>
          <w:kern w:val="0"/>
          <w:sz w:val="24"/>
          <w:lang w:bidi="ar"/>
        </w:rPr>
        <w:t>甲方认可线上点击同意具有与书面签署同等的法律效力。</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2.甲方认/申购理财产品失败、乙方或甲方提前终止以及理财产品到期并结清后，本协议自动终止。</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3.除按《产品说明书》约定甲方或乙方享有的提前终止权外，</w:t>
      </w:r>
      <w:r>
        <w:rPr>
          <w:rFonts w:hint="eastAsia" w:ascii="仿宋" w:hAnsi="仿宋" w:eastAsia="仿宋" w:cs="仿宋"/>
          <w:b/>
          <w:bCs/>
          <w:kern w:val="0"/>
          <w:sz w:val="24"/>
          <w:lang w:bidi="ar"/>
        </w:rPr>
        <w:t>甲方有违约行为或交易资金被国家有权机关采取保全措施时，乙方有权提前终止本协议且无需承担任何责任。</w:t>
      </w:r>
    </w:p>
    <w:p>
      <w:pPr>
        <w:widowControl/>
        <w:spacing w:line="360" w:lineRule="auto"/>
        <w:ind w:firstLine="480"/>
        <w:rPr>
          <w:rFonts w:ascii="仿宋" w:hAnsi="仿宋" w:eastAsia="仿宋" w:cs="仿宋"/>
          <w:sz w:val="24"/>
        </w:rPr>
      </w:pPr>
      <w:r>
        <w:rPr>
          <w:rFonts w:hint="eastAsia" w:ascii="仿宋" w:hAnsi="仿宋" w:eastAsia="仿宋" w:cs="仿宋"/>
          <w:b/>
          <w:bCs/>
          <w:kern w:val="0"/>
          <w:sz w:val="24"/>
          <w:lang w:bidi="ar"/>
        </w:rPr>
        <w:t>4.乙方有权不定期对本协议进行更新，并</w:t>
      </w:r>
      <w:r>
        <w:rPr>
          <w:rFonts w:hint="eastAsia" w:ascii="仿宋" w:hAnsi="仿宋" w:eastAsia="仿宋" w:cs="仿宋"/>
          <w:b/>
          <w:bCs/>
          <w:kern w:val="0"/>
          <w:sz w:val="24"/>
          <w:lang w:val="en-US" w:eastAsia="zh-CN" w:bidi="ar"/>
        </w:rPr>
        <w:t>通过公告形式</w:t>
      </w:r>
      <w:r>
        <w:rPr>
          <w:rFonts w:hint="eastAsia" w:ascii="仿宋" w:hAnsi="仿宋" w:eastAsia="仿宋" w:cs="仿宋"/>
          <w:b/>
          <w:bCs/>
          <w:kern w:val="0"/>
          <w:sz w:val="24"/>
          <w:lang w:bidi="ar"/>
        </w:rPr>
        <w:t>在乙方</w:t>
      </w:r>
      <w:r>
        <w:rPr>
          <w:rFonts w:hint="eastAsia" w:ascii="仿宋" w:hAnsi="仿宋" w:eastAsia="仿宋" w:cs="仿宋"/>
          <w:b/>
          <w:bCs/>
          <w:kern w:val="0"/>
          <w:sz w:val="24"/>
          <w:lang w:val="en-US" w:eastAsia="zh-CN" w:bidi="ar"/>
        </w:rPr>
        <w:t>或代理销售</w:t>
      </w:r>
      <w:r>
        <w:rPr>
          <w:rFonts w:hint="eastAsia" w:ascii="仿宋" w:hAnsi="仿宋" w:eastAsia="仿宋" w:cs="仿宋"/>
          <w:b/>
          <w:bCs/>
          <w:kern w:val="0"/>
          <w:sz w:val="24"/>
          <w:lang w:bidi="ar"/>
        </w:rPr>
        <w:t>机构官方渠道</w:t>
      </w:r>
      <w:r>
        <w:rPr>
          <w:rFonts w:hint="eastAsia" w:ascii="仿宋" w:hAnsi="仿宋" w:eastAsia="仿宋" w:cs="仿宋"/>
          <w:b/>
          <w:bCs/>
          <w:sz w:val="24"/>
        </w:rPr>
        <w:t>进行披露。乙方更新本协议并进行披露后，如甲方新购买，或在乙方</w:t>
      </w:r>
      <w:r>
        <w:rPr>
          <w:rFonts w:hint="eastAsia" w:ascii="仿宋" w:hAnsi="仿宋" w:eastAsia="仿宋" w:cs="仿宋"/>
          <w:b/>
          <w:bCs/>
          <w:sz w:val="24"/>
          <w:lang w:val="en-US" w:eastAsia="zh-CN"/>
        </w:rPr>
        <w:t>公告的时间范围内</w:t>
      </w:r>
      <w:r>
        <w:rPr>
          <w:rFonts w:hint="eastAsia" w:ascii="仿宋" w:hAnsi="仿宋" w:eastAsia="仿宋" w:cs="仿宋"/>
          <w:b/>
          <w:bCs/>
          <w:kern w:val="0"/>
          <w:sz w:val="24"/>
          <w:lang w:bidi="ar"/>
        </w:rPr>
        <w:t>继续持有乙方理财产品，则视为甲方完全接受新协议的所有内容。</w:t>
      </w:r>
      <w:r>
        <w:rPr>
          <w:rFonts w:hint="eastAsia" w:ascii="仿宋" w:hAnsi="仿宋" w:eastAsia="仿宋" w:cs="仿宋"/>
          <w:kern w:val="0"/>
          <w:sz w:val="24"/>
          <w:lang w:bidi="ar"/>
        </w:rPr>
        <w:t>如甲方对新协议内容存在异议，应在</w:t>
      </w:r>
      <w:r>
        <w:rPr>
          <w:rFonts w:hint="eastAsia" w:ascii="仿宋" w:hAnsi="仿宋" w:eastAsia="仿宋" w:cs="仿宋"/>
          <w:kern w:val="0"/>
          <w:sz w:val="24"/>
          <w:lang w:val="en-US" w:eastAsia="zh-CN" w:bidi="ar"/>
        </w:rPr>
        <w:t>乙方公告的时间范围内</w:t>
      </w:r>
      <w:r>
        <w:rPr>
          <w:rFonts w:hint="eastAsia" w:ascii="仿宋" w:hAnsi="仿宋" w:eastAsia="仿宋" w:cs="仿宋"/>
          <w:kern w:val="0"/>
          <w:sz w:val="24"/>
          <w:lang w:bidi="ar"/>
        </w:rPr>
        <w:t>全额赎回所持有的该理财产品的全部份额，且不新购买相应的理财产品，此种情况下新协议对甲方不发生效力。</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特别提示：如甲方对乙方产品或服务有任何疑问、意见或建议，可通过拨打乙方</w:t>
      </w:r>
      <w:r>
        <w:rPr>
          <w:rFonts w:hint="eastAsia" w:ascii="仿宋" w:hAnsi="仿宋" w:eastAsia="仿宋" w:cs="仿宋"/>
          <w:b/>
          <w:bCs/>
          <w:kern w:val="0"/>
          <w:sz w:val="24"/>
          <w:lang w:val="en-US" w:eastAsia="zh-CN" w:bidi="ar"/>
        </w:rPr>
        <w:t>或</w:t>
      </w:r>
      <w:r>
        <w:rPr>
          <w:rFonts w:hint="eastAsia" w:ascii="仿宋" w:hAnsi="仿宋" w:eastAsia="仿宋" w:cs="仿宋"/>
          <w:b/>
          <w:bCs/>
          <w:kern w:val="0"/>
          <w:sz w:val="24"/>
          <w:lang w:bidi="ar"/>
        </w:rPr>
        <w:t>代理销售机构客户服务与投诉热线或向乙方</w:t>
      </w:r>
      <w:r>
        <w:rPr>
          <w:rFonts w:hint="eastAsia" w:ascii="仿宋" w:hAnsi="仿宋" w:eastAsia="仿宋" w:cs="仿宋"/>
          <w:b/>
          <w:bCs/>
          <w:kern w:val="0"/>
          <w:sz w:val="24"/>
          <w:lang w:val="en-US" w:eastAsia="zh-CN" w:bidi="ar"/>
        </w:rPr>
        <w:t>或</w:t>
      </w:r>
      <w:r>
        <w:rPr>
          <w:rFonts w:hint="eastAsia" w:ascii="仿宋" w:hAnsi="仿宋" w:eastAsia="仿宋" w:cs="仿宋"/>
          <w:b/>
          <w:bCs/>
          <w:kern w:val="0"/>
          <w:sz w:val="24"/>
          <w:lang w:bidi="ar"/>
        </w:rPr>
        <w:t>代理销售机构的营业网点咨询与反馈。</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甲方承诺：我方已仔细阅读上述所有条款，并已特别注意字体加粗的内容。上银理财有限责任公司已应我方要求对相关条款予以明确说明，我方对所有条款的含义及相应的法律后果已全部通晓并充分理解。我方以合法自有资金自愿购买本理财产品，充分理解产品要素，完全知晓产品风险，愿意并能够承担风险。我方做出的投资决策出于我方自己的判定，乙方不承担责任。</w:t>
      </w:r>
    </w:p>
    <w:p>
      <w:pPr>
        <w:widowControl/>
        <w:spacing w:line="360" w:lineRule="auto"/>
        <w:ind w:firstLine="0"/>
        <w:rPr>
          <w:rFonts w:ascii="仿宋" w:hAnsi="仿宋" w:eastAsia="仿宋" w:cs="仿宋"/>
          <w:sz w:val="24"/>
        </w:rPr>
      </w:pPr>
    </w:p>
    <w:p>
      <w:pPr>
        <w:widowControl/>
        <w:spacing w:line="360" w:lineRule="auto"/>
        <w:rPr>
          <w:rFonts w:ascii="仿宋" w:hAnsi="仿宋" w:eastAsia="仿宋" w:cs="仿宋"/>
          <w:kern w:val="0"/>
          <w:sz w:val="24"/>
          <w:lang w:bidi="ar"/>
        </w:rPr>
      </w:pPr>
      <w:r>
        <w:rPr>
          <w:rFonts w:hint="eastAsia" w:ascii="仿宋" w:hAnsi="仿宋" w:eastAsia="仿宋" w:cs="仿宋"/>
          <w:kern w:val="0"/>
          <w:sz w:val="24"/>
          <w:lang w:bidi="ar"/>
        </w:rPr>
        <w:t>甲方：</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（签字/签章/线上点击确认）</w:t>
      </w:r>
      <w:r>
        <w:rPr>
          <w:rFonts w:hint="eastAsia" w:ascii="仿宋" w:hAnsi="仿宋" w:eastAsia="仿宋" w:cs="仿宋"/>
          <w:kern w:val="0"/>
          <w:sz w:val="24"/>
          <w:lang w:val="en-US" w:eastAsia="zh-CN" w:bidi="ar"/>
        </w:rPr>
        <w:t xml:space="preserve">    </w:t>
      </w:r>
      <w:r>
        <w:rPr>
          <w:rFonts w:hint="eastAsia" w:ascii="仿宋" w:hAnsi="仿宋" w:eastAsia="仿宋" w:cs="仿宋"/>
          <w:kern w:val="0"/>
          <w:sz w:val="24"/>
          <w:lang w:bidi="ar"/>
        </w:rPr>
        <w:t> 乙方：上银理财有限责任公司</w:t>
      </w:r>
    </w:p>
    <w:p>
      <w:pPr>
        <w:widowControl/>
        <w:spacing w:line="360" w:lineRule="auto"/>
        <w:jc w:val="left"/>
        <w:rPr>
          <w:rFonts w:ascii="楷体_GB2312" w:hAnsi="宋体" w:eastAsia="楷体_GB2312"/>
          <w:b/>
          <w:bCs/>
          <w:szCs w:val="21"/>
        </w:rPr>
      </w:pPr>
      <w:r>
        <w:rPr>
          <w:rFonts w:hint="eastAsia" w:ascii="仿宋" w:hAnsi="仿宋" w:eastAsia="仿宋" w:cs="仿宋"/>
          <w:kern w:val="0"/>
          <w:sz w:val="24"/>
          <w:lang w:bidi="ar"/>
        </w:rPr>
        <w:t>签署日期：</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年</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月</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日</w:t>
      </w:r>
    </w:p>
    <w:sectPr>
      <w:footerReference r:id="rId4" w:type="first"/>
      <w:footerReference r:id="rId3" w:type="default"/>
      <w:pgSz w:w="11906" w:h="16838"/>
      <w:pgMar w:top="1440" w:right="1800" w:bottom="1440" w:left="1800" w:header="851" w:footer="992" w:gutter="0"/>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420" w:firstLine="420"/>
      <w:jc w:val="right"/>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413A41"/>
    <w:multiLevelType w:val="multilevel"/>
    <w:tmpl w:val="2E413A41"/>
    <w:lvl w:ilvl="0" w:tentative="0">
      <w:start w:val="1"/>
      <w:numFmt w:val="decimal"/>
      <w:pStyle w:val="36"/>
      <w:lvlText w:val="%1）"/>
      <w:lvlJc w:val="left"/>
      <w:pPr>
        <w:ind w:left="820" w:hanging="420"/>
      </w:pPr>
      <w:rPr>
        <w:rFonts w:hint="eastAsia" w:ascii="宋体" w:hAnsi="宋体" w:eastAsia="宋体" w:cs="宋体"/>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2"/>
        <w:szCs w:val="22"/>
        <w:u w:val="none" w:color="000000"/>
        <w:shd w:val="clear" w:color="auto" w:fill="auto"/>
        <w:vertAlign w:val="baseline"/>
      </w:rPr>
    </w:lvl>
  </w:abstractNum>
  <w:abstractNum w:abstractNumId="1">
    <w:nsid w:val="307D6941"/>
    <w:multiLevelType w:val="multilevel"/>
    <w:tmpl w:val="307D6941"/>
    <w:lvl w:ilvl="0" w:tentative="0">
      <w:start w:val="1"/>
      <w:numFmt w:val="upperLetter"/>
      <w:pStyle w:val="42"/>
      <w:lvlText w:val="%1、"/>
      <w:lvlJc w:val="left"/>
      <w:pPr>
        <w:ind w:left="1020" w:hanging="420"/>
      </w:pPr>
      <w:rPr>
        <w:rFonts w:ascii="宋体" w:hAnsi="宋体" w:eastAsia="宋体" w:cs="宋体"/>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2">
    <w:nsid w:val="5AD912BF"/>
    <w:multiLevelType w:val="multilevel"/>
    <w:tmpl w:val="5AD912BF"/>
    <w:lvl w:ilvl="0" w:tentative="0">
      <w:start w:val="1"/>
      <w:numFmt w:val="chineseCountingThousand"/>
      <w:pStyle w:val="33"/>
      <w:lvlText w:val="第%1条."/>
      <w:lvlJc w:val="left"/>
      <w:pPr>
        <w:ind w:left="2122" w:hanging="420"/>
      </w:pPr>
    </w:lvl>
    <w:lvl w:ilvl="1" w:tentative="0">
      <w:start w:val="1"/>
      <w:numFmt w:val="decimal"/>
      <w:lvlText w:val="%2."/>
      <w:lvlJc w:val="left"/>
      <w:pPr>
        <w:ind w:left="780" w:hanging="360"/>
      </w:pPr>
      <w:rPr>
        <w:rFonts w:hint="default"/>
      </w:rPr>
    </w:lvl>
    <w:lvl w:ilvl="2" w:tentative="0">
      <w:start w:val="1"/>
      <w:numFmt w:val="decimal"/>
      <w:lvlText w:val="%3)"/>
      <w:lvlJc w:val="left"/>
      <w:pPr>
        <w:ind w:left="1200" w:hanging="3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BC6082B"/>
    <w:multiLevelType w:val="multilevel"/>
    <w:tmpl w:val="5BC6082B"/>
    <w:lvl w:ilvl="0" w:tentative="0">
      <w:start w:val="1"/>
      <w:numFmt w:val="chineseCountingThousand"/>
      <w:pStyle w:val="37"/>
      <w:lvlText w:val="%1、"/>
      <w:lvlJc w:val="left"/>
      <w:pPr>
        <w:ind w:left="620" w:hanging="420"/>
      </w:pPr>
    </w:lvl>
    <w:lvl w:ilvl="1" w:tentative="0">
      <w:start w:val="1"/>
      <w:numFmt w:val="decimal"/>
      <w:lvlText w:val="%2、"/>
      <w:lvlJc w:val="left"/>
      <w:pPr>
        <w:ind w:left="980" w:hanging="360"/>
      </w:pPr>
      <w:rPr>
        <w:rFonts w:hint="default"/>
      </w:r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4">
    <w:nsid w:val="699E0D31"/>
    <w:multiLevelType w:val="multilevel"/>
    <w:tmpl w:val="699E0D31"/>
    <w:lvl w:ilvl="0" w:tentative="0">
      <w:start w:val="1"/>
      <w:numFmt w:val="chineseCountingThousand"/>
      <w:pStyle w:val="30"/>
      <w:lvlText w:val="%1、"/>
      <w:lvlJc w:val="left"/>
      <w:pPr>
        <w:ind w:left="569"/>
      </w:pPr>
      <w:rPr>
        <w:b w:val="0"/>
        <w:i w:val="0"/>
        <w:strike w:val="0"/>
        <w:dstrike w:val="0"/>
        <w:color w:val="000000"/>
        <w:sz w:val="22"/>
        <w:szCs w:val="22"/>
        <w:u w:val="none" w:color="000000"/>
        <w:shd w:val="clear" w:color="auto" w:fill="auto"/>
        <w:vertAlign w:val="baseline"/>
      </w:rPr>
    </w:lvl>
    <w:lvl w:ilvl="1" w:tentative="0">
      <w:start w:val="1"/>
      <w:numFmt w:val="bullet"/>
      <w:lvlText w:val="o"/>
      <w:lvlJc w:val="left"/>
      <w:pPr>
        <w:ind w:left="1222"/>
      </w:pPr>
      <w:rPr>
        <w:rFonts w:ascii="Wingdings" w:hAnsi="Wingdings" w:eastAsia="Wingdings" w:cs="Wingdings"/>
        <w:b w:val="0"/>
        <w:i w:val="0"/>
        <w:strike w:val="0"/>
        <w:dstrike w:val="0"/>
        <w:color w:val="000000"/>
        <w:sz w:val="22"/>
        <w:szCs w:val="22"/>
        <w:u w:val="none" w:color="000000"/>
        <w:shd w:val="clear" w:color="auto" w:fill="auto"/>
        <w:vertAlign w:val="baseline"/>
      </w:rPr>
    </w:lvl>
    <w:lvl w:ilvl="2" w:tentative="0">
      <w:start w:val="1"/>
      <w:numFmt w:val="bullet"/>
      <w:lvlText w:val="▪"/>
      <w:lvlJc w:val="left"/>
      <w:pPr>
        <w:ind w:left="1942"/>
      </w:pPr>
      <w:rPr>
        <w:rFonts w:ascii="Wingdings" w:hAnsi="Wingdings" w:eastAsia="Wingdings" w:cs="Wingdings"/>
        <w:b w:val="0"/>
        <w:i w:val="0"/>
        <w:strike w:val="0"/>
        <w:dstrike w:val="0"/>
        <w:color w:val="000000"/>
        <w:sz w:val="22"/>
        <w:szCs w:val="22"/>
        <w:u w:val="none" w:color="000000"/>
        <w:shd w:val="clear" w:color="auto" w:fill="auto"/>
        <w:vertAlign w:val="baseline"/>
      </w:rPr>
    </w:lvl>
    <w:lvl w:ilvl="3" w:tentative="0">
      <w:start w:val="1"/>
      <w:numFmt w:val="bullet"/>
      <w:lvlText w:val="•"/>
      <w:lvlJc w:val="left"/>
      <w:pPr>
        <w:ind w:left="2662"/>
      </w:pPr>
      <w:rPr>
        <w:rFonts w:ascii="Wingdings" w:hAnsi="Wingdings" w:eastAsia="Wingdings" w:cs="Wingdings"/>
        <w:b w:val="0"/>
        <w:i w:val="0"/>
        <w:strike w:val="0"/>
        <w:dstrike w:val="0"/>
        <w:color w:val="000000"/>
        <w:sz w:val="22"/>
        <w:szCs w:val="22"/>
        <w:u w:val="none" w:color="000000"/>
        <w:shd w:val="clear" w:color="auto" w:fill="auto"/>
        <w:vertAlign w:val="baseline"/>
      </w:rPr>
    </w:lvl>
    <w:lvl w:ilvl="4" w:tentative="0">
      <w:start w:val="1"/>
      <w:numFmt w:val="bullet"/>
      <w:lvlText w:val="o"/>
      <w:lvlJc w:val="left"/>
      <w:pPr>
        <w:ind w:left="3382"/>
      </w:pPr>
      <w:rPr>
        <w:rFonts w:ascii="Wingdings" w:hAnsi="Wingdings" w:eastAsia="Wingdings" w:cs="Wingdings"/>
        <w:b w:val="0"/>
        <w:i w:val="0"/>
        <w:strike w:val="0"/>
        <w:dstrike w:val="0"/>
        <w:color w:val="000000"/>
        <w:sz w:val="22"/>
        <w:szCs w:val="22"/>
        <w:u w:val="none" w:color="000000"/>
        <w:shd w:val="clear" w:color="auto" w:fill="auto"/>
        <w:vertAlign w:val="baseline"/>
      </w:rPr>
    </w:lvl>
    <w:lvl w:ilvl="5" w:tentative="0">
      <w:start w:val="1"/>
      <w:numFmt w:val="bullet"/>
      <w:lvlText w:val="▪"/>
      <w:lvlJc w:val="left"/>
      <w:pPr>
        <w:ind w:left="4102"/>
      </w:pPr>
      <w:rPr>
        <w:rFonts w:ascii="Wingdings" w:hAnsi="Wingdings" w:eastAsia="Wingdings" w:cs="Wingdings"/>
        <w:b w:val="0"/>
        <w:i w:val="0"/>
        <w:strike w:val="0"/>
        <w:dstrike w:val="0"/>
        <w:color w:val="000000"/>
        <w:sz w:val="22"/>
        <w:szCs w:val="22"/>
        <w:u w:val="none" w:color="000000"/>
        <w:shd w:val="clear" w:color="auto" w:fill="auto"/>
        <w:vertAlign w:val="baseline"/>
      </w:rPr>
    </w:lvl>
    <w:lvl w:ilvl="6" w:tentative="0">
      <w:start w:val="1"/>
      <w:numFmt w:val="bullet"/>
      <w:lvlText w:val="•"/>
      <w:lvlJc w:val="left"/>
      <w:pPr>
        <w:ind w:left="4822"/>
      </w:pPr>
      <w:rPr>
        <w:rFonts w:ascii="Wingdings" w:hAnsi="Wingdings" w:eastAsia="Wingdings" w:cs="Wingdings"/>
        <w:b w:val="0"/>
        <w:i w:val="0"/>
        <w:strike w:val="0"/>
        <w:dstrike w:val="0"/>
        <w:color w:val="000000"/>
        <w:sz w:val="22"/>
        <w:szCs w:val="22"/>
        <w:u w:val="none" w:color="000000"/>
        <w:shd w:val="clear" w:color="auto" w:fill="auto"/>
        <w:vertAlign w:val="baseline"/>
      </w:rPr>
    </w:lvl>
    <w:lvl w:ilvl="7" w:tentative="0">
      <w:start w:val="1"/>
      <w:numFmt w:val="bullet"/>
      <w:lvlText w:val="o"/>
      <w:lvlJc w:val="left"/>
      <w:pPr>
        <w:ind w:left="5542"/>
      </w:pPr>
      <w:rPr>
        <w:rFonts w:ascii="Wingdings" w:hAnsi="Wingdings" w:eastAsia="Wingdings" w:cs="Wingdings"/>
        <w:b w:val="0"/>
        <w:i w:val="0"/>
        <w:strike w:val="0"/>
        <w:dstrike w:val="0"/>
        <w:color w:val="000000"/>
        <w:sz w:val="22"/>
        <w:szCs w:val="22"/>
        <w:u w:val="none" w:color="000000"/>
        <w:shd w:val="clear" w:color="auto" w:fill="auto"/>
        <w:vertAlign w:val="baseline"/>
      </w:rPr>
    </w:lvl>
    <w:lvl w:ilvl="8" w:tentative="0">
      <w:start w:val="1"/>
      <w:numFmt w:val="bullet"/>
      <w:lvlText w:val="▪"/>
      <w:lvlJc w:val="left"/>
      <w:pPr>
        <w:ind w:left="6262"/>
      </w:pPr>
      <w:rPr>
        <w:rFonts w:ascii="Wingdings" w:hAnsi="Wingdings" w:eastAsia="Wingdings" w:cs="Wingdings"/>
        <w:b w:val="0"/>
        <w:i w:val="0"/>
        <w:strike w:val="0"/>
        <w:dstrike w:val="0"/>
        <w:color w:val="000000"/>
        <w:sz w:val="22"/>
        <w:szCs w:val="22"/>
        <w:u w:val="none" w:color="000000"/>
        <w:shd w:val="clear" w:color="auto" w:fill="auto"/>
        <w:vertAlign w:val="baseline"/>
      </w:rPr>
    </w:lvl>
  </w:abstractNum>
  <w:abstractNum w:abstractNumId="5">
    <w:nsid w:val="6D3D1D6E"/>
    <w:multiLevelType w:val="multilevel"/>
    <w:tmpl w:val="6D3D1D6E"/>
    <w:lvl w:ilvl="0" w:tentative="0">
      <w:start w:val="1"/>
      <w:numFmt w:val="decimal"/>
      <w:pStyle w:val="35"/>
      <w:suff w:val="nothing"/>
      <w:lvlText w:val="%1、"/>
      <w:lvlJc w:val="left"/>
      <w:pPr>
        <w:ind w:left="426" w:firstLine="0"/>
      </w:pPr>
    </w:lvl>
    <w:lvl w:ilvl="1" w:tentative="0">
      <w:start w:val="1"/>
      <w:numFmt w:val="bullet"/>
      <w:lvlText w:val="o"/>
      <w:lvlJc w:val="left"/>
      <w:pPr>
        <w:ind w:left="1222"/>
      </w:pPr>
      <w:rPr>
        <w:rFonts w:ascii="Wingdings" w:hAnsi="Wingdings" w:eastAsia="Wingdings" w:cs="Wingdings"/>
        <w:b w:val="0"/>
        <w:i w:val="0"/>
        <w:strike w:val="0"/>
        <w:dstrike w:val="0"/>
        <w:color w:val="000000"/>
        <w:sz w:val="22"/>
        <w:szCs w:val="22"/>
        <w:u w:val="none" w:color="000000"/>
        <w:shd w:val="clear" w:color="auto" w:fill="auto"/>
        <w:vertAlign w:val="baseline"/>
      </w:rPr>
    </w:lvl>
    <w:lvl w:ilvl="2" w:tentative="0">
      <w:start w:val="1"/>
      <w:numFmt w:val="bullet"/>
      <w:lvlText w:val="▪"/>
      <w:lvlJc w:val="left"/>
      <w:pPr>
        <w:ind w:left="1942"/>
      </w:pPr>
      <w:rPr>
        <w:rFonts w:ascii="Wingdings" w:hAnsi="Wingdings" w:eastAsia="Wingdings" w:cs="Wingdings"/>
        <w:b w:val="0"/>
        <w:i w:val="0"/>
        <w:strike w:val="0"/>
        <w:dstrike w:val="0"/>
        <w:color w:val="000000"/>
        <w:sz w:val="22"/>
        <w:szCs w:val="22"/>
        <w:u w:val="none" w:color="000000"/>
        <w:shd w:val="clear" w:color="auto" w:fill="auto"/>
        <w:vertAlign w:val="baseline"/>
      </w:rPr>
    </w:lvl>
    <w:lvl w:ilvl="3" w:tentative="0">
      <w:start w:val="1"/>
      <w:numFmt w:val="bullet"/>
      <w:lvlText w:val="•"/>
      <w:lvlJc w:val="left"/>
      <w:pPr>
        <w:ind w:left="2662"/>
      </w:pPr>
      <w:rPr>
        <w:rFonts w:ascii="Wingdings" w:hAnsi="Wingdings" w:eastAsia="Wingdings" w:cs="Wingdings"/>
        <w:b w:val="0"/>
        <w:i w:val="0"/>
        <w:strike w:val="0"/>
        <w:dstrike w:val="0"/>
        <w:color w:val="000000"/>
        <w:sz w:val="22"/>
        <w:szCs w:val="22"/>
        <w:u w:val="none" w:color="000000"/>
        <w:shd w:val="clear" w:color="auto" w:fill="auto"/>
        <w:vertAlign w:val="baseline"/>
      </w:rPr>
    </w:lvl>
    <w:lvl w:ilvl="4" w:tentative="0">
      <w:start w:val="1"/>
      <w:numFmt w:val="bullet"/>
      <w:lvlText w:val="o"/>
      <w:lvlJc w:val="left"/>
      <w:pPr>
        <w:ind w:left="3382"/>
      </w:pPr>
      <w:rPr>
        <w:rFonts w:ascii="Wingdings" w:hAnsi="Wingdings" w:eastAsia="Wingdings" w:cs="Wingdings"/>
        <w:b w:val="0"/>
        <w:i w:val="0"/>
        <w:strike w:val="0"/>
        <w:dstrike w:val="0"/>
        <w:color w:val="000000"/>
        <w:sz w:val="22"/>
        <w:szCs w:val="22"/>
        <w:u w:val="none" w:color="000000"/>
        <w:shd w:val="clear" w:color="auto" w:fill="auto"/>
        <w:vertAlign w:val="baseline"/>
      </w:rPr>
    </w:lvl>
    <w:lvl w:ilvl="5" w:tentative="0">
      <w:start w:val="1"/>
      <w:numFmt w:val="bullet"/>
      <w:lvlText w:val="▪"/>
      <w:lvlJc w:val="left"/>
      <w:pPr>
        <w:ind w:left="4102"/>
      </w:pPr>
      <w:rPr>
        <w:rFonts w:ascii="Wingdings" w:hAnsi="Wingdings" w:eastAsia="Wingdings" w:cs="Wingdings"/>
        <w:b w:val="0"/>
        <w:i w:val="0"/>
        <w:strike w:val="0"/>
        <w:dstrike w:val="0"/>
        <w:color w:val="000000"/>
        <w:sz w:val="22"/>
        <w:szCs w:val="22"/>
        <w:u w:val="none" w:color="000000"/>
        <w:shd w:val="clear" w:color="auto" w:fill="auto"/>
        <w:vertAlign w:val="baseline"/>
      </w:rPr>
    </w:lvl>
    <w:lvl w:ilvl="6" w:tentative="0">
      <w:start w:val="1"/>
      <w:numFmt w:val="bullet"/>
      <w:lvlText w:val="•"/>
      <w:lvlJc w:val="left"/>
      <w:pPr>
        <w:ind w:left="4822"/>
      </w:pPr>
      <w:rPr>
        <w:rFonts w:ascii="Wingdings" w:hAnsi="Wingdings" w:eastAsia="Wingdings" w:cs="Wingdings"/>
        <w:b w:val="0"/>
        <w:i w:val="0"/>
        <w:strike w:val="0"/>
        <w:dstrike w:val="0"/>
        <w:color w:val="000000"/>
        <w:sz w:val="22"/>
        <w:szCs w:val="22"/>
        <w:u w:val="none" w:color="000000"/>
        <w:shd w:val="clear" w:color="auto" w:fill="auto"/>
        <w:vertAlign w:val="baseline"/>
      </w:rPr>
    </w:lvl>
    <w:lvl w:ilvl="7" w:tentative="0">
      <w:start w:val="1"/>
      <w:numFmt w:val="bullet"/>
      <w:lvlText w:val="o"/>
      <w:lvlJc w:val="left"/>
      <w:pPr>
        <w:ind w:left="5542"/>
      </w:pPr>
      <w:rPr>
        <w:rFonts w:ascii="Wingdings" w:hAnsi="Wingdings" w:eastAsia="Wingdings" w:cs="Wingdings"/>
        <w:b w:val="0"/>
        <w:i w:val="0"/>
        <w:strike w:val="0"/>
        <w:dstrike w:val="0"/>
        <w:color w:val="000000"/>
        <w:sz w:val="22"/>
        <w:szCs w:val="22"/>
        <w:u w:val="none" w:color="000000"/>
        <w:shd w:val="clear" w:color="auto" w:fill="auto"/>
        <w:vertAlign w:val="baseline"/>
      </w:rPr>
    </w:lvl>
    <w:lvl w:ilvl="8" w:tentative="0">
      <w:start w:val="1"/>
      <w:numFmt w:val="bullet"/>
      <w:lvlText w:val="▪"/>
      <w:lvlJc w:val="left"/>
      <w:pPr>
        <w:ind w:left="6262"/>
      </w:pPr>
      <w:rPr>
        <w:rFonts w:ascii="Wingdings" w:hAnsi="Wingdings" w:eastAsia="Wingdings" w:cs="Wingdings"/>
        <w:b w:val="0"/>
        <w:i w:val="0"/>
        <w:strike w:val="0"/>
        <w:dstrike w:val="0"/>
        <w:color w:val="000000"/>
        <w:sz w:val="22"/>
        <w:szCs w:val="22"/>
        <w:u w:val="none" w:color="000000"/>
        <w:shd w:val="clear" w:color="auto" w:fill="auto"/>
        <w:vertAlign w:val="baseline"/>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BE1"/>
    <w:rsid w:val="0000487F"/>
    <w:rsid w:val="00007B84"/>
    <w:rsid w:val="00015C78"/>
    <w:rsid w:val="00015E2E"/>
    <w:rsid w:val="000168C1"/>
    <w:rsid w:val="00017B04"/>
    <w:rsid w:val="00020279"/>
    <w:rsid w:val="00020476"/>
    <w:rsid w:val="00020D7B"/>
    <w:rsid w:val="00024206"/>
    <w:rsid w:val="000306E3"/>
    <w:rsid w:val="0003109D"/>
    <w:rsid w:val="00032F93"/>
    <w:rsid w:val="00034102"/>
    <w:rsid w:val="000349BC"/>
    <w:rsid w:val="0004001F"/>
    <w:rsid w:val="00040200"/>
    <w:rsid w:val="000406B2"/>
    <w:rsid w:val="00043186"/>
    <w:rsid w:val="0004467D"/>
    <w:rsid w:val="00045247"/>
    <w:rsid w:val="00051032"/>
    <w:rsid w:val="00053B7B"/>
    <w:rsid w:val="00054122"/>
    <w:rsid w:val="000572AE"/>
    <w:rsid w:val="00060046"/>
    <w:rsid w:val="000602E0"/>
    <w:rsid w:val="00060BF4"/>
    <w:rsid w:val="00061929"/>
    <w:rsid w:val="00061DA0"/>
    <w:rsid w:val="00065824"/>
    <w:rsid w:val="00065CAD"/>
    <w:rsid w:val="00066C94"/>
    <w:rsid w:val="00067A45"/>
    <w:rsid w:val="00072114"/>
    <w:rsid w:val="00072478"/>
    <w:rsid w:val="0007361A"/>
    <w:rsid w:val="00077BF0"/>
    <w:rsid w:val="00081099"/>
    <w:rsid w:val="00082D46"/>
    <w:rsid w:val="00093E87"/>
    <w:rsid w:val="00096E70"/>
    <w:rsid w:val="0009726D"/>
    <w:rsid w:val="00097C56"/>
    <w:rsid w:val="00097E54"/>
    <w:rsid w:val="000A2C16"/>
    <w:rsid w:val="000A4639"/>
    <w:rsid w:val="000B2338"/>
    <w:rsid w:val="000B69CC"/>
    <w:rsid w:val="000C0E79"/>
    <w:rsid w:val="000C29B3"/>
    <w:rsid w:val="000C34E8"/>
    <w:rsid w:val="000C394B"/>
    <w:rsid w:val="000C3959"/>
    <w:rsid w:val="000C630D"/>
    <w:rsid w:val="000C7D0A"/>
    <w:rsid w:val="000D0C02"/>
    <w:rsid w:val="000D231B"/>
    <w:rsid w:val="000D2B04"/>
    <w:rsid w:val="000D4BAA"/>
    <w:rsid w:val="000D7072"/>
    <w:rsid w:val="000E1706"/>
    <w:rsid w:val="000E3AC0"/>
    <w:rsid w:val="000E4F72"/>
    <w:rsid w:val="000E5D05"/>
    <w:rsid w:val="000F062D"/>
    <w:rsid w:val="000F4B97"/>
    <w:rsid w:val="000F5C0E"/>
    <w:rsid w:val="00102175"/>
    <w:rsid w:val="001026E0"/>
    <w:rsid w:val="001032DC"/>
    <w:rsid w:val="00103483"/>
    <w:rsid w:val="00105F58"/>
    <w:rsid w:val="001061EE"/>
    <w:rsid w:val="001102CF"/>
    <w:rsid w:val="0011154F"/>
    <w:rsid w:val="00112603"/>
    <w:rsid w:val="00112890"/>
    <w:rsid w:val="00113E6D"/>
    <w:rsid w:val="00114356"/>
    <w:rsid w:val="00114598"/>
    <w:rsid w:val="001164B3"/>
    <w:rsid w:val="00116968"/>
    <w:rsid w:val="00120F4F"/>
    <w:rsid w:val="001231E9"/>
    <w:rsid w:val="00126DBA"/>
    <w:rsid w:val="00141776"/>
    <w:rsid w:val="001419ED"/>
    <w:rsid w:val="00146CFD"/>
    <w:rsid w:val="001478CF"/>
    <w:rsid w:val="0015087D"/>
    <w:rsid w:val="001548F8"/>
    <w:rsid w:val="0015498D"/>
    <w:rsid w:val="00154D16"/>
    <w:rsid w:val="00156514"/>
    <w:rsid w:val="00156631"/>
    <w:rsid w:val="001600EE"/>
    <w:rsid w:val="00160646"/>
    <w:rsid w:val="00161A91"/>
    <w:rsid w:val="001669DC"/>
    <w:rsid w:val="001702F2"/>
    <w:rsid w:val="00170523"/>
    <w:rsid w:val="001722FE"/>
    <w:rsid w:val="00172B2E"/>
    <w:rsid w:val="00173A6B"/>
    <w:rsid w:val="001752A7"/>
    <w:rsid w:val="001770ED"/>
    <w:rsid w:val="00177A5F"/>
    <w:rsid w:val="0018155F"/>
    <w:rsid w:val="001854F4"/>
    <w:rsid w:val="001858EA"/>
    <w:rsid w:val="0018726E"/>
    <w:rsid w:val="00190B6E"/>
    <w:rsid w:val="00193304"/>
    <w:rsid w:val="001A1132"/>
    <w:rsid w:val="001A406D"/>
    <w:rsid w:val="001A4590"/>
    <w:rsid w:val="001A78B9"/>
    <w:rsid w:val="001A7ED1"/>
    <w:rsid w:val="001B0E21"/>
    <w:rsid w:val="001B0E55"/>
    <w:rsid w:val="001B4684"/>
    <w:rsid w:val="001B4FBD"/>
    <w:rsid w:val="001B5D71"/>
    <w:rsid w:val="001B7BF5"/>
    <w:rsid w:val="001C1E99"/>
    <w:rsid w:val="001C3C2B"/>
    <w:rsid w:val="001C475B"/>
    <w:rsid w:val="001C4A1E"/>
    <w:rsid w:val="001C4C0F"/>
    <w:rsid w:val="001C62E7"/>
    <w:rsid w:val="001C7C0A"/>
    <w:rsid w:val="001D0468"/>
    <w:rsid w:val="001D0A1F"/>
    <w:rsid w:val="001D0DEC"/>
    <w:rsid w:val="001D1DAF"/>
    <w:rsid w:val="001D25C9"/>
    <w:rsid w:val="001D5752"/>
    <w:rsid w:val="001D5B4B"/>
    <w:rsid w:val="001D6181"/>
    <w:rsid w:val="001D63AA"/>
    <w:rsid w:val="001D6D20"/>
    <w:rsid w:val="001D7164"/>
    <w:rsid w:val="001E045E"/>
    <w:rsid w:val="001E203B"/>
    <w:rsid w:val="001E2420"/>
    <w:rsid w:val="001E39A0"/>
    <w:rsid w:val="001E46EF"/>
    <w:rsid w:val="001E6228"/>
    <w:rsid w:val="001E6E50"/>
    <w:rsid w:val="001E7040"/>
    <w:rsid w:val="001E7337"/>
    <w:rsid w:val="001F0834"/>
    <w:rsid w:val="001F7E4F"/>
    <w:rsid w:val="00204ACC"/>
    <w:rsid w:val="00204CBB"/>
    <w:rsid w:val="002123DC"/>
    <w:rsid w:val="002136D3"/>
    <w:rsid w:val="00213DD6"/>
    <w:rsid w:val="00214112"/>
    <w:rsid w:val="00215333"/>
    <w:rsid w:val="002202B1"/>
    <w:rsid w:val="002206CC"/>
    <w:rsid w:val="0022084C"/>
    <w:rsid w:val="002213E7"/>
    <w:rsid w:val="00221730"/>
    <w:rsid w:val="00221F21"/>
    <w:rsid w:val="00224824"/>
    <w:rsid w:val="00240A70"/>
    <w:rsid w:val="0024379E"/>
    <w:rsid w:val="0024460C"/>
    <w:rsid w:val="00245CE7"/>
    <w:rsid w:val="00246453"/>
    <w:rsid w:val="00250711"/>
    <w:rsid w:val="002507E1"/>
    <w:rsid w:val="00252749"/>
    <w:rsid w:val="0025278F"/>
    <w:rsid w:val="00253F9A"/>
    <w:rsid w:val="002575EF"/>
    <w:rsid w:val="00260A95"/>
    <w:rsid w:val="002621A2"/>
    <w:rsid w:val="00262AC6"/>
    <w:rsid w:val="00263F15"/>
    <w:rsid w:val="002646FC"/>
    <w:rsid w:val="00264C7E"/>
    <w:rsid w:val="00265261"/>
    <w:rsid w:val="00265271"/>
    <w:rsid w:val="00267F24"/>
    <w:rsid w:val="0027045E"/>
    <w:rsid w:val="00270874"/>
    <w:rsid w:val="0027272C"/>
    <w:rsid w:val="002774A4"/>
    <w:rsid w:val="002778B4"/>
    <w:rsid w:val="00280FC3"/>
    <w:rsid w:val="0028124B"/>
    <w:rsid w:val="002859BD"/>
    <w:rsid w:val="0028687A"/>
    <w:rsid w:val="00286DA9"/>
    <w:rsid w:val="00287527"/>
    <w:rsid w:val="00290416"/>
    <w:rsid w:val="0029044D"/>
    <w:rsid w:val="002919AD"/>
    <w:rsid w:val="002927CB"/>
    <w:rsid w:val="00292CC0"/>
    <w:rsid w:val="00294361"/>
    <w:rsid w:val="002954C4"/>
    <w:rsid w:val="00296119"/>
    <w:rsid w:val="0029619D"/>
    <w:rsid w:val="00297E7C"/>
    <w:rsid w:val="002A3173"/>
    <w:rsid w:val="002A4E68"/>
    <w:rsid w:val="002A582C"/>
    <w:rsid w:val="002A5CB1"/>
    <w:rsid w:val="002A7BDD"/>
    <w:rsid w:val="002B100B"/>
    <w:rsid w:val="002B22AF"/>
    <w:rsid w:val="002B332C"/>
    <w:rsid w:val="002B3B49"/>
    <w:rsid w:val="002B7FEA"/>
    <w:rsid w:val="002C30B7"/>
    <w:rsid w:val="002C63A1"/>
    <w:rsid w:val="002C6BB9"/>
    <w:rsid w:val="002D034E"/>
    <w:rsid w:val="002D19AC"/>
    <w:rsid w:val="002D212F"/>
    <w:rsid w:val="002D2475"/>
    <w:rsid w:val="002D396E"/>
    <w:rsid w:val="002D3A9A"/>
    <w:rsid w:val="002D7C36"/>
    <w:rsid w:val="002E03F8"/>
    <w:rsid w:val="002E1BE1"/>
    <w:rsid w:val="002E452E"/>
    <w:rsid w:val="002E4701"/>
    <w:rsid w:val="002E493C"/>
    <w:rsid w:val="002E5006"/>
    <w:rsid w:val="002E55EC"/>
    <w:rsid w:val="002E5804"/>
    <w:rsid w:val="002E5DA9"/>
    <w:rsid w:val="002E6754"/>
    <w:rsid w:val="002E6BC1"/>
    <w:rsid w:val="002F24F8"/>
    <w:rsid w:val="002F4421"/>
    <w:rsid w:val="002F5B6C"/>
    <w:rsid w:val="002F5E2A"/>
    <w:rsid w:val="002F6BC0"/>
    <w:rsid w:val="003009AB"/>
    <w:rsid w:val="0030237E"/>
    <w:rsid w:val="00303BDD"/>
    <w:rsid w:val="0030591B"/>
    <w:rsid w:val="00310E3A"/>
    <w:rsid w:val="00316CB6"/>
    <w:rsid w:val="00326B19"/>
    <w:rsid w:val="00327B11"/>
    <w:rsid w:val="003325D9"/>
    <w:rsid w:val="00334E05"/>
    <w:rsid w:val="00335139"/>
    <w:rsid w:val="003369D2"/>
    <w:rsid w:val="003413A5"/>
    <w:rsid w:val="0034271E"/>
    <w:rsid w:val="0034365C"/>
    <w:rsid w:val="003472AC"/>
    <w:rsid w:val="00351556"/>
    <w:rsid w:val="00352A7F"/>
    <w:rsid w:val="00354392"/>
    <w:rsid w:val="003554BF"/>
    <w:rsid w:val="00355673"/>
    <w:rsid w:val="00357DF5"/>
    <w:rsid w:val="0036193A"/>
    <w:rsid w:val="00363C5C"/>
    <w:rsid w:val="0036456D"/>
    <w:rsid w:val="003669D0"/>
    <w:rsid w:val="00373494"/>
    <w:rsid w:val="00373951"/>
    <w:rsid w:val="003741EF"/>
    <w:rsid w:val="0038015B"/>
    <w:rsid w:val="003829DF"/>
    <w:rsid w:val="0038488D"/>
    <w:rsid w:val="003870A9"/>
    <w:rsid w:val="003912C4"/>
    <w:rsid w:val="00396D81"/>
    <w:rsid w:val="00397FB5"/>
    <w:rsid w:val="003A05D6"/>
    <w:rsid w:val="003A0B58"/>
    <w:rsid w:val="003A19C8"/>
    <w:rsid w:val="003A1BA4"/>
    <w:rsid w:val="003A37F8"/>
    <w:rsid w:val="003A3AB8"/>
    <w:rsid w:val="003B1C25"/>
    <w:rsid w:val="003B33A0"/>
    <w:rsid w:val="003C34A4"/>
    <w:rsid w:val="003C44B7"/>
    <w:rsid w:val="003C5A64"/>
    <w:rsid w:val="003D06E8"/>
    <w:rsid w:val="003D1592"/>
    <w:rsid w:val="003D1E0B"/>
    <w:rsid w:val="003D2A5A"/>
    <w:rsid w:val="003D34C9"/>
    <w:rsid w:val="003D3A6F"/>
    <w:rsid w:val="003D572B"/>
    <w:rsid w:val="003D6FA6"/>
    <w:rsid w:val="003D7B2A"/>
    <w:rsid w:val="003E0EF0"/>
    <w:rsid w:val="003E2676"/>
    <w:rsid w:val="003E6724"/>
    <w:rsid w:val="003F073D"/>
    <w:rsid w:val="003F1328"/>
    <w:rsid w:val="003F1BB2"/>
    <w:rsid w:val="003F37C9"/>
    <w:rsid w:val="003F4375"/>
    <w:rsid w:val="003F7A40"/>
    <w:rsid w:val="003F7CD5"/>
    <w:rsid w:val="0040629F"/>
    <w:rsid w:val="004078B2"/>
    <w:rsid w:val="00410AEC"/>
    <w:rsid w:val="00410B74"/>
    <w:rsid w:val="00411ED2"/>
    <w:rsid w:val="0041531B"/>
    <w:rsid w:val="00416063"/>
    <w:rsid w:val="00416A47"/>
    <w:rsid w:val="00420C46"/>
    <w:rsid w:val="00421064"/>
    <w:rsid w:val="00422A74"/>
    <w:rsid w:val="0042363E"/>
    <w:rsid w:val="004244A8"/>
    <w:rsid w:val="00425B80"/>
    <w:rsid w:val="00430A42"/>
    <w:rsid w:val="00430B40"/>
    <w:rsid w:val="00432E93"/>
    <w:rsid w:val="0043319C"/>
    <w:rsid w:val="00434687"/>
    <w:rsid w:val="004351E2"/>
    <w:rsid w:val="00436353"/>
    <w:rsid w:val="00441E39"/>
    <w:rsid w:val="00442B3F"/>
    <w:rsid w:val="00445D8A"/>
    <w:rsid w:val="00454AAD"/>
    <w:rsid w:val="00456DB3"/>
    <w:rsid w:val="00456DDA"/>
    <w:rsid w:val="00457F82"/>
    <w:rsid w:val="0046138B"/>
    <w:rsid w:val="00461E55"/>
    <w:rsid w:val="00462697"/>
    <w:rsid w:val="00463741"/>
    <w:rsid w:val="004664B4"/>
    <w:rsid w:val="0046663F"/>
    <w:rsid w:val="00470E73"/>
    <w:rsid w:val="00472EA5"/>
    <w:rsid w:val="0047326E"/>
    <w:rsid w:val="00475233"/>
    <w:rsid w:val="00476B14"/>
    <w:rsid w:val="00476DCC"/>
    <w:rsid w:val="00477555"/>
    <w:rsid w:val="00480198"/>
    <w:rsid w:val="00482A46"/>
    <w:rsid w:val="004857AD"/>
    <w:rsid w:val="00485C30"/>
    <w:rsid w:val="0049074E"/>
    <w:rsid w:val="004908B6"/>
    <w:rsid w:val="004943C8"/>
    <w:rsid w:val="00494FA8"/>
    <w:rsid w:val="00496BDD"/>
    <w:rsid w:val="00497E68"/>
    <w:rsid w:val="004A006F"/>
    <w:rsid w:val="004A08AA"/>
    <w:rsid w:val="004A30A6"/>
    <w:rsid w:val="004A4AD7"/>
    <w:rsid w:val="004A5A52"/>
    <w:rsid w:val="004B13FB"/>
    <w:rsid w:val="004B23FE"/>
    <w:rsid w:val="004B3700"/>
    <w:rsid w:val="004B5C6E"/>
    <w:rsid w:val="004B7458"/>
    <w:rsid w:val="004B758E"/>
    <w:rsid w:val="004C01A5"/>
    <w:rsid w:val="004C13A0"/>
    <w:rsid w:val="004C2760"/>
    <w:rsid w:val="004C2E96"/>
    <w:rsid w:val="004C4C67"/>
    <w:rsid w:val="004D07EC"/>
    <w:rsid w:val="004D3BD9"/>
    <w:rsid w:val="004D3BDF"/>
    <w:rsid w:val="004D54BC"/>
    <w:rsid w:val="004E2338"/>
    <w:rsid w:val="004E3D92"/>
    <w:rsid w:val="004E60B5"/>
    <w:rsid w:val="004F0A66"/>
    <w:rsid w:val="004F0AAB"/>
    <w:rsid w:val="004F60A1"/>
    <w:rsid w:val="004F67DE"/>
    <w:rsid w:val="004F6E51"/>
    <w:rsid w:val="00501587"/>
    <w:rsid w:val="00502030"/>
    <w:rsid w:val="005021EA"/>
    <w:rsid w:val="005024DA"/>
    <w:rsid w:val="00504CE1"/>
    <w:rsid w:val="005054E2"/>
    <w:rsid w:val="005059C8"/>
    <w:rsid w:val="005064A7"/>
    <w:rsid w:val="0051136C"/>
    <w:rsid w:val="00511600"/>
    <w:rsid w:val="00512D8A"/>
    <w:rsid w:val="00512EEC"/>
    <w:rsid w:val="0051548D"/>
    <w:rsid w:val="00515708"/>
    <w:rsid w:val="005219F3"/>
    <w:rsid w:val="00522B6B"/>
    <w:rsid w:val="00524992"/>
    <w:rsid w:val="00525431"/>
    <w:rsid w:val="00526CD6"/>
    <w:rsid w:val="00532509"/>
    <w:rsid w:val="005346AD"/>
    <w:rsid w:val="0053621A"/>
    <w:rsid w:val="00536985"/>
    <w:rsid w:val="00542A7D"/>
    <w:rsid w:val="00543519"/>
    <w:rsid w:val="005477E2"/>
    <w:rsid w:val="005507C1"/>
    <w:rsid w:val="005520A8"/>
    <w:rsid w:val="00552762"/>
    <w:rsid w:val="0055432E"/>
    <w:rsid w:val="00556C54"/>
    <w:rsid w:val="005608CA"/>
    <w:rsid w:val="00560AA8"/>
    <w:rsid w:val="005639C8"/>
    <w:rsid w:val="00571E18"/>
    <w:rsid w:val="0057287D"/>
    <w:rsid w:val="00573039"/>
    <w:rsid w:val="0057362E"/>
    <w:rsid w:val="005742B4"/>
    <w:rsid w:val="0057571D"/>
    <w:rsid w:val="005757B4"/>
    <w:rsid w:val="00576BDC"/>
    <w:rsid w:val="005829E7"/>
    <w:rsid w:val="00582DDB"/>
    <w:rsid w:val="005862D5"/>
    <w:rsid w:val="0058632B"/>
    <w:rsid w:val="00586513"/>
    <w:rsid w:val="00586EE3"/>
    <w:rsid w:val="005877C0"/>
    <w:rsid w:val="00587D73"/>
    <w:rsid w:val="005949ED"/>
    <w:rsid w:val="00594FAB"/>
    <w:rsid w:val="00595074"/>
    <w:rsid w:val="005964EE"/>
    <w:rsid w:val="005A2C70"/>
    <w:rsid w:val="005A7152"/>
    <w:rsid w:val="005A7ABD"/>
    <w:rsid w:val="005B00CF"/>
    <w:rsid w:val="005B0BF7"/>
    <w:rsid w:val="005B1E33"/>
    <w:rsid w:val="005B3BC6"/>
    <w:rsid w:val="005B4A1A"/>
    <w:rsid w:val="005B52BD"/>
    <w:rsid w:val="005B7218"/>
    <w:rsid w:val="005C0645"/>
    <w:rsid w:val="005C23A1"/>
    <w:rsid w:val="005C6DCD"/>
    <w:rsid w:val="005D1402"/>
    <w:rsid w:val="005D42F5"/>
    <w:rsid w:val="005D4CBC"/>
    <w:rsid w:val="005D6A05"/>
    <w:rsid w:val="005D6A81"/>
    <w:rsid w:val="005D739D"/>
    <w:rsid w:val="005E0E5B"/>
    <w:rsid w:val="005E1CD3"/>
    <w:rsid w:val="005E559B"/>
    <w:rsid w:val="005E67F4"/>
    <w:rsid w:val="005E6D28"/>
    <w:rsid w:val="005E7E7E"/>
    <w:rsid w:val="005F0D9F"/>
    <w:rsid w:val="005F1395"/>
    <w:rsid w:val="005F159F"/>
    <w:rsid w:val="005F17A9"/>
    <w:rsid w:val="005F2711"/>
    <w:rsid w:val="005F45C4"/>
    <w:rsid w:val="005F5580"/>
    <w:rsid w:val="005F68D8"/>
    <w:rsid w:val="005F7944"/>
    <w:rsid w:val="00602D1A"/>
    <w:rsid w:val="00604AEB"/>
    <w:rsid w:val="006063AF"/>
    <w:rsid w:val="00606452"/>
    <w:rsid w:val="006075AB"/>
    <w:rsid w:val="0060796A"/>
    <w:rsid w:val="00607B1E"/>
    <w:rsid w:val="00610AF8"/>
    <w:rsid w:val="00616765"/>
    <w:rsid w:val="00620D1C"/>
    <w:rsid w:val="0062112A"/>
    <w:rsid w:val="00621601"/>
    <w:rsid w:val="00622370"/>
    <w:rsid w:val="006228F6"/>
    <w:rsid w:val="006242AC"/>
    <w:rsid w:val="006258DA"/>
    <w:rsid w:val="00625F38"/>
    <w:rsid w:val="00631122"/>
    <w:rsid w:val="006314EA"/>
    <w:rsid w:val="0063172F"/>
    <w:rsid w:val="0063196B"/>
    <w:rsid w:val="00631C35"/>
    <w:rsid w:val="00631D33"/>
    <w:rsid w:val="00632928"/>
    <w:rsid w:val="006347C0"/>
    <w:rsid w:val="00634866"/>
    <w:rsid w:val="00636767"/>
    <w:rsid w:val="00636BEE"/>
    <w:rsid w:val="00636FEF"/>
    <w:rsid w:val="00642D07"/>
    <w:rsid w:val="00644F27"/>
    <w:rsid w:val="006501FB"/>
    <w:rsid w:val="00655A11"/>
    <w:rsid w:val="00663A0E"/>
    <w:rsid w:val="0066579A"/>
    <w:rsid w:val="006673CB"/>
    <w:rsid w:val="00667978"/>
    <w:rsid w:val="00671217"/>
    <w:rsid w:val="0067263D"/>
    <w:rsid w:val="0067325B"/>
    <w:rsid w:val="00673623"/>
    <w:rsid w:val="00675F34"/>
    <w:rsid w:val="00680469"/>
    <w:rsid w:val="00680869"/>
    <w:rsid w:val="00681B1A"/>
    <w:rsid w:val="006827CC"/>
    <w:rsid w:val="00683CA4"/>
    <w:rsid w:val="006849D0"/>
    <w:rsid w:val="0068731E"/>
    <w:rsid w:val="00690E4F"/>
    <w:rsid w:val="00690F06"/>
    <w:rsid w:val="0069225C"/>
    <w:rsid w:val="00693AE5"/>
    <w:rsid w:val="00694CB2"/>
    <w:rsid w:val="00695FD9"/>
    <w:rsid w:val="00696550"/>
    <w:rsid w:val="006970A1"/>
    <w:rsid w:val="006A0642"/>
    <w:rsid w:val="006A32EF"/>
    <w:rsid w:val="006A3A62"/>
    <w:rsid w:val="006A402A"/>
    <w:rsid w:val="006A5862"/>
    <w:rsid w:val="006A5F38"/>
    <w:rsid w:val="006B093A"/>
    <w:rsid w:val="006B3422"/>
    <w:rsid w:val="006B4136"/>
    <w:rsid w:val="006B5407"/>
    <w:rsid w:val="006C22DB"/>
    <w:rsid w:val="006C2C0F"/>
    <w:rsid w:val="006C3A60"/>
    <w:rsid w:val="006C4434"/>
    <w:rsid w:val="006C5CCA"/>
    <w:rsid w:val="006C6083"/>
    <w:rsid w:val="006C69CD"/>
    <w:rsid w:val="006D1EDD"/>
    <w:rsid w:val="006D50F7"/>
    <w:rsid w:val="006D6C69"/>
    <w:rsid w:val="006D72A1"/>
    <w:rsid w:val="006D7F4F"/>
    <w:rsid w:val="006D7FD2"/>
    <w:rsid w:val="006E04D3"/>
    <w:rsid w:val="006E05DC"/>
    <w:rsid w:val="006E31E0"/>
    <w:rsid w:val="006E5488"/>
    <w:rsid w:val="006E5F82"/>
    <w:rsid w:val="006E7552"/>
    <w:rsid w:val="006F68C3"/>
    <w:rsid w:val="006F7A5A"/>
    <w:rsid w:val="007001D7"/>
    <w:rsid w:val="00700836"/>
    <w:rsid w:val="00700A32"/>
    <w:rsid w:val="00703DFE"/>
    <w:rsid w:val="007051DC"/>
    <w:rsid w:val="00705385"/>
    <w:rsid w:val="00711102"/>
    <w:rsid w:val="0071237E"/>
    <w:rsid w:val="00713558"/>
    <w:rsid w:val="00722172"/>
    <w:rsid w:val="00723C2F"/>
    <w:rsid w:val="00724668"/>
    <w:rsid w:val="00724E8B"/>
    <w:rsid w:val="00726D69"/>
    <w:rsid w:val="00730FDB"/>
    <w:rsid w:val="00731689"/>
    <w:rsid w:val="00732B96"/>
    <w:rsid w:val="0073394D"/>
    <w:rsid w:val="00736537"/>
    <w:rsid w:val="00742DFC"/>
    <w:rsid w:val="007448F6"/>
    <w:rsid w:val="00745A7C"/>
    <w:rsid w:val="007470AF"/>
    <w:rsid w:val="0074768F"/>
    <w:rsid w:val="00747A4A"/>
    <w:rsid w:val="00747FC9"/>
    <w:rsid w:val="007529F8"/>
    <w:rsid w:val="007548EB"/>
    <w:rsid w:val="00754A4F"/>
    <w:rsid w:val="007552B6"/>
    <w:rsid w:val="0076208E"/>
    <w:rsid w:val="007624B7"/>
    <w:rsid w:val="007629C5"/>
    <w:rsid w:val="00763470"/>
    <w:rsid w:val="007663AE"/>
    <w:rsid w:val="00766956"/>
    <w:rsid w:val="00767577"/>
    <w:rsid w:val="00771A7F"/>
    <w:rsid w:val="007729BF"/>
    <w:rsid w:val="00772AC7"/>
    <w:rsid w:val="00772E6D"/>
    <w:rsid w:val="007756B9"/>
    <w:rsid w:val="0077579F"/>
    <w:rsid w:val="007769E5"/>
    <w:rsid w:val="00777655"/>
    <w:rsid w:val="00783A3C"/>
    <w:rsid w:val="00785A2F"/>
    <w:rsid w:val="007867C5"/>
    <w:rsid w:val="00790047"/>
    <w:rsid w:val="00790C98"/>
    <w:rsid w:val="0079139F"/>
    <w:rsid w:val="00793A10"/>
    <w:rsid w:val="0079626D"/>
    <w:rsid w:val="007975F5"/>
    <w:rsid w:val="007A3A6C"/>
    <w:rsid w:val="007A422B"/>
    <w:rsid w:val="007B19AC"/>
    <w:rsid w:val="007B2FF8"/>
    <w:rsid w:val="007B3F5A"/>
    <w:rsid w:val="007B54E6"/>
    <w:rsid w:val="007B6F85"/>
    <w:rsid w:val="007B7209"/>
    <w:rsid w:val="007B72F4"/>
    <w:rsid w:val="007C0565"/>
    <w:rsid w:val="007C4911"/>
    <w:rsid w:val="007C4BD3"/>
    <w:rsid w:val="007C4D5B"/>
    <w:rsid w:val="007D0016"/>
    <w:rsid w:val="007D0A9B"/>
    <w:rsid w:val="007D0E06"/>
    <w:rsid w:val="007D1B50"/>
    <w:rsid w:val="007D1BBB"/>
    <w:rsid w:val="007D2C63"/>
    <w:rsid w:val="007D5687"/>
    <w:rsid w:val="007D7D4C"/>
    <w:rsid w:val="007E3BA0"/>
    <w:rsid w:val="007E3DC2"/>
    <w:rsid w:val="007E4D93"/>
    <w:rsid w:val="007E5B2D"/>
    <w:rsid w:val="007F24AE"/>
    <w:rsid w:val="007F3E60"/>
    <w:rsid w:val="008049C4"/>
    <w:rsid w:val="00814418"/>
    <w:rsid w:val="00816519"/>
    <w:rsid w:val="00816598"/>
    <w:rsid w:val="00816DD3"/>
    <w:rsid w:val="00816E66"/>
    <w:rsid w:val="0081743C"/>
    <w:rsid w:val="0082106A"/>
    <w:rsid w:val="00821666"/>
    <w:rsid w:val="0082166E"/>
    <w:rsid w:val="00822A2D"/>
    <w:rsid w:val="00823B7E"/>
    <w:rsid w:val="00831AD1"/>
    <w:rsid w:val="00832A74"/>
    <w:rsid w:val="00835157"/>
    <w:rsid w:val="00837D94"/>
    <w:rsid w:val="008409DF"/>
    <w:rsid w:val="00841405"/>
    <w:rsid w:val="00841D7B"/>
    <w:rsid w:val="0084260C"/>
    <w:rsid w:val="008442D2"/>
    <w:rsid w:val="00845064"/>
    <w:rsid w:val="00845541"/>
    <w:rsid w:val="00847DAB"/>
    <w:rsid w:val="0085093A"/>
    <w:rsid w:val="00850CAD"/>
    <w:rsid w:val="008516DF"/>
    <w:rsid w:val="00851C98"/>
    <w:rsid w:val="00853E53"/>
    <w:rsid w:val="008564B4"/>
    <w:rsid w:val="00857C1E"/>
    <w:rsid w:val="00860C95"/>
    <w:rsid w:val="00863DDE"/>
    <w:rsid w:val="00866B64"/>
    <w:rsid w:val="0087005B"/>
    <w:rsid w:val="00870CFA"/>
    <w:rsid w:val="00872833"/>
    <w:rsid w:val="00881320"/>
    <w:rsid w:val="008817A8"/>
    <w:rsid w:val="00883520"/>
    <w:rsid w:val="0088369C"/>
    <w:rsid w:val="008837F4"/>
    <w:rsid w:val="00883852"/>
    <w:rsid w:val="00883DEB"/>
    <w:rsid w:val="008869F1"/>
    <w:rsid w:val="0089069F"/>
    <w:rsid w:val="00893D0A"/>
    <w:rsid w:val="00895CBC"/>
    <w:rsid w:val="00895EBE"/>
    <w:rsid w:val="00897B19"/>
    <w:rsid w:val="008A1F04"/>
    <w:rsid w:val="008A3BFD"/>
    <w:rsid w:val="008A5059"/>
    <w:rsid w:val="008B0F08"/>
    <w:rsid w:val="008B2E82"/>
    <w:rsid w:val="008B3167"/>
    <w:rsid w:val="008B7ED5"/>
    <w:rsid w:val="008C43B2"/>
    <w:rsid w:val="008C45D8"/>
    <w:rsid w:val="008C584F"/>
    <w:rsid w:val="008C610E"/>
    <w:rsid w:val="008C6A4C"/>
    <w:rsid w:val="008C73E1"/>
    <w:rsid w:val="008D08A9"/>
    <w:rsid w:val="008D17AA"/>
    <w:rsid w:val="008D474B"/>
    <w:rsid w:val="008D6195"/>
    <w:rsid w:val="008D62FA"/>
    <w:rsid w:val="008D6A0A"/>
    <w:rsid w:val="008D7D40"/>
    <w:rsid w:val="008E0CBB"/>
    <w:rsid w:val="008E11F4"/>
    <w:rsid w:val="008E277D"/>
    <w:rsid w:val="008E2EDA"/>
    <w:rsid w:val="008F1FEF"/>
    <w:rsid w:val="008F2D9E"/>
    <w:rsid w:val="008F3A14"/>
    <w:rsid w:val="00900C2A"/>
    <w:rsid w:val="0091098F"/>
    <w:rsid w:val="00912B70"/>
    <w:rsid w:val="00912E78"/>
    <w:rsid w:val="00913DD8"/>
    <w:rsid w:val="00915284"/>
    <w:rsid w:val="00916E18"/>
    <w:rsid w:val="009200E7"/>
    <w:rsid w:val="00921C14"/>
    <w:rsid w:val="0092601F"/>
    <w:rsid w:val="009279E6"/>
    <w:rsid w:val="0093256A"/>
    <w:rsid w:val="0093347B"/>
    <w:rsid w:val="00937F43"/>
    <w:rsid w:val="00940B27"/>
    <w:rsid w:val="00942EEB"/>
    <w:rsid w:val="00943D6F"/>
    <w:rsid w:val="00944569"/>
    <w:rsid w:val="00944C7D"/>
    <w:rsid w:val="009465DA"/>
    <w:rsid w:val="009517AA"/>
    <w:rsid w:val="00954469"/>
    <w:rsid w:val="00955399"/>
    <w:rsid w:val="00955DB2"/>
    <w:rsid w:val="0095641E"/>
    <w:rsid w:val="0095680D"/>
    <w:rsid w:val="00956D5F"/>
    <w:rsid w:val="00963BD9"/>
    <w:rsid w:val="00964633"/>
    <w:rsid w:val="00965460"/>
    <w:rsid w:val="009670F0"/>
    <w:rsid w:val="0097153D"/>
    <w:rsid w:val="00972A30"/>
    <w:rsid w:val="00974794"/>
    <w:rsid w:val="0097734C"/>
    <w:rsid w:val="00977B99"/>
    <w:rsid w:val="00983753"/>
    <w:rsid w:val="00991ADC"/>
    <w:rsid w:val="00994CE2"/>
    <w:rsid w:val="00995952"/>
    <w:rsid w:val="009A0579"/>
    <w:rsid w:val="009A179B"/>
    <w:rsid w:val="009A187A"/>
    <w:rsid w:val="009A1AEB"/>
    <w:rsid w:val="009A1D0D"/>
    <w:rsid w:val="009A2765"/>
    <w:rsid w:val="009A5B52"/>
    <w:rsid w:val="009A62BC"/>
    <w:rsid w:val="009B1072"/>
    <w:rsid w:val="009B13B7"/>
    <w:rsid w:val="009B15BA"/>
    <w:rsid w:val="009B1B11"/>
    <w:rsid w:val="009B5294"/>
    <w:rsid w:val="009C2484"/>
    <w:rsid w:val="009C284B"/>
    <w:rsid w:val="009D23C7"/>
    <w:rsid w:val="009D2624"/>
    <w:rsid w:val="009D2FB1"/>
    <w:rsid w:val="009D3D1F"/>
    <w:rsid w:val="009D5279"/>
    <w:rsid w:val="009D58F2"/>
    <w:rsid w:val="009D5BEB"/>
    <w:rsid w:val="009D7838"/>
    <w:rsid w:val="009E2115"/>
    <w:rsid w:val="009E25E6"/>
    <w:rsid w:val="009E295E"/>
    <w:rsid w:val="009E455C"/>
    <w:rsid w:val="009E5424"/>
    <w:rsid w:val="009E76EE"/>
    <w:rsid w:val="009F0CE0"/>
    <w:rsid w:val="009F4C93"/>
    <w:rsid w:val="009F5998"/>
    <w:rsid w:val="00A0270D"/>
    <w:rsid w:val="00A036CF"/>
    <w:rsid w:val="00A05182"/>
    <w:rsid w:val="00A07BDF"/>
    <w:rsid w:val="00A11BA2"/>
    <w:rsid w:val="00A12062"/>
    <w:rsid w:val="00A1241D"/>
    <w:rsid w:val="00A12DFC"/>
    <w:rsid w:val="00A1521A"/>
    <w:rsid w:val="00A15EEE"/>
    <w:rsid w:val="00A20368"/>
    <w:rsid w:val="00A2038C"/>
    <w:rsid w:val="00A22033"/>
    <w:rsid w:val="00A22234"/>
    <w:rsid w:val="00A24354"/>
    <w:rsid w:val="00A24BEB"/>
    <w:rsid w:val="00A27452"/>
    <w:rsid w:val="00A30785"/>
    <w:rsid w:val="00A36BE5"/>
    <w:rsid w:val="00A3784C"/>
    <w:rsid w:val="00A4324D"/>
    <w:rsid w:val="00A44ACC"/>
    <w:rsid w:val="00A472A9"/>
    <w:rsid w:val="00A52096"/>
    <w:rsid w:val="00A5345E"/>
    <w:rsid w:val="00A53F8D"/>
    <w:rsid w:val="00A54099"/>
    <w:rsid w:val="00A55E4D"/>
    <w:rsid w:val="00A570B6"/>
    <w:rsid w:val="00A57535"/>
    <w:rsid w:val="00A6166A"/>
    <w:rsid w:val="00A62283"/>
    <w:rsid w:val="00A65DB3"/>
    <w:rsid w:val="00A66740"/>
    <w:rsid w:val="00A7133C"/>
    <w:rsid w:val="00A72EFB"/>
    <w:rsid w:val="00A74B61"/>
    <w:rsid w:val="00A75AB3"/>
    <w:rsid w:val="00A80BDC"/>
    <w:rsid w:val="00A83033"/>
    <w:rsid w:val="00A8402C"/>
    <w:rsid w:val="00A86217"/>
    <w:rsid w:val="00A866CB"/>
    <w:rsid w:val="00A928AD"/>
    <w:rsid w:val="00A929D0"/>
    <w:rsid w:val="00A92FE6"/>
    <w:rsid w:val="00A941EB"/>
    <w:rsid w:val="00A956EF"/>
    <w:rsid w:val="00A964D8"/>
    <w:rsid w:val="00A9734E"/>
    <w:rsid w:val="00AA23AA"/>
    <w:rsid w:val="00AA3DB5"/>
    <w:rsid w:val="00AA59AC"/>
    <w:rsid w:val="00AA7ACF"/>
    <w:rsid w:val="00AB0178"/>
    <w:rsid w:val="00AB284E"/>
    <w:rsid w:val="00AB397A"/>
    <w:rsid w:val="00AB4699"/>
    <w:rsid w:val="00AB6108"/>
    <w:rsid w:val="00AB7230"/>
    <w:rsid w:val="00AC2105"/>
    <w:rsid w:val="00AC2718"/>
    <w:rsid w:val="00AC30DE"/>
    <w:rsid w:val="00AC336D"/>
    <w:rsid w:val="00AC6A3E"/>
    <w:rsid w:val="00AC7C12"/>
    <w:rsid w:val="00AD7A8B"/>
    <w:rsid w:val="00AE0FCC"/>
    <w:rsid w:val="00AE1183"/>
    <w:rsid w:val="00AE1FA6"/>
    <w:rsid w:val="00AE3795"/>
    <w:rsid w:val="00AE50E3"/>
    <w:rsid w:val="00AE73C0"/>
    <w:rsid w:val="00AF183B"/>
    <w:rsid w:val="00AF3BFF"/>
    <w:rsid w:val="00AF6625"/>
    <w:rsid w:val="00AF7DBF"/>
    <w:rsid w:val="00B0220F"/>
    <w:rsid w:val="00B03D6A"/>
    <w:rsid w:val="00B040FC"/>
    <w:rsid w:val="00B04142"/>
    <w:rsid w:val="00B044DE"/>
    <w:rsid w:val="00B064DF"/>
    <w:rsid w:val="00B10F6C"/>
    <w:rsid w:val="00B12978"/>
    <w:rsid w:val="00B21233"/>
    <w:rsid w:val="00B22A11"/>
    <w:rsid w:val="00B22E8D"/>
    <w:rsid w:val="00B23A55"/>
    <w:rsid w:val="00B25461"/>
    <w:rsid w:val="00B25DEA"/>
    <w:rsid w:val="00B26227"/>
    <w:rsid w:val="00B279B4"/>
    <w:rsid w:val="00B30CB1"/>
    <w:rsid w:val="00B3469F"/>
    <w:rsid w:val="00B373DE"/>
    <w:rsid w:val="00B4004D"/>
    <w:rsid w:val="00B4246A"/>
    <w:rsid w:val="00B427B3"/>
    <w:rsid w:val="00B43317"/>
    <w:rsid w:val="00B45E21"/>
    <w:rsid w:val="00B479C8"/>
    <w:rsid w:val="00B47FEF"/>
    <w:rsid w:val="00B504D7"/>
    <w:rsid w:val="00B5059D"/>
    <w:rsid w:val="00B5416D"/>
    <w:rsid w:val="00B62232"/>
    <w:rsid w:val="00B626F2"/>
    <w:rsid w:val="00B6331F"/>
    <w:rsid w:val="00B63A72"/>
    <w:rsid w:val="00B63D4A"/>
    <w:rsid w:val="00B65392"/>
    <w:rsid w:val="00B655BF"/>
    <w:rsid w:val="00B660C9"/>
    <w:rsid w:val="00B6737C"/>
    <w:rsid w:val="00B70905"/>
    <w:rsid w:val="00B71C22"/>
    <w:rsid w:val="00B72B56"/>
    <w:rsid w:val="00B74451"/>
    <w:rsid w:val="00B75814"/>
    <w:rsid w:val="00B803D7"/>
    <w:rsid w:val="00B811ED"/>
    <w:rsid w:val="00B8248E"/>
    <w:rsid w:val="00B8295F"/>
    <w:rsid w:val="00B82E68"/>
    <w:rsid w:val="00B8435A"/>
    <w:rsid w:val="00B853FA"/>
    <w:rsid w:val="00B86108"/>
    <w:rsid w:val="00B869DB"/>
    <w:rsid w:val="00B86E13"/>
    <w:rsid w:val="00B86EA8"/>
    <w:rsid w:val="00B8722F"/>
    <w:rsid w:val="00B92520"/>
    <w:rsid w:val="00B92DCC"/>
    <w:rsid w:val="00B93063"/>
    <w:rsid w:val="00B935E1"/>
    <w:rsid w:val="00B958E1"/>
    <w:rsid w:val="00B961BE"/>
    <w:rsid w:val="00BA125B"/>
    <w:rsid w:val="00BA163D"/>
    <w:rsid w:val="00BA4713"/>
    <w:rsid w:val="00BA4D0A"/>
    <w:rsid w:val="00BA58A9"/>
    <w:rsid w:val="00BA6081"/>
    <w:rsid w:val="00BA7E46"/>
    <w:rsid w:val="00BB0482"/>
    <w:rsid w:val="00BB0CF8"/>
    <w:rsid w:val="00BB313C"/>
    <w:rsid w:val="00BC159F"/>
    <w:rsid w:val="00BC1EDF"/>
    <w:rsid w:val="00BC3141"/>
    <w:rsid w:val="00BC3EE7"/>
    <w:rsid w:val="00BC40B2"/>
    <w:rsid w:val="00BC5267"/>
    <w:rsid w:val="00BC5A77"/>
    <w:rsid w:val="00BC6F15"/>
    <w:rsid w:val="00BD00DB"/>
    <w:rsid w:val="00BD0A0E"/>
    <w:rsid w:val="00BD1372"/>
    <w:rsid w:val="00BD3282"/>
    <w:rsid w:val="00BD3DE5"/>
    <w:rsid w:val="00BD4C9F"/>
    <w:rsid w:val="00BD5254"/>
    <w:rsid w:val="00BD6334"/>
    <w:rsid w:val="00BE3177"/>
    <w:rsid w:val="00BE4B84"/>
    <w:rsid w:val="00BE4E1D"/>
    <w:rsid w:val="00BE5D6E"/>
    <w:rsid w:val="00BE7DAC"/>
    <w:rsid w:val="00BF133F"/>
    <w:rsid w:val="00BF1AA0"/>
    <w:rsid w:val="00BF1FB4"/>
    <w:rsid w:val="00BF2C57"/>
    <w:rsid w:val="00BF6F19"/>
    <w:rsid w:val="00BF7E32"/>
    <w:rsid w:val="00C004CC"/>
    <w:rsid w:val="00C01F1D"/>
    <w:rsid w:val="00C02398"/>
    <w:rsid w:val="00C054A4"/>
    <w:rsid w:val="00C05E9C"/>
    <w:rsid w:val="00C13E12"/>
    <w:rsid w:val="00C14593"/>
    <w:rsid w:val="00C1711B"/>
    <w:rsid w:val="00C20A09"/>
    <w:rsid w:val="00C21FBE"/>
    <w:rsid w:val="00C2202A"/>
    <w:rsid w:val="00C2284B"/>
    <w:rsid w:val="00C23358"/>
    <w:rsid w:val="00C3023B"/>
    <w:rsid w:val="00C322A7"/>
    <w:rsid w:val="00C33544"/>
    <w:rsid w:val="00C37564"/>
    <w:rsid w:val="00C43C66"/>
    <w:rsid w:val="00C45464"/>
    <w:rsid w:val="00C51ADC"/>
    <w:rsid w:val="00C55BEC"/>
    <w:rsid w:val="00C56541"/>
    <w:rsid w:val="00C57FA0"/>
    <w:rsid w:val="00C60049"/>
    <w:rsid w:val="00C60C15"/>
    <w:rsid w:val="00C61A23"/>
    <w:rsid w:val="00C628E6"/>
    <w:rsid w:val="00C73B19"/>
    <w:rsid w:val="00C76BC1"/>
    <w:rsid w:val="00C76F70"/>
    <w:rsid w:val="00C80528"/>
    <w:rsid w:val="00C8141D"/>
    <w:rsid w:val="00C844C9"/>
    <w:rsid w:val="00C85C33"/>
    <w:rsid w:val="00C86278"/>
    <w:rsid w:val="00C87FE2"/>
    <w:rsid w:val="00C92131"/>
    <w:rsid w:val="00C94C1D"/>
    <w:rsid w:val="00C95B9D"/>
    <w:rsid w:val="00C96400"/>
    <w:rsid w:val="00C97580"/>
    <w:rsid w:val="00CA2304"/>
    <w:rsid w:val="00CA356E"/>
    <w:rsid w:val="00CA495B"/>
    <w:rsid w:val="00CA4B94"/>
    <w:rsid w:val="00CA5E14"/>
    <w:rsid w:val="00CA7384"/>
    <w:rsid w:val="00CB0CB8"/>
    <w:rsid w:val="00CB13AC"/>
    <w:rsid w:val="00CB4412"/>
    <w:rsid w:val="00CB5EBC"/>
    <w:rsid w:val="00CB6870"/>
    <w:rsid w:val="00CC3291"/>
    <w:rsid w:val="00CC3B2A"/>
    <w:rsid w:val="00CC4A00"/>
    <w:rsid w:val="00CC4A1F"/>
    <w:rsid w:val="00CD2034"/>
    <w:rsid w:val="00CD6511"/>
    <w:rsid w:val="00CD7600"/>
    <w:rsid w:val="00CE0321"/>
    <w:rsid w:val="00CE521D"/>
    <w:rsid w:val="00CE5286"/>
    <w:rsid w:val="00CE69E5"/>
    <w:rsid w:val="00CE6F55"/>
    <w:rsid w:val="00CE6FC9"/>
    <w:rsid w:val="00CE732E"/>
    <w:rsid w:val="00CF1249"/>
    <w:rsid w:val="00CF153D"/>
    <w:rsid w:val="00CF3106"/>
    <w:rsid w:val="00CF5BF7"/>
    <w:rsid w:val="00CF7CE2"/>
    <w:rsid w:val="00D00419"/>
    <w:rsid w:val="00D01644"/>
    <w:rsid w:val="00D01706"/>
    <w:rsid w:val="00D02640"/>
    <w:rsid w:val="00D04043"/>
    <w:rsid w:val="00D077E9"/>
    <w:rsid w:val="00D07B80"/>
    <w:rsid w:val="00D100EA"/>
    <w:rsid w:val="00D16CED"/>
    <w:rsid w:val="00D17A71"/>
    <w:rsid w:val="00D25DAC"/>
    <w:rsid w:val="00D27F6F"/>
    <w:rsid w:val="00D301D6"/>
    <w:rsid w:val="00D32F74"/>
    <w:rsid w:val="00D33093"/>
    <w:rsid w:val="00D34BF1"/>
    <w:rsid w:val="00D35D56"/>
    <w:rsid w:val="00D366C3"/>
    <w:rsid w:val="00D37153"/>
    <w:rsid w:val="00D37432"/>
    <w:rsid w:val="00D42F1F"/>
    <w:rsid w:val="00D45393"/>
    <w:rsid w:val="00D46533"/>
    <w:rsid w:val="00D50253"/>
    <w:rsid w:val="00D50599"/>
    <w:rsid w:val="00D548F2"/>
    <w:rsid w:val="00D55BB0"/>
    <w:rsid w:val="00D57033"/>
    <w:rsid w:val="00D57B37"/>
    <w:rsid w:val="00D61A0C"/>
    <w:rsid w:val="00D61CE7"/>
    <w:rsid w:val="00D61FE4"/>
    <w:rsid w:val="00D63E15"/>
    <w:rsid w:val="00D65969"/>
    <w:rsid w:val="00D661E1"/>
    <w:rsid w:val="00D6696C"/>
    <w:rsid w:val="00D67284"/>
    <w:rsid w:val="00D71D73"/>
    <w:rsid w:val="00D73A04"/>
    <w:rsid w:val="00D73C27"/>
    <w:rsid w:val="00D741C4"/>
    <w:rsid w:val="00D768D5"/>
    <w:rsid w:val="00D81224"/>
    <w:rsid w:val="00D813B6"/>
    <w:rsid w:val="00D831E7"/>
    <w:rsid w:val="00D838C3"/>
    <w:rsid w:val="00D8435D"/>
    <w:rsid w:val="00D84ABA"/>
    <w:rsid w:val="00D87387"/>
    <w:rsid w:val="00D91676"/>
    <w:rsid w:val="00D925B4"/>
    <w:rsid w:val="00D92B8E"/>
    <w:rsid w:val="00D930A5"/>
    <w:rsid w:val="00D93913"/>
    <w:rsid w:val="00D93E84"/>
    <w:rsid w:val="00D944E0"/>
    <w:rsid w:val="00D979D2"/>
    <w:rsid w:val="00DA2875"/>
    <w:rsid w:val="00DA2FF3"/>
    <w:rsid w:val="00DA4295"/>
    <w:rsid w:val="00DA51F6"/>
    <w:rsid w:val="00DB1A8C"/>
    <w:rsid w:val="00DB2668"/>
    <w:rsid w:val="00DB428C"/>
    <w:rsid w:val="00DB6858"/>
    <w:rsid w:val="00DB6AE4"/>
    <w:rsid w:val="00DB70D0"/>
    <w:rsid w:val="00DC0849"/>
    <w:rsid w:val="00DD12ED"/>
    <w:rsid w:val="00DD219C"/>
    <w:rsid w:val="00DD271B"/>
    <w:rsid w:val="00DD40B0"/>
    <w:rsid w:val="00DE0064"/>
    <w:rsid w:val="00DE1B7B"/>
    <w:rsid w:val="00DE4477"/>
    <w:rsid w:val="00DE4E4B"/>
    <w:rsid w:val="00DE7E34"/>
    <w:rsid w:val="00DF128A"/>
    <w:rsid w:val="00DF1607"/>
    <w:rsid w:val="00DF1DE3"/>
    <w:rsid w:val="00DF28AB"/>
    <w:rsid w:val="00DF306A"/>
    <w:rsid w:val="00DF6575"/>
    <w:rsid w:val="00E002EE"/>
    <w:rsid w:val="00E00D22"/>
    <w:rsid w:val="00E0228A"/>
    <w:rsid w:val="00E02500"/>
    <w:rsid w:val="00E03B01"/>
    <w:rsid w:val="00E03E76"/>
    <w:rsid w:val="00E04C77"/>
    <w:rsid w:val="00E04F91"/>
    <w:rsid w:val="00E056C8"/>
    <w:rsid w:val="00E05D9C"/>
    <w:rsid w:val="00E06500"/>
    <w:rsid w:val="00E068FB"/>
    <w:rsid w:val="00E10F79"/>
    <w:rsid w:val="00E11587"/>
    <w:rsid w:val="00E121E7"/>
    <w:rsid w:val="00E12B3F"/>
    <w:rsid w:val="00E1351A"/>
    <w:rsid w:val="00E1355F"/>
    <w:rsid w:val="00E16A5F"/>
    <w:rsid w:val="00E20671"/>
    <w:rsid w:val="00E20B73"/>
    <w:rsid w:val="00E23D34"/>
    <w:rsid w:val="00E25385"/>
    <w:rsid w:val="00E2689C"/>
    <w:rsid w:val="00E27AB7"/>
    <w:rsid w:val="00E30BAE"/>
    <w:rsid w:val="00E32AD6"/>
    <w:rsid w:val="00E33041"/>
    <w:rsid w:val="00E340A7"/>
    <w:rsid w:val="00E40020"/>
    <w:rsid w:val="00E40B25"/>
    <w:rsid w:val="00E41627"/>
    <w:rsid w:val="00E4530A"/>
    <w:rsid w:val="00E479C1"/>
    <w:rsid w:val="00E52505"/>
    <w:rsid w:val="00E53112"/>
    <w:rsid w:val="00E53598"/>
    <w:rsid w:val="00E55175"/>
    <w:rsid w:val="00E5619A"/>
    <w:rsid w:val="00E564E9"/>
    <w:rsid w:val="00E66257"/>
    <w:rsid w:val="00E66DE9"/>
    <w:rsid w:val="00E67972"/>
    <w:rsid w:val="00E67B29"/>
    <w:rsid w:val="00E73A1E"/>
    <w:rsid w:val="00E73E77"/>
    <w:rsid w:val="00E75465"/>
    <w:rsid w:val="00E75BA8"/>
    <w:rsid w:val="00E76F89"/>
    <w:rsid w:val="00E80364"/>
    <w:rsid w:val="00E85C77"/>
    <w:rsid w:val="00E86FEF"/>
    <w:rsid w:val="00E90685"/>
    <w:rsid w:val="00E92E2B"/>
    <w:rsid w:val="00E93C2D"/>
    <w:rsid w:val="00E95F4C"/>
    <w:rsid w:val="00EA229C"/>
    <w:rsid w:val="00EA501A"/>
    <w:rsid w:val="00EA79C1"/>
    <w:rsid w:val="00EB0DD5"/>
    <w:rsid w:val="00EB2060"/>
    <w:rsid w:val="00EB4BFB"/>
    <w:rsid w:val="00EB6A98"/>
    <w:rsid w:val="00EC12A1"/>
    <w:rsid w:val="00EC3F7E"/>
    <w:rsid w:val="00EC6DA7"/>
    <w:rsid w:val="00EC72BE"/>
    <w:rsid w:val="00ED1B6E"/>
    <w:rsid w:val="00ED3302"/>
    <w:rsid w:val="00ED5961"/>
    <w:rsid w:val="00EE02E1"/>
    <w:rsid w:val="00EE0DA4"/>
    <w:rsid w:val="00EE1014"/>
    <w:rsid w:val="00EE130A"/>
    <w:rsid w:val="00EE3A99"/>
    <w:rsid w:val="00EE6C05"/>
    <w:rsid w:val="00EE7048"/>
    <w:rsid w:val="00EE7FE2"/>
    <w:rsid w:val="00EF1795"/>
    <w:rsid w:val="00EF208F"/>
    <w:rsid w:val="00EF266D"/>
    <w:rsid w:val="00EF2C7F"/>
    <w:rsid w:val="00EF3A28"/>
    <w:rsid w:val="00EF4FA4"/>
    <w:rsid w:val="00EF7BE3"/>
    <w:rsid w:val="00F02037"/>
    <w:rsid w:val="00F02677"/>
    <w:rsid w:val="00F027A7"/>
    <w:rsid w:val="00F0725E"/>
    <w:rsid w:val="00F1136A"/>
    <w:rsid w:val="00F12479"/>
    <w:rsid w:val="00F1265D"/>
    <w:rsid w:val="00F127B8"/>
    <w:rsid w:val="00F14DF0"/>
    <w:rsid w:val="00F154D4"/>
    <w:rsid w:val="00F217D3"/>
    <w:rsid w:val="00F22143"/>
    <w:rsid w:val="00F24ADB"/>
    <w:rsid w:val="00F2591A"/>
    <w:rsid w:val="00F260C5"/>
    <w:rsid w:val="00F266D7"/>
    <w:rsid w:val="00F27718"/>
    <w:rsid w:val="00F32A75"/>
    <w:rsid w:val="00F362A5"/>
    <w:rsid w:val="00F36E6D"/>
    <w:rsid w:val="00F436C2"/>
    <w:rsid w:val="00F46371"/>
    <w:rsid w:val="00F5046D"/>
    <w:rsid w:val="00F52A0F"/>
    <w:rsid w:val="00F55F3B"/>
    <w:rsid w:val="00F56AF9"/>
    <w:rsid w:val="00F5793C"/>
    <w:rsid w:val="00F57F69"/>
    <w:rsid w:val="00F61588"/>
    <w:rsid w:val="00F64F4F"/>
    <w:rsid w:val="00F66B47"/>
    <w:rsid w:val="00F70538"/>
    <w:rsid w:val="00F73DDE"/>
    <w:rsid w:val="00F74B7A"/>
    <w:rsid w:val="00F759B5"/>
    <w:rsid w:val="00F760ED"/>
    <w:rsid w:val="00F8201E"/>
    <w:rsid w:val="00F8221A"/>
    <w:rsid w:val="00F832A8"/>
    <w:rsid w:val="00F859D4"/>
    <w:rsid w:val="00F87FC1"/>
    <w:rsid w:val="00F93158"/>
    <w:rsid w:val="00F93885"/>
    <w:rsid w:val="00F94CF1"/>
    <w:rsid w:val="00F976B8"/>
    <w:rsid w:val="00F97886"/>
    <w:rsid w:val="00F97C37"/>
    <w:rsid w:val="00FA0405"/>
    <w:rsid w:val="00FA1144"/>
    <w:rsid w:val="00FA272C"/>
    <w:rsid w:val="00FA3DD8"/>
    <w:rsid w:val="00FA3F76"/>
    <w:rsid w:val="00FA4DBC"/>
    <w:rsid w:val="00FA649D"/>
    <w:rsid w:val="00FB05FC"/>
    <w:rsid w:val="00FB73A5"/>
    <w:rsid w:val="00FC0CDB"/>
    <w:rsid w:val="00FD0101"/>
    <w:rsid w:val="00FD0A52"/>
    <w:rsid w:val="00FD0D05"/>
    <w:rsid w:val="00FD1809"/>
    <w:rsid w:val="00FD25EE"/>
    <w:rsid w:val="00FD4736"/>
    <w:rsid w:val="00FD6050"/>
    <w:rsid w:val="00FD622A"/>
    <w:rsid w:val="00FE3DC6"/>
    <w:rsid w:val="00FE561E"/>
    <w:rsid w:val="00FE58E1"/>
    <w:rsid w:val="00FE710D"/>
    <w:rsid w:val="00FE7415"/>
    <w:rsid w:val="00FF288A"/>
    <w:rsid w:val="00FF656D"/>
    <w:rsid w:val="00FF66DD"/>
    <w:rsid w:val="011C28CA"/>
    <w:rsid w:val="031D37A8"/>
    <w:rsid w:val="04626F8D"/>
    <w:rsid w:val="04AC5ACD"/>
    <w:rsid w:val="04EA79F1"/>
    <w:rsid w:val="05F12E9A"/>
    <w:rsid w:val="06546831"/>
    <w:rsid w:val="08110806"/>
    <w:rsid w:val="081870E2"/>
    <w:rsid w:val="08C72445"/>
    <w:rsid w:val="08DC6352"/>
    <w:rsid w:val="0A2A6D75"/>
    <w:rsid w:val="0A604293"/>
    <w:rsid w:val="0ACD27C4"/>
    <w:rsid w:val="0B1A0749"/>
    <w:rsid w:val="0F331ED6"/>
    <w:rsid w:val="0F4539E1"/>
    <w:rsid w:val="0FC113DF"/>
    <w:rsid w:val="10D71D62"/>
    <w:rsid w:val="1206261B"/>
    <w:rsid w:val="125D0B88"/>
    <w:rsid w:val="12911EC2"/>
    <w:rsid w:val="12B733B1"/>
    <w:rsid w:val="13040181"/>
    <w:rsid w:val="137434D1"/>
    <w:rsid w:val="13CD7B6D"/>
    <w:rsid w:val="13DE3ADB"/>
    <w:rsid w:val="13E037AA"/>
    <w:rsid w:val="140773D4"/>
    <w:rsid w:val="15CB4C93"/>
    <w:rsid w:val="166A747C"/>
    <w:rsid w:val="16CC7DBB"/>
    <w:rsid w:val="16EE16BD"/>
    <w:rsid w:val="17232664"/>
    <w:rsid w:val="177FD375"/>
    <w:rsid w:val="18216D0F"/>
    <w:rsid w:val="19F36C56"/>
    <w:rsid w:val="19F76611"/>
    <w:rsid w:val="19FC76B8"/>
    <w:rsid w:val="1A125F64"/>
    <w:rsid w:val="1A300C7C"/>
    <w:rsid w:val="1B2A1A0D"/>
    <w:rsid w:val="1B76740A"/>
    <w:rsid w:val="1BF437C1"/>
    <w:rsid w:val="1C854AE9"/>
    <w:rsid w:val="1CE8116A"/>
    <w:rsid w:val="1D333D33"/>
    <w:rsid w:val="1DED0080"/>
    <w:rsid w:val="1E492244"/>
    <w:rsid w:val="1E566E51"/>
    <w:rsid w:val="1E9B7045"/>
    <w:rsid w:val="1F761FA5"/>
    <w:rsid w:val="1FFF4B58"/>
    <w:rsid w:val="205E4C0B"/>
    <w:rsid w:val="209B483A"/>
    <w:rsid w:val="20C32703"/>
    <w:rsid w:val="20D067E3"/>
    <w:rsid w:val="21184DEE"/>
    <w:rsid w:val="2145592F"/>
    <w:rsid w:val="215D3947"/>
    <w:rsid w:val="217A2DF0"/>
    <w:rsid w:val="21AC7538"/>
    <w:rsid w:val="226F0472"/>
    <w:rsid w:val="25355273"/>
    <w:rsid w:val="26005C2C"/>
    <w:rsid w:val="26101B67"/>
    <w:rsid w:val="261049D5"/>
    <w:rsid w:val="26C9270E"/>
    <w:rsid w:val="26EB74F8"/>
    <w:rsid w:val="280E776F"/>
    <w:rsid w:val="29BE432C"/>
    <w:rsid w:val="2A1F28A6"/>
    <w:rsid w:val="2ABD3338"/>
    <w:rsid w:val="2AD47103"/>
    <w:rsid w:val="2B2879DB"/>
    <w:rsid w:val="2C5C4581"/>
    <w:rsid w:val="2C826643"/>
    <w:rsid w:val="2C9E4558"/>
    <w:rsid w:val="2D005162"/>
    <w:rsid w:val="2D8C04FB"/>
    <w:rsid w:val="2FEF5336"/>
    <w:rsid w:val="30853F63"/>
    <w:rsid w:val="30C2610D"/>
    <w:rsid w:val="30DB4AA3"/>
    <w:rsid w:val="30F47CD6"/>
    <w:rsid w:val="322B53CB"/>
    <w:rsid w:val="33503AE8"/>
    <w:rsid w:val="33966C55"/>
    <w:rsid w:val="371D79A8"/>
    <w:rsid w:val="384D44B9"/>
    <w:rsid w:val="38A72D01"/>
    <w:rsid w:val="38B04595"/>
    <w:rsid w:val="3945186D"/>
    <w:rsid w:val="39F5320A"/>
    <w:rsid w:val="3A504155"/>
    <w:rsid w:val="3AD8199F"/>
    <w:rsid w:val="3B5F3985"/>
    <w:rsid w:val="3C28265E"/>
    <w:rsid w:val="3C7C37C3"/>
    <w:rsid w:val="3CEC62CC"/>
    <w:rsid w:val="3D4162D8"/>
    <w:rsid w:val="3D9B5346"/>
    <w:rsid w:val="3DA256A9"/>
    <w:rsid w:val="3F37769A"/>
    <w:rsid w:val="4045123F"/>
    <w:rsid w:val="41B3371C"/>
    <w:rsid w:val="420C4075"/>
    <w:rsid w:val="42170BDF"/>
    <w:rsid w:val="42BA43D1"/>
    <w:rsid w:val="43562F5A"/>
    <w:rsid w:val="44384C75"/>
    <w:rsid w:val="44A0385D"/>
    <w:rsid w:val="45F73FFD"/>
    <w:rsid w:val="46F53476"/>
    <w:rsid w:val="478F25CA"/>
    <w:rsid w:val="47F266F2"/>
    <w:rsid w:val="483648E5"/>
    <w:rsid w:val="48430CF9"/>
    <w:rsid w:val="48AA3806"/>
    <w:rsid w:val="48FC21FC"/>
    <w:rsid w:val="4A8161D7"/>
    <w:rsid w:val="4C3830CC"/>
    <w:rsid w:val="4CE3714B"/>
    <w:rsid w:val="4D647D99"/>
    <w:rsid w:val="4E182C54"/>
    <w:rsid w:val="4E5C7785"/>
    <w:rsid w:val="5108475E"/>
    <w:rsid w:val="52D30791"/>
    <w:rsid w:val="52FE48B5"/>
    <w:rsid w:val="53B640DE"/>
    <w:rsid w:val="56AF7228"/>
    <w:rsid w:val="56C01423"/>
    <w:rsid w:val="574F2A1C"/>
    <w:rsid w:val="578D2239"/>
    <w:rsid w:val="579655A5"/>
    <w:rsid w:val="58327B40"/>
    <w:rsid w:val="586729B9"/>
    <w:rsid w:val="590363DD"/>
    <w:rsid w:val="5B1B5901"/>
    <w:rsid w:val="5CD87828"/>
    <w:rsid w:val="5D204952"/>
    <w:rsid w:val="5E766D9E"/>
    <w:rsid w:val="5EA754BC"/>
    <w:rsid w:val="5EB83593"/>
    <w:rsid w:val="5FB37D70"/>
    <w:rsid w:val="5FB87846"/>
    <w:rsid w:val="5FC77F9B"/>
    <w:rsid w:val="5FD5D290"/>
    <w:rsid w:val="606750F0"/>
    <w:rsid w:val="62191608"/>
    <w:rsid w:val="62506F6F"/>
    <w:rsid w:val="63044797"/>
    <w:rsid w:val="65E934CC"/>
    <w:rsid w:val="66570524"/>
    <w:rsid w:val="66CE396F"/>
    <w:rsid w:val="67DC006C"/>
    <w:rsid w:val="69BA2681"/>
    <w:rsid w:val="6AD12527"/>
    <w:rsid w:val="6BF241F3"/>
    <w:rsid w:val="6EC2567E"/>
    <w:rsid w:val="6F55168D"/>
    <w:rsid w:val="6FB55F72"/>
    <w:rsid w:val="70612625"/>
    <w:rsid w:val="709074EE"/>
    <w:rsid w:val="70A1440B"/>
    <w:rsid w:val="715F298C"/>
    <w:rsid w:val="71AA690A"/>
    <w:rsid w:val="72234969"/>
    <w:rsid w:val="72251C8E"/>
    <w:rsid w:val="72636D3B"/>
    <w:rsid w:val="727C3516"/>
    <w:rsid w:val="74462EBD"/>
    <w:rsid w:val="7520433C"/>
    <w:rsid w:val="75710DE1"/>
    <w:rsid w:val="77A40618"/>
    <w:rsid w:val="78543B84"/>
    <w:rsid w:val="7863351A"/>
    <w:rsid w:val="7893617E"/>
    <w:rsid w:val="7977469C"/>
    <w:rsid w:val="79E709F9"/>
    <w:rsid w:val="7B110D4C"/>
    <w:rsid w:val="7B873CE7"/>
    <w:rsid w:val="7CFD979A"/>
    <w:rsid w:val="7D5D23BA"/>
    <w:rsid w:val="7E5F3651"/>
    <w:rsid w:val="7F515E83"/>
    <w:rsid w:val="7FA5141B"/>
    <w:rsid w:val="B3EE39D3"/>
    <w:rsid w:val="D6DFE36C"/>
    <w:rsid w:val="FAFF9388"/>
    <w:rsid w:val="FBFFDBE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5"/>
    <w:semiHidden/>
    <w:unhideWhenUsed/>
    <w:qFormat/>
    <w:uiPriority w:val="99"/>
    <w:pPr>
      <w:jc w:val="left"/>
    </w:pPr>
  </w:style>
  <w:style w:type="paragraph" w:styleId="5">
    <w:name w:val="Body Text"/>
    <w:basedOn w:val="1"/>
    <w:link w:val="23"/>
    <w:qFormat/>
    <w:uiPriority w:val="0"/>
    <w:rPr>
      <w:rFonts w:ascii="Times New Roman" w:hAnsi="Times New Roman" w:eastAsia="宋体" w:cs="Times New Roman"/>
      <w:szCs w:val="24"/>
      <w:u w:val="single"/>
    </w:rPr>
  </w:style>
  <w:style w:type="paragraph" w:styleId="6">
    <w:name w:val="endnote text"/>
    <w:basedOn w:val="1"/>
    <w:link w:val="48"/>
    <w:semiHidden/>
    <w:unhideWhenUsed/>
    <w:qFormat/>
    <w:uiPriority w:val="99"/>
    <w:pPr>
      <w:snapToGrid w:val="0"/>
      <w:jc w:val="left"/>
    </w:pPr>
  </w:style>
  <w:style w:type="paragraph" w:styleId="7">
    <w:name w:val="Balloon Text"/>
    <w:basedOn w:val="1"/>
    <w:link w:val="19"/>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Autospacing="1" w:afterAutospacing="1"/>
      <w:jc w:val="left"/>
    </w:pPr>
    <w:rPr>
      <w:rFonts w:cs="Times New Roman"/>
      <w:kern w:val="0"/>
      <w:sz w:val="24"/>
    </w:rPr>
  </w:style>
  <w:style w:type="paragraph" w:styleId="11">
    <w:name w:val="annotation subject"/>
    <w:basedOn w:val="4"/>
    <w:next w:val="4"/>
    <w:link w:val="26"/>
    <w:semiHidden/>
    <w:unhideWhenUsed/>
    <w:qFormat/>
    <w:uiPriority w:val="99"/>
    <w:rPr>
      <w:b/>
      <w:bCs/>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Strong"/>
    <w:basedOn w:val="14"/>
    <w:qFormat/>
    <w:uiPriority w:val="22"/>
    <w:rPr>
      <w:b/>
    </w:rPr>
  </w:style>
  <w:style w:type="character" w:styleId="16">
    <w:name w:val="endnote reference"/>
    <w:basedOn w:val="14"/>
    <w:semiHidden/>
    <w:unhideWhenUsed/>
    <w:qFormat/>
    <w:uiPriority w:val="99"/>
    <w:rPr>
      <w:vertAlign w:val="superscript"/>
    </w:rPr>
  </w:style>
  <w:style w:type="character" w:styleId="17">
    <w:name w:val="annotation reference"/>
    <w:basedOn w:val="14"/>
    <w:semiHidden/>
    <w:unhideWhenUsed/>
    <w:qFormat/>
    <w:uiPriority w:val="99"/>
    <w:rPr>
      <w:sz w:val="21"/>
      <w:szCs w:val="21"/>
    </w:rPr>
  </w:style>
  <w:style w:type="paragraph" w:customStyle="1" w:styleId="18">
    <w:name w:val="Char Char Char Char Char"/>
    <w:basedOn w:val="1"/>
    <w:qFormat/>
    <w:uiPriority w:val="0"/>
    <w:pPr>
      <w:widowControl/>
      <w:spacing w:after="160" w:line="240" w:lineRule="exact"/>
    </w:pPr>
    <w:rPr>
      <w:rFonts w:ascii="Times New Roman" w:hAnsi="Times New Roman" w:eastAsia="宋体" w:cs="Arial"/>
      <w:kern w:val="0"/>
      <w:sz w:val="22"/>
      <w:szCs w:val="20"/>
      <w:lang w:eastAsia="en-US"/>
    </w:rPr>
  </w:style>
  <w:style w:type="character" w:customStyle="1" w:styleId="19">
    <w:name w:val="批注框文本 Char"/>
    <w:basedOn w:val="14"/>
    <w:link w:val="7"/>
    <w:semiHidden/>
    <w:qFormat/>
    <w:uiPriority w:val="99"/>
    <w:rPr>
      <w:sz w:val="18"/>
      <w:szCs w:val="18"/>
    </w:rPr>
  </w:style>
  <w:style w:type="character" w:customStyle="1" w:styleId="20">
    <w:name w:val="页眉 Char"/>
    <w:basedOn w:val="14"/>
    <w:link w:val="9"/>
    <w:qFormat/>
    <w:uiPriority w:val="99"/>
    <w:rPr>
      <w:sz w:val="18"/>
      <w:szCs w:val="18"/>
    </w:rPr>
  </w:style>
  <w:style w:type="character" w:customStyle="1" w:styleId="21">
    <w:name w:val="页脚 Char"/>
    <w:basedOn w:val="14"/>
    <w:link w:val="8"/>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正文文本 Char"/>
    <w:basedOn w:val="14"/>
    <w:link w:val="5"/>
    <w:qFormat/>
    <w:uiPriority w:val="0"/>
    <w:rPr>
      <w:rFonts w:ascii="Times New Roman" w:hAnsi="Times New Roman" w:eastAsia="宋体" w:cs="Times New Roman"/>
      <w:szCs w:val="24"/>
      <w:u w:val="single"/>
    </w:rPr>
  </w:style>
  <w:style w:type="paragraph" w:styleId="24">
    <w:name w:val="List Paragraph"/>
    <w:basedOn w:val="1"/>
    <w:qFormat/>
    <w:uiPriority w:val="34"/>
    <w:pPr>
      <w:ind w:firstLine="420" w:firstLineChars="200"/>
    </w:pPr>
  </w:style>
  <w:style w:type="character" w:customStyle="1" w:styleId="25">
    <w:name w:val="批注文字 Char"/>
    <w:basedOn w:val="14"/>
    <w:link w:val="4"/>
    <w:semiHidden/>
    <w:qFormat/>
    <w:uiPriority w:val="99"/>
  </w:style>
  <w:style w:type="character" w:customStyle="1" w:styleId="26">
    <w:name w:val="批注主题 Char"/>
    <w:basedOn w:val="25"/>
    <w:link w:val="11"/>
    <w:semiHidden/>
    <w:qFormat/>
    <w:uiPriority w:val="99"/>
    <w:rPr>
      <w:b/>
      <w:bCs/>
    </w:rPr>
  </w:style>
  <w:style w:type="paragraph" w:customStyle="1" w:styleId="27">
    <w:name w:val="Default"/>
    <w:basedOn w:val="1"/>
    <w:qFormat/>
    <w:uiPriority w:val="0"/>
    <w:pPr>
      <w:widowControl/>
      <w:autoSpaceDE w:val="0"/>
      <w:autoSpaceDN w:val="0"/>
      <w:jc w:val="left"/>
    </w:pPr>
    <w:rPr>
      <w:rFonts w:ascii="楷体" w:hAnsi="楷体" w:eastAsia="宋体" w:cs="宋体"/>
      <w:color w:val="000000"/>
      <w:kern w:val="0"/>
      <w:sz w:val="24"/>
      <w:szCs w:val="24"/>
    </w:rPr>
  </w:style>
  <w:style w:type="character" w:customStyle="1" w:styleId="28">
    <w:name w:val="标题 2 Char"/>
    <w:basedOn w:val="14"/>
    <w:link w:val="3"/>
    <w:qFormat/>
    <w:uiPriority w:val="0"/>
    <w:rPr>
      <w:rFonts w:ascii="Arial" w:hAnsi="Arial" w:eastAsia="黑体" w:cs="Times New Roman"/>
      <w:b/>
      <w:bCs/>
      <w:sz w:val="32"/>
      <w:szCs w:val="32"/>
    </w:rPr>
  </w:style>
  <w:style w:type="paragraph" w:customStyle="1" w:styleId="29">
    <w:name w:val="列出段落1"/>
    <w:basedOn w:val="1"/>
    <w:qFormat/>
    <w:uiPriority w:val="0"/>
    <w:pPr>
      <w:ind w:firstLine="420" w:firstLineChars="200"/>
    </w:pPr>
    <w:rPr>
      <w:rFonts w:ascii="Times New Roman" w:hAnsi="Times New Roman" w:eastAsia="宋体" w:cs="Times New Roman"/>
      <w:szCs w:val="24"/>
    </w:rPr>
  </w:style>
  <w:style w:type="paragraph" w:customStyle="1" w:styleId="30">
    <w:name w:val="一、二、三"/>
    <w:basedOn w:val="1"/>
    <w:next w:val="1"/>
    <w:link w:val="41"/>
    <w:qFormat/>
    <w:uiPriority w:val="0"/>
    <w:pPr>
      <w:widowControl/>
      <w:numPr>
        <w:ilvl w:val="0"/>
        <w:numId w:val="1"/>
      </w:numPr>
      <w:adjustRightInd w:val="0"/>
      <w:snapToGrid w:val="0"/>
      <w:spacing w:line="360" w:lineRule="auto"/>
      <w:ind w:left="0" w:firstLine="200" w:firstLineChars="200"/>
      <w:jc w:val="left"/>
    </w:pPr>
    <w:rPr>
      <w:rFonts w:ascii="宋体" w:hAnsi="宋体" w:eastAsia="宋体" w:cs="宋体"/>
      <w:color w:val="000000"/>
      <w:sz w:val="22"/>
    </w:rPr>
  </w:style>
  <w:style w:type="table" w:customStyle="1" w:styleId="31">
    <w:name w:val="网格型1"/>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32">
    <w:name w:val="TableGrid"/>
    <w:qFormat/>
    <w:uiPriority w:val="0"/>
    <w:rPr>
      <w:kern w:val="2"/>
      <w:sz w:val="21"/>
      <w:szCs w:val="22"/>
    </w:rPr>
    <w:tblPr>
      <w:tblCellMar>
        <w:top w:w="0" w:type="dxa"/>
        <w:left w:w="0" w:type="dxa"/>
        <w:bottom w:w="0" w:type="dxa"/>
        <w:right w:w="0" w:type="dxa"/>
      </w:tblCellMar>
    </w:tblPr>
  </w:style>
  <w:style w:type="paragraph" w:customStyle="1" w:styleId="33">
    <w:name w:val="第一条"/>
    <w:basedOn w:val="1"/>
    <w:link w:val="34"/>
    <w:qFormat/>
    <w:uiPriority w:val="0"/>
    <w:pPr>
      <w:widowControl/>
      <w:numPr>
        <w:ilvl w:val="0"/>
        <w:numId w:val="2"/>
      </w:numPr>
      <w:adjustRightInd w:val="0"/>
      <w:snapToGrid w:val="0"/>
      <w:spacing w:line="360" w:lineRule="auto"/>
      <w:ind w:left="0" w:firstLine="0"/>
      <w:jc w:val="left"/>
    </w:pPr>
    <w:rPr>
      <w:rFonts w:ascii="宋体" w:hAnsi="宋体" w:eastAsia="黑体" w:cs="宋体"/>
      <w:b/>
      <w:bCs/>
      <w:color w:val="000000"/>
    </w:rPr>
  </w:style>
  <w:style w:type="character" w:customStyle="1" w:styleId="34">
    <w:name w:val="第一条 字符"/>
    <w:basedOn w:val="14"/>
    <w:link w:val="33"/>
    <w:qFormat/>
    <w:uiPriority w:val="0"/>
    <w:rPr>
      <w:rFonts w:ascii="宋体" w:hAnsi="宋体" w:eastAsia="黑体" w:cs="宋体"/>
      <w:b/>
      <w:bCs/>
      <w:color w:val="000000"/>
      <w:kern w:val="2"/>
      <w:sz w:val="21"/>
      <w:szCs w:val="22"/>
    </w:rPr>
  </w:style>
  <w:style w:type="paragraph" w:customStyle="1" w:styleId="35">
    <w:name w:val="1、2、3"/>
    <w:next w:val="36"/>
    <w:link w:val="38"/>
    <w:qFormat/>
    <w:uiPriority w:val="0"/>
    <w:pPr>
      <w:numPr>
        <w:ilvl w:val="0"/>
        <w:numId w:val="3"/>
      </w:numPr>
      <w:adjustRightInd w:val="0"/>
      <w:snapToGrid w:val="0"/>
      <w:spacing w:line="276" w:lineRule="auto"/>
      <w:ind w:left="0" w:firstLine="200" w:firstLineChars="200"/>
    </w:pPr>
    <w:rPr>
      <w:rFonts w:ascii="宋体" w:hAnsi="宋体" w:eastAsia="楷体" w:cs="宋体"/>
      <w:color w:val="000000"/>
      <w:kern w:val="2"/>
      <w:sz w:val="21"/>
      <w:szCs w:val="22"/>
      <w:lang w:val="en-US" w:eastAsia="zh-CN" w:bidi="ar-SA"/>
    </w:rPr>
  </w:style>
  <w:style w:type="paragraph" w:customStyle="1" w:styleId="36">
    <w:name w:val="1)2)3)"/>
    <w:basedOn w:val="1"/>
    <w:next w:val="1"/>
    <w:link w:val="40"/>
    <w:qFormat/>
    <w:uiPriority w:val="0"/>
    <w:pPr>
      <w:widowControl/>
      <w:numPr>
        <w:ilvl w:val="0"/>
        <w:numId w:val="4"/>
      </w:numPr>
      <w:adjustRightInd w:val="0"/>
      <w:snapToGrid w:val="0"/>
      <w:spacing w:line="276" w:lineRule="auto"/>
      <w:ind w:left="200" w:leftChars="200" w:firstLine="200" w:firstLineChars="200"/>
      <w:jc w:val="left"/>
    </w:pPr>
    <w:rPr>
      <w:rFonts w:ascii="宋体" w:hAnsi="宋体" w:eastAsia="楷体" w:cs="宋体"/>
      <w:color w:val="000000"/>
    </w:rPr>
  </w:style>
  <w:style w:type="paragraph" w:customStyle="1" w:styleId="37">
    <w:name w:val="粗体一、二、三"/>
    <w:link w:val="39"/>
    <w:qFormat/>
    <w:uiPriority w:val="0"/>
    <w:pPr>
      <w:numPr>
        <w:ilvl w:val="0"/>
        <w:numId w:val="5"/>
      </w:numPr>
      <w:spacing w:before="50" w:beforeLines="50" w:after="50" w:afterLines="50"/>
      <w:outlineLvl w:val="1"/>
    </w:pPr>
    <w:rPr>
      <w:rFonts w:ascii="宋体" w:hAnsi="宋体" w:eastAsia="宋体" w:cs="宋体"/>
      <w:b/>
      <w:color w:val="000000"/>
      <w:kern w:val="2"/>
      <w:sz w:val="22"/>
      <w:szCs w:val="22"/>
      <w:lang w:val="en-US" w:eastAsia="zh-CN" w:bidi="ar-SA"/>
    </w:rPr>
  </w:style>
  <w:style w:type="character" w:customStyle="1" w:styleId="38">
    <w:name w:val="1、2、3 字符"/>
    <w:basedOn w:val="14"/>
    <w:link w:val="35"/>
    <w:qFormat/>
    <w:uiPriority w:val="0"/>
    <w:rPr>
      <w:rFonts w:ascii="宋体" w:hAnsi="宋体" w:eastAsia="楷体" w:cs="宋体"/>
      <w:color w:val="000000"/>
      <w:kern w:val="2"/>
      <w:sz w:val="21"/>
      <w:szCs w:val="22"/>
    </w:rPr>
  </w:style>
  <w:style w:type="character" w:customStyle="1" w:styleId="39">
    <w:name w:val="粗体一、二、三 字符"/>
    <w:basedOn w:val="38"/>
    <w:link w:val="37"/>
    <w:qFormat/>
    <w:uiPriority w:val="0"/>
    <w:rPr>
      <w:rFonts w:ascii="宋体" w:hAnsi="宋体" w:eastAsia="宋体" w:cs="宋体"/>
      <w:b/>
      <w:color w:val="000000"/>
      <w:kern w:val="2"/>
      <w:sz w:val="22"/>
      <w:szCs w:val="22"/>
    </w:rPr>
  </w:style>
  <w:style w:type="character" w:customStyle="1" w:styleId="40">
    <w:name w:val="1)2)3) 字符"/>
    <w:basedOn w:val="14"/>
    <w:link w:val="36"/>
    <w:qFormat/>
    <w:uiPriority w:val="0"/>
    <w:rPr>
      <w:rFonts w:ascii="宋体" w:hAnsi="宋体" w:eastAsia="楷体" w:cs="宋体"/>
      <w:color w:val="000000"/>
      <w:kern w:val="2"/>
      <w:sz w:val="21"/>
      <w:szCs w:val="22"/>
    </w:rPr>
  </w:style>
  <w:style w:type="character" w:customStyle="1" w:styleId="41">
    <w:name w:val="一、二、三 字符"/>
    <w:basedOn w:val="14"/>
    <w:link w:val="30"/>
    <w:qFormat/>
    <w:uiPriority w:val="0"/>
    <w:rPr>
      <w:rFonts w:ascii="宋体" w:hAnsi="宋体" w:eastAsia="宋体" w:cs="宋体"/>
      <w:color w:val="000000"/>
      <w:kern w:val="2"/>
      <w:sz w:val="22"/>
      <w:szCs w:val="22"/>
    </w:rPr>
  </w:style>
  <w:style w:type="paragraph" w:customStyle="1" w:styleId="42">
    <w:name w:val="A、B、C、"/>
    <w:basedOn w:val="36"/>
    <w:link w:val="44"/>
    <w:qFormat/>
    <w:uiPriority w:val="0"/>
    <w:pPr>
      <w:numPr>
        <w:numId w:val="6"/>
      </w:numPr>
      <w:ind w:left="400" w:leftChars="400"/>
    </w:pPr>
  </w:style>
  <w:style w:type="paragraph" w:customStyle="1" w:styleId="43">
    <w:name w:val="1）的正文"/>
    <w:basedOn w:val="1"/>
    <w:link w:val="45"/>
    <w:qFormat/>
    <w:uiPriority w:val="0"/>
    <w:pPr>
      <w:widowControl/>
      <w:adjustRightInd w:val="0"/>
      <w:snapToGrid w:val="0"/>
      <w:spacing w:line="276" w:lineRule="auto"/>
      <w:ind w:left="200" w:leftChars="200" w:firstLine="200" w:firstLineChars="200"/>
      <w:jc w:val="left"/>
    </w:pPr>
    <w:rPr>
      <w:rFonts w:ascii="宋体" w:hAnsi="宋体" w:eastAsia="楷体" w:cs="宋体"/>
      <w:color w:val="000000"/>
    </w:rPr>
  </w:style>
  <w:style w:type="character" w:customStyle="1" w:styleId="44">
    <w:name w:val="A、B、C、 字符"/>
    <w:basedOn w:val="40"/>
    <w:link w:val="42"/>
    <w:qFormat/>
    <w:uiPriority w:val="0"/>
    <w:rPr>
      <w:rFonts w:ascii="宋体" w:hAnsi="宋体" w:eastAsia="楷体" w:cs="宋体"/>
      <w:color w:val="000000"/>
      <w:kern w:val="2"/>
      <w:sz w:val="21"/>
      <w:szCs w:val="22"/>
    </w:rPr>
  </w:style>
  <w:style w:type="character" w:customStyle="1" w:styleId="45">
    <w:name w:val="1）的正文 字符"/>
    <w:basedOn w:val="14"/>
    <w:link w:val="43"/>
    <w:qFormat/>
    <w:uiPriority w:val="0"/>
    <w:rPr>
      <w:rFonts w:ascii="宋体" w:hAnsi="宋体" w:eastAsia="楷体" w:cs="宋体"/>
      <w:color w:val="000000"/>
      <w:kern w:val="2"/>
      <w:sz w:val="21"/>
      <w:szCs w:val="22"/>
    </w:rPr>
  </w:style>
  <w:style w:type="character" w:customStyle="1" w:styleId="46">
    <w:name w:val="标题 1 Char"/>
    <w:basedOn w:val="14"/>
    <w:link w:val="2"/>
    <w:qFormat/>
    <w:uiPriority w:val="9"/>
    <w:rPr>
      <w:b/>
      <w:bCs/>
      <w:kern w:val="44"/>
      <w:sz w:val="44"/>
      <w:szCs w:val="44"/>
    </w:rPr>
  </w:style>
  <w:style w:type="paragraph" w:customStyle="1" w:styleId="47">
    <w:name w:val="正文所"/>
    <w:basedOn w:val="1"/>
    <w:qFormat/>
    <w:uiPriority w:val="0"/>
    <w:pPr>
      <w:spacing w:line="360" w:lineRule="auto"/>
      <w:ind w:firstLine="420" w:firstLineChars="200"/>
    </w:pPr>
    <w:rPr>
      <w:rFonts w:ascii="宋体" w:hAnsi="Times New Roman" w:eastAsia="华文宋体" w:cs="Times New Roman"/>
      <w:sz w:val="24"/>
      <w:szCs w:val="20"/>
    </w:rPr>
  </w:style>
  <w:style w:type="character" w:customStyle="1" w:styleId="48">
    <w:name w:val="尾注文本 Char"/>
    <w:basedOn w:val="14"/>
    <w:link w:val="6"/>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778527-DAE2-4B3B-98B0-66B37DD18BC5}">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6173</Words>
  <Characters>6238</Characters>
  <Lines>42</Lines>
  <Paragraphs>11</Paragraphs>
  <TotalTime>0</TotalTime>
  <ScaleCrop>false</ScaleCrop>
  <LinksUpToDate>false</LinksUpToDate>
  <CharactersWithSpaces>6292</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2022-04-05T14:12:00Z</dcterms:created>
  <dc:creator>微软用户</dc:creator>
  <cp:lastModifiedBy>周 翔</cp:lastModifiedBy>
  <dcterms:modified xsi:type="dcterms:W3CDTF">2025-07-22T00:52:11Z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0911658577EC44DCBFA36C3B31546A71</vt:lpwstr>
  </property>
</Properties>
</file>