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【稳利</w:t>
      </w:r>
      <w:r>
        <w:rPr>
          <w:rStyle w:val="27"/>
          <w:rFonts w:hint="eastAsia" w:ascii="黑体" w:hAnsi="黑体" w:eastAsia="黑体"/>
          <w:sz w:val="44"/>
          <w:szCs w:val="44"/>
          <w:lang w:eastAsia="zh-CN"/>
        </w:rPr>
        <w:t>安盈</w:t>
      </w:r>
      <w:r>
        <w:rPr>
          <w:rStyle w:val="27"/>
          <w:rFonts w:hint="eastAsia" w:ascii="黑体" w:hAnsi="黑体" w:eastAsia="黑体"/>
          <w:sz w:val="44"/>
          <w:szCs w:val="44"/>
        </w:rPr>
        <w:t>封闭式】</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8</w:t>
      </w:r>
      <w:r>
        <w:rPr>
          <w:rStyle w:val="27"/>
          <w:rFonts w:hint="eastAsia" w:ascii="宋体" w:hAnsi="宋体" w:cs="Times New Roman"/>
          <w:sz w:val="32"/>
          <w:szCs w:val="32"/>
        </w:rPr>
        <w:t>】月</w:t>
      </w:r>
      <w:permEnd w:id="1"/>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permStart w:id="2" w:edGrp="everyone"/>
          <w:r>
            <w:rPr>
              <w:lang w:val="zh-CN"/>
            </w:rPr>
            <w:t>目录</w:t>
          </w:r>
        </w:p>
        <w:p>
          <w:pPr>
            <w:pStyle w:val="16"/>
            <w:tabs>
              <w:tab w:val="right" w:leader="dot" w:pos="8296"/>
            </w:tabs>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"_Toc176189753"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_Toc176189753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"_Toc176189754"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_Toc176189754 \h </w:instrText>
          </w:r>
          <w:r>
            <w:fldChar w:fldCharType="separate"/>
          </w:r>
          <w:r>
            <w:t>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"_Toc176189755"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_Toc176189755 \h </w:instrText>
          </w:r>
          <w:r>
            <w:fldChar w:fldCharType="separate"/>
          </w:r>
          <w:r>
            <w:t>13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"_Toc176189756"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_Toc176189756 \h </w:instrText>
          </w:r>
          <w:r>
            <w:fldChar w:fldCharType="separate"/>
          </w:r>
          <w:r>
            <w:t>15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"_Toc176189757"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_Toc176189757 \h </w:instrText>
          </w:r>
          <w:r>
            <w:fldChar w:fldCharType="separate"/>
          </w:r>
          <w:r>
            <w:t>16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"_Toc176189758"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_Toc176189758 \h </w:instrText>
          </w:r>
          <w:r>
            <w:fldChar w:fldCharType="separate"/>
          </w:r>
          <w:r>
            <w:t>19</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"_Toc176189759"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_Toc176189759 \h </w:instrText>
          </w:r>
          <w:r>
            <w:fldChar w:fldCharType="separate"/>
          </w:r>
          <w:r>
            <w:t>20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"_Toc176189760"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_Toc176189760 \h </w:instrText>
          </w:r>
          <w:r>
            <w:fldChar w:fldCharType="separate"/>
          </w:r>
          <w:r>
            <w:t>24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"_Toc176189761"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_Toc176189761 \h </w:instrText>
          </w:r>
          <w:r>
            <w:fldChar w:fldCharType="separate"/>
          </w:r>
          <w:r>
            <w:t>25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"_Toc176189762"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_Toc176189762 \h </w:instrText>
          </w:r>
          <w:r>
            <w:fldChar w:fldCharType="separate"/>
          </w:r>
          <w:r>
            <w:t>28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"_Toc176189763"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_Toc176189763 \h </w:instrText>
          </w:r>
          <w:r>
            <w:fldChar w:fldCharType="separate"/>
          </w:r>
          <w:r>
            <w:t>30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"_Toc176189764"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_Toc176189764 \h </w:instrText>
          </w:r>
          <w:r>
            <w:fldChar w:fldCharType="separate"/>
          </w:r>
          <w:r>
            <w:t>32</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176189753"/>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为每类份额类别设置的唯一性</w:t>
      </w:r>
      <w:r>
        <w:rPr>
          <w:rFonts w:hint="eastAsia" w:asciiTheme="majorEastAsia" w:hAnsiTheme="majorEastAsia" w:eastAsiaTheme="majorEastAsia"/>
          <w:bCs/>
          <w:color w:val="auto"/>
          <w:sz w:val="18"/>
          <w:szCs w:val="18"/>
        </w:rPr>
        <w:t>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w:t>
      </w:r>
      <w:r>
        <w:rPr>
          <w:rFonts w:asciiTheme="majorEastAsia" w:hAnsiTheme="majorEastAsia" w:eastAsiaTheme="majorEastAsia"/>
          <w:bCs/>
          <w:sz w:val="18"/>
          <w:szCs w:val="18"/>
        </w:rPr>
        <w:t>理财</w:t>
      </w:r>
      <w:r>
        <w:rPr>
          <w:rFonts w:hint="eastAsia" w:asciiTheme="majorEastAsia" w:hAnsiTheme="majorEastAsia" w:eastAsiaTheme="major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0）理财产品估值：指计算评估理财产品资产和理财产品负债的价值，以确定理财产品份额净值的过程。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eastAsia="黑体"/>
          <w:sz w:val="18"/>
        </w:rPr>
        <w:t>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pStyle w:val="34"/>
        <w:spacing w:line="360" w:lineRule="auto"/>
        <w:ind w:firstLine="360" w:firstLineChars="200"/>
        <w:rPr>
          <w:rFonts w:hAnsi="宋体"/>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w:t>
      </w:r>
      <w:r>
        <w:rPr>
          <w:rFonts w:hint="eastAsia" w:cs="仿宋_GB2312" w:asciiTheme="minorEastAsia" w:hAnsiTheme="minorEastAsia" w:eastAsiaTheme="minorEastAsia"/>
          <w:bCs/>
          <w:color w:val="auto"/>
          <w:sz w:val="18"/>
          <w:szCs w:val="18"/>
        </w:rPr>
        <w:t>★</w:t>
      </w:r>
      <w:r>
        <w:rPr>
          <w:rFonts w:hint="eastAsia" w:asciiTheme="minorEastAsia" w:hAnsiTheme="minorEastAsia" w:eastAsiaTheme="minorEastAsia"/>
          <w:sz w:val="18"/>
          <w:szCs w:val="18"/>
        </w:rPr>
        <w:t>销售服务费：指</w:t>
      </w:r>
      <w:r>
        <w:rPr>
          <w:rFonts w:hint="eastAsia" w:hAnsi="宋体"/>
          <w:sz w:val="18"/>
          <w:szCs w:val="18"/>
        </w:rPr>
        <w:t>因理财产品销售行为产生的费用。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hAnsi="宋体"/>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2" w:name="_Toc176189754"/>
      <w:bookmarkStart w:id="3" w:name="_Toc79154665"/>
      <w:r>
        <w:rPr>
          <w:rFonts w:hint="eastAsia" w:hAnsi="宋体"/>
          <w:sz w:val="28"/>
          <w:szCs w:val="28"/>
        </w:rPr>
        <w:t>第二条  理财产品基本情况</w:t>
      </w:r>
      <w:bookmarkEnd w:id="2"/>
      <w:bookmarkEnd w:id="3"/>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70"/>
        <w:gridCol w:w="767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970"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674" w:type="dxa"/>
            <w:shd w:val="solid" w:color="FFFFFF" w:fill="FFFFFF"/>
          </w:tcPr>
          <w:p>
            <w:pPr>
              <w:spacing w:line="360" w:lineRule="auto"/>
              <w:jc w:val="left"/>
              <w:rPr>
                <w:rFonts w:ascii="宋体" w:hAnsi="宋体"/>
                <w:bCs/>
                <w:color w:val="auto"/>
                <w:sz w:val="18"/>
                <w:szCs w:val="18"/>
              </w:rPr>
            </w:pPr>
            <w:r>
              <w:rPr>
                <w:rFonts w:hint="eastAsia" w:asciiTheme="majorEastAsia" w:hAnsiTheme="majorEastAsia" w:eastAsiaTheme="majorEastAsia"/>
                <w:bCs/>
                <w:color w:val="auto"/>
                <w:kern w:val="0"/>
                <w:sz w:val="18"/>
                <w:szCs w:val="18"/>
              </w:rPr>
              <w:t>【兴银理财稳利安盈封闭式2025年</w:t>
            </w:r>
            <w:r>
              <w:rPr>
                <w:rFonts w:hint="eastAsia" w:asciiTheme="majorEastAsia" w:hAnsiTheme="majorEastAsia" w:eastAsiaTheme="majorEastAsia"/>
                <w:bCs/>
                <w:color w:val="auto"/>
                <w:kern w:val="0"/>
                <w:sz w:val="18"/>
                <w:szCs w:val="18"/>
                <w:lang w:eastAsia="zh-CN"/>
              </w:rPr>
              <w:t>423期</w:t>
            </w:r>
            <w:r>
              <w:rPr>
                <w:rFonts w:hint="eastAsia" w:asciiTheme="majorEastAsia" w:hAnsiTheme="majorEastAsia" w:eastAsiaTheme="majorEastAsia"/>
                <w:bCs/>
                <w:color w:val="auto"/>
                <w:kern w:val="0"/>
                <w:sz w:val="18"/>
                <w:szCs w:val="18"/>
              </w:rPr>
              <w:t>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70"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674" w:type="dxa"/>
            <w:shd w:val="solid" w:color="FFFFFF" w:fill="FFFFFF"/>
          </w:tcPr>
          <w:p>
            <w:pPr>
              <w:widowControl/>
              <w:spacing w:line="360" w:lineRule="auto"/>
              <w:jc w:val="left"/>
              <w:rPr>
                <w:rFonts w:hint="eastAsia" w:hAnsi="宋体"/>
                <w:color w:val="auto"/>
                <w:sz w:val="18"/>
                <w:szCs w:val="18"/>
              </w:rPr>
            </w:pPr>
            <w:r>
              <w:rPr>
                <w:rFonts w:hint="eastAsia" w:hAnsi="宋体"/>
                <w:color w:val="auto"/>
                <w:sz w:val="18"/>
                <w:szCs w:val="18"/>
              </w:rPr>
              <w:t>【稳利安盈2025年</w:t>
            </w:r>
            <w:r>
              <w:rPr>
                <w:rFonts w:hint="eastAsia" w:hAnsi="宋体"/>
                <w:color w:val="auto"/>
                <w:sz w:val="18"/>
                <w:szCs w:val="18"/>
                <w:lang w:eastAsia="zh-CN"/>
              </w:rPr>
              <w:t>423期</w:t>
            </w:r>
            <w:r>
              <w:rPr>
                <w:rFonts w:hint="eastAsia" w:hAnsi="宋体"/>
                <w:color w:val="auto"/>
                <w:sz w:val="18"/>
                <w:szCs w:val="18"/>
              </w:rPr>
              <w:t>A】（适用【A】类份额）</w:t>
            </w:r>
          </w:p>
          <w:p>
            <w:pPr>
              <w:widowControl/>
              <w:spacing w:line="360" w:lineRule="auto"/>
              <w:jc w:val="left"/>
              <w:rPr>
                <w:rFonts w:hint="eastAsia" w:hAnsi="宋体"/>
                <w:color w:val="auto"/>
                <w:sz w:val="18"/>
                <w:szCs w:val="18"/>
              </w:rPr>
            </w:pPr>
            <w:r>
              <w:rPr>
                <w:rFonts w:hint="eastAsia" w:hAnsi="宋体"/>
                <w:color w:val="auto"/>
                <w:sz w:val="18"/>
                <w:szCs w:val="18"/>
              </w:rPr>
              <w:t>【稳利安盈2025年</w:t>
            </w:r>
            <w:r>
              <w:rPr>
                <w:rFonts w:hint="eastAsia" w:hAnsi="宋体"/>
                <w:color w:val="auto"/>
                <w:sz w:val="18"/>
                <w:szCs w:val="18"/>
                <w:lang w:eastAsia="zh-CN"/>
              </w:rPr>
              <w:t>423期</w:t>
            </w:r>
            <w:r>
              <w:rPr>
                <w:rFonts w:hint="eastAsia" w:hAnsi="宋体"/>
                <w:color w:val="auto"/>
                <w:sz w:val="18"/>
                <w:szCs w:val="18"/>
                <w:lang w:val="en-US" w:eastAsia="zh-CN"/>
              </w:rPr>
              <w:t>B</w:t>
            </w:r>
            <w:r>
              <w:rPr>
                <w:rFonts w:hint="eastAsia" w:hAnsi="宋体"/>
                <w:color w:val="auto"/>
                <w:sz w:val="18"/>
                <w:szCs w:val="18"/>
              </w:rPr>
              <w:t>】（适用【B】类份额）</w:t>
            </w:r>
          </w:p>
          <w:p>
            <w:pPr>
              <w:widowControl/>
              <w:spacing w:line="360" w:lineRule="auto"/>
              <w:jc w:val="left"/>
              <w:rPr>
                <w:rFonts w:hint="eastAsia" w:hAnsi="宋体"/>
                <w:color w:val="auto"/>
                <w:sz w:val="18"/>
                <w:szCs w:val="18"/>
              </w:rPr>
            </w:pPr>
            <w:r>
              <w:rPr>
                <w:rFonts w:hint="eastAsia" w:hAnsi="宋体"/>
                <w:color w:val="auto"/>
                <w:sz w:val="18"/>
                <w:szCs w:val="18"/>
              </w:rPr>
              <w:t>【稳利安盈2025年</w:t>
            </w:r>
            <w:r>
              <w:rPr>
                <w:rFonts w:hint="eastAsia" w:hAnsi="宋体"/>
                <w:color w:val="auto"/>
                <w:sz w:val="18"/>
                <w:szCs w:val="18"/>
                <w:lang w:eastAsia="zh-CN"/>
              </w:rPr>
              <w:t>423期</w:t>
            </w:r>
            <w:r>
              <w:rPr>
                <w:rFonts w:hint="eastAsia" w:hAnsi="宋体"/>
                <w:color w:val="auto"/>
                <w:sz w:val="18"/>
                <w:szCs w:val="18"/>
              </w:rPr>
              <w:t>C】（适用【C】类份额）</w:t>
            </w:r>
          </w:p>
          <w:p>
            <w:pPr>
              <w:widowControl/>
              <w:spacing w:line="360" w:lineRule="auto"/>
              <w:jc w:val="left"/>
              <w:rPr>
                <w:rFonts w:hint="eastAsia" w:hAnsi="宋体"/>
                <w:color w:val="auto"/>
                <w:sz w:val="18"/>
                <w:szCs w:val="18"/>
              </w:rPr>
            </w:pPr>
            <w:r>
              <w:rPr>
                <w:rFonts w:hint="eastAsia" w:hAnsi="宋体"/>
                <w:color w:val="auto"/>
                <w:sz w:val="18"/>
                <w:szCs w:val="18"/>
              </w:rPr>
              <w:t>【稳利安盈2025年</w:t>
            </w:r>
            <w:r>
              <w:rPr>
                <w:rFonts w:hint="eastAsia" w:hAnsi="宋体"/>
                <w:color w:val="auto"/>
                <w:sz w:val="18"/>
                <w:szCs w:val="18"/>
                <w:lang w:eastAsia="zh-CN"/>
              </w:rPr>
              <w:t>423期</w:t>
            </w:r>
            <w:r>
              <w:rPr>
                <w:rFonts w:hint="eastAsia" w:hAnsi="宋体"/>
                <w:color w:val="auto"/>
                <w:sz w:val="18"/>
                <w:szCs w:val="18"/>
              </w:rPr>
              <w:t>D】（适用【D】类份额）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67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w:t>
            </w:r>
            <w:r>
              <w:rPr>
                <w:rFonts w:hint="eastAsia" w:asciiTheme="minorEastAsia" w:hAnsiTheme="minorEastAsia"/>
                <w:color w:val="auto"/>
                <w:sz w:val="18"/>
                <w:szCs w:val="18"/>
              </w:rPr>
              <w:t>Z7002025000997</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674" w:type="dxa"/>
            <w:shd w:val="solid" w:color="FFFFFF" w:fill="FFFFFF"/>
            <w:vAlign w:val="center"/>
          </w:tcPr>
          <w:p>
            <w:pPr>
              <w:spacing w:line="360" w:lineRule="auto"/>
              <w:jc w:val="left"/>
              <w:rPr>
                <w:rFonts w:ascii="宋体" w:hAnsi="宋体"/>
                <w:bCs/>
                <w:color w:val="auto"/>
                <w:sz w:val="18"/>
                <w:szCs w:val="18"/>
              </w:rPr>
            </w:pPr>
            <w:r>
              <w:rPr>
                <w:rFonts w:ascii="宋体" w:hAnsi="宋体"/>
                <w:bCs/>
                <w:color w:val="auto"/>
                <w:sz w:val="18"/>
                <w:szCs w:val="18"/>
              </w:rPr>
              <w:t>【</w:t>
            </w:r>
            <w:r>
              <w:rPr>
                <w:rFonts w:hint="eastAsia" w:ascii="宋体" w:hAnsi="宋体"/>
                <w:bCs/>
                <w:color w:val="auto"/>
                <w:sz w:val="18"/>
                <w:szCs w:val="18"/>
                <w:lang w:eastAsia="zh-CN"/>
              </w:rPr>
              <w:t>9A254230</w:t>
            </w:r>
            <w:r>
              <w:rPr>
                <w:rFonts w:hint="eastAsia" w:ascii="宋体" w:hAnsi="宋体"/>
                <w:bCs/>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674" w:type="dxa"/>
            <w:shd w:val="solid" w:color="FFFFFF" w:fill="FFFFFF"/>
          </w:tcPr>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9A25423</w:t>
            </w:r>
            <w:r>
              <w:rPr>
                <w:rFonts w:hint="eastAsia" w:ascii="宋体" w:hAnsi="宋体"/>
                <w:bCs/>
                <w:color w:val="auto"/>
                <w:sz w:val="18"/>
                <w:szCs w:val="18"/>
                <w:highlight w:val="none"/>
              </w:rPr>
              <w:t>A】（适用【A】类份额）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9A25423</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9A25423</w:t>
            </w:r>
            <w:r>
              <w:rPr>
                <w:rFonts w:hint="eastAsia" w:ascii="宋体" w:hAnsi="宋体"/>
                <w:bCs/>
                <w:color w:val="auto"/>
                <w:sz w:val="18"/>
                <w:szCs w:val="18"/>
                <w:highlight w:val="none"/>
                <w:lang w:val="en-US" w:eastAsia="zh-CN"/>
              </w:rPr>
              <w:t>C</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C</w:t>
            </w:r>
            <w:r>
              <w:rPr>
                <w:rFonts w:hint="eastAsia" w:ascii="宋体" w:hAnsi="宋体"/>
                <w:bCs/>
                <w:color w:val="auto"/>
                <w:sz w:val="18"/>
                <w:szCs w:val="18"/>
                <w:highlight w:val="none"/>
              </w:rPr>
              <w:t>】类份额）</w:t>
            </w:r>
          </w:p>
          <w:p>
            <w:pPr>
              <w:spacing w:line="360" w:lineRule="auto"/>
              <w:jc w:val="left"/>
              <w:rPr>
                <w:rFonts w:hint="eastAsia" w:hAnsi="宋体"/>
                <w:color w:val="auto"/>
                <w:sz w:val="18"/>
                <w:szCs w:val="18"/>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9A25423</w:t>
            </w:r>
            <w:r>
              <w:rPr>
                <w:rFonts w:hint="eastAsia" w:ascii="宋体" w:hAnsi="宋体"/>
                <w:bCs/>
                <w:color w:val="auto"/>
                <w:sz w:val="18"/>
                <w:szCs w:val="18"/>
                <w:highlight w:val="none"/>
                <w:lang w:val="en-US" w:eastAsia="zh-CN"/>
              </w:rPr>
              <w:t>D</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D</w:t>
            </w:r>
            <w:r>
              <w:rPr>
                <w:rFonts w:hint="eastAsia" w:ascii="宋体" w:hAnsi="宋体"/>
                <w:bCs/>
                <w:color w:val="auto"/>
                <w:sz w:val="18"/>
                <w:szCs w:val="18"/>
                <w:highlight w:val="none"/>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67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w:t>
            </w:r>
            <w:r>
              <w:rPr>
                <w:rFonts w:ascii="宋体" w:hAnsi="宋体"/>
                <w:bCs/>
                <w:sz w:val="18"/>
                <w:szCs w:val="18"/>
              </w:rPr>
              <w:t>可能</w:t>
            </w:r>
            <w:r>
              <w:rPr>
                <w:rFonts w:hint="eastAsia" w:ascii="宋体" w:hAnsi="宋体"/>
                <w:bCs/>
                <w:sz w:val="18"/>
                <w:szCs w:val="18"/>
              </w:rPr>
              <w:t>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674" w:type="dxa"/>
            <w:shd w:val="solid" w:color="FFFFFF" w:fill="FFFFFF"/>
            <w:vAlign w:val="center"/>
          </w:tcPr>
          <w:p>
            <w:pPr>
              <w:spacing w:line="360" w:lineRule="auto"/>
              <w:rPr>
                <w:rFonts w:ascii="宋体" w:hAnsi="宋体"/>
                <w:bCs/>
                <w:sz w:val="18"/>
                <w:szCs w:val="18"/>
              </w:rPr>
            </w:pPr>
            <w:r>
              <w:rPr>
                <w:rFonts w:hint="eastAsia" w:ascii="黑体" w:hAnsi="黑体" w:eastAsia="黑体" w:cs="黑体"/>
                <w:sz w:val="18"/>
                <w:szCs w:val="18"/>
              </w:rPr>
              <w:t>公募</w:t>
            </w:r>
            <w:r>
              <w:rPr>
                <w:rFonts w:hint="eastAsia" w:ascii="黑体" w:hAnsi="黑体" w:eastAsia="黑体" w:cs="黑体"/>
                <w:bCs/>
                <w:sz w:val="18"/>
                <w:szCs w:val="18"/>
              </w:rPr>
              <w:t>、封闭式、固定收益类、非保本浮动收益、净值型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67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67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封闭式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674" w:type="dxa"/>
            <w:shd w:val="solid" w:color="FFFFFF" w:fill="FFFFFF"/>
            <w:vAlign w:val="center"/>
          </w:tcPr>
          <w:p>
            <w:pPr>
              <w:adjustRightInd w:val="0"/>
              <w:snapToGrid w:val="0"/>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固定收益类</w:t>
            </w:r>
          </w:p>
          <w:p>
            <w:pPr>
              <w:adjustRightInd w:val="0"/>
              <w:snapToGrid w:val="0"/>
              <w:spacing w:line="360" w:lineRule="auto"/>
              <w:rPr>
                <w:rFonts w:ascii="黑体" w:hAnsi="黑体" w:eastAsia="黑体"/>
                <w:bCs/>
                <w:sz w:val="18"/>
                <w:szCs w:val="18"/>
              </w:rPr>
            </w:pPr>
            <w:r>
              <w:rPr>
                <w:rFonts w:hint="eastAsia" w:ascii="黑体" w:hAnsi="黑体" w:eastAsia="黑体"/>
                <w:sz w:val="18"/>
                <w:szCs w:val="18"/>
              </w:rPr>
              <w:t>固定</w:t>
            </w:r>
            <w:r>
              <w:rPr>
                <w:rFonts w:ascii="黑体" w:hAnsi="黑体" w:eastAsia="黑体"/>
                <w:sz w:val="18"/>
                <w:szCs w:val="18"/>
              </w:rPr>
              <w:t>收益</w:t>
            </w:r>
            <w:r>
              <w:rPr>
                <w:rFonts w:hint="eastAsia" w:ascii="黑体" w:hAnsi="黑体" w:eastAsia="黑体"/>
                <w:sz w:val="18"/>
                <w:szCs w:val="18"/>
              </w:rPr>
              <w:t>类</w:t>
            </w:r>
            <w:r>
              <w:rPr>
                <w:rFonts w:ascii="黑体" w:hAnsi="黑体" w:eastAsia="黑体"/>
                <w:sz w:val="18"/>
                <w:szCs w:val="18"/>
              </w:rPr>
              <w:t>产品是指根据监管</w:t>
            </w:r>
            <w:r>
              <w:rPr>
                <w:rFonts w:hint="eastAsia" w:ascii="黑体" w:hAnsi="黑体" w:eastAsia="黑体"/>
                <w:sz w:val="18"/>
                <w:szCs w:val="18"/>
              </w:rPr>
              <w:t>相关规定</w:t>
            </w:r>
            <w:r>
              <w:rPr>
                <w:rFonts w:ascii="黑体" w:hAnsi="黑体" w:eastAsia="黑体"/>
                <w:sz w:val="18"/>
                <w:szCs w:val="18"/>
              </w:rPr>
              <w:t>，投资于债权类资产的</w:t>
            </w:r>
            <w:r>
              <w:rPr>
                <w:rFonts w:hint="eastAsia" w:ascii="黑体" w:hAnsi="黑体" w:eastAsia="黑体"/>
                <w:sz w:val="18"/>
                <w:szCs w:val="18"/>
              </w:rPr>
              <w:t>比例</w:t>
            </w:r>
            <w:r>
              <w:rPr>
                <w:rFonts w:ascii="黑体" w:hAnsi="黑体" w:eastAsia="黑体"/>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674" w:type="dxa"/>
            <w:shd w:val="solid" w:color="FFFFFF" w:fill="FFFFFF"/>
            <w:vAlign w:val="center"/>
          </w:tcPr>
          <w:p>
            <w:pPr>
              <w:adjustRightInd w:val="0"/>
              <w:snapToGrid w:val="0"/>
              <w:spacing w:line="360" w:lineRule="auto"/>
              <w:rPr>
                <w:rFonts w:ascii="黑体" w:hAnsi="黑体" w:eastAsia="黑体"/>
                <w:sz w:val="18"/>
                <w:szCs w:val="18"/>
              </w:rPr>
            </w:pPr>
            <w:r>
              <w:rPr>
                <w:rFonts w:hint="eastAsia" w:ascii="黑体" w:hAnsi="黑体" w:eastAsia="黑体"/>
                <w:sz w:val="18"/>
                <w:szCs w:val="18"/>
              </w:rPr>
              <w:t>非保本浮动收益</w:t>
            </w:r>
          </w:p>
          <w:p>
            <w:pPr>
              <w:adjustRightInd w:val="0"/>
              <w:snapToGrid w:val="0"/>
              <w:spacing w:line="360" w:lineRule="auto"/>
              <w:rPr>
                <w:rFonts w:ascii="黑体" w:hAnsi="黑体" w:eastAsia="黑体"/>
                <w:sz w:val="18"/>
                <w:szCs w:val="18"/>
              </w:rPr>
            </w:pPr>
            <w:r>
              <w:rPr>
                <w:rFonts w:hint="eastAsia" w:ascii="黑体" w:hAnsi="黑体" w:eastAsia="黑体"/>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color w:val="000000" w:themeColor="text1"/>
                <w:sz w:val="18"/>
                <w:szCs w:val="18"/>
                <w14:textFill>
                  <w14:solidFill>
                    <w14:schemeClr w14:val="tx1"/>
                  </w14:solidFill>
                </w14:textFill>
              </w:rPr>
            </w:pPr>
            <w:r>
              <w:rPr>
                <w:rFonts w:hint="eastAsia" w:ascii="黑体" w:hAnsi="黑体" w:eastAsia="黑体"/>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67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67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67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r>
              <w:rPr>
                <w:rFonts w:hint="eastAsia" w:hAnsi="宋体"/>
                <w:sz w:val="18"/>
                <w:szCs w:val="18"/>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A/B/C/D】类</w:t>
            </w:r>
            <w:r>
              <w:rPr>
                <w:rFonts w:hint="eastAsia" w:hAnsi="宋体"/>
                <w:sz w:val="18"/>
                <w:szCs w:val="18"/>
              </w:rPr>
              <w:t>份额）</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cs="黑体"/>
                <w:sz w:val="18"/>
                <w:szCs w:val="18"/>
              </w:rPr>
              <w:t>注：当销售机构销售产品风险评级为R4及以上的理财产品时，可在销售机构的营业网点进行，也可依据销售机构的政策在营业网点之外的其他场景进行（具体政策以销售机构公布执行的为准）。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 xml:space="preserve"> </w:t>
            </w:r>
            <w:r>
              <w:rPr>
                <w:rFonts w:hint="eastAsia" w:ascii="宋体" w:hAnsi="宋体"/>
                <w:sz w:val="18"/>
                <w:szCs w:val="18"/>
              </w:rPr>
              <w:t>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■有固定期限：【</w:t>
            </w:r>
            <w:r>
              <w:rPr>
                <w:rFonts w:hint="eastAsia" w:cs="Times New Roman" w:asciiTheme="minorEastAsia" w:hAnsiTheme="minorEastAsia"/>
                <w:color w:val="auto"/>
                <w:sz w:val="18"/>
                <w:szCs w:val="18"/>
                <w:lang w:val="en-US" w:eastAsia="zh-CN"/>
              </w:rPr>
              <w:t>433</w:t>
            </w:r>
            <w:r>
              <w:rPr>
                <w:rFonts w:hint="eastAsia" w:cs="Times New Roman" w:asciiTheme="minorEastAsia" w:hAnsiTheme="minorEastAsia"/>
                <w:sz w:val="18"/>
                <w:szCs w:val="18"/>
                <w:lang w:val="en-US" w:eastAsia="zh-CN"/>
              </w:rPr>
              <w:t>日】</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□无固定期限</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1.本产品认购期/募集期为：【2025】年【08】月</w:t>
            </w:r>
            <w:r>
              <w:rPr>
                <w:rFonts w:hint="eastAsia" w:cs="Times New Roman" w:asciiTheme="minorEastAsia" w:hAnsiTheme="minorEastAsia"/>
                <w:color w:val="auto"/>
                <w:sz w:val="18"/>
                <w:szCs w:val="18"/>
                <w:lang w:val="en-US" w:eastAsia="zh-CN"/>
              </w:rPr>
              <w:t>【27</w:t>
            </w:r>
            <w:r>
              <w:rPr>
                <w:rFonts w:hint="eastAsia" w:cs="Times New Roman" w:asciiTheme="minorEastAsia" w:hAnsiTheme="minorEastAsia"/>
                <w:sz w:val="18"/>
                <w:szCs w:val="18"/>
                <w:lang w:val="en-US" w:eastAsia="zh-CN"/>
              </w:rPr>
              <w:t>】日【9:00】至【2025】年【09】月【09】日【17:00】。</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2.投资者在认购期/募集期内认购本理财产品后，理财资金将在成立日开始进行投资。</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3.认购期/募集期内资金产生的利息不计入认购资金。</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注：关于代理销售机构的实际工作服务时段的提示</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1.本产品的计划成立日为：【2025】年【09】月【10</w:t>
            </w:r>
            <w:r>
              <w:rPr>
                <w:rFonts w:hint="eastAsia" w:cs="Times New Roman" w:asciiTheme="minorEastAsia" w:hAnsiTheme="minorEastAsia"/>
                <w:color w:val="auto"/>
                <w:sz w:val="18"/>
                <w:szCs w:val="18"/>
                <w:lang w:val="en-US" w:eastAsia="zh-CN"/>
              </w:rPr>
              <w:t>】</w:t>
            </w:r>
            <w:r>
              <w:rPr>
                <w:rFonts w:hint="eastAsia" w:cs="Times New Roman" w:asciiTheme="minorEastAsia" w:hAnsiTheme="minorEastAsia"/>
                <w:sz w:val="18"/>
                <w:szCs w:val="18"/>
                <w:lang w:val="en-US" w:eastAsia="zh-CN"/>
              </w:rPr>
              <w:t>日（遇节假日顺延）。</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2.产品管理人有权根据实际募集情况提前或延后产品成立日期，并相应调整其他产品要素，将依约定进行公告。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inorEastAsia" w:hAnsiTheme="minorEastAsia"/>
                <w:b/>
                <w:bCs/>
                <w:sz w:val="18"/>
                <w:szCs w:val="18"/>
              </w:rPr>
              <w:t>终止日</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1.本产品的计划终止日为：【2026】年【11】月【17</w:t>
            </w:r>
            <w:bookmarkStart w:id="156" w:name="_GoBack"/>
            <w:bookmarkEnd w:id="156"/>
            <w:r>
              <w:rPr>
                <w:rFonts w:hint="eastAsia" w:cs="Times New Roman" w:asciiTheme="minorEastAsia" w:hAnsiTheme="minorEastAsia"/>
                <w:sz w:val="18"/>
                <w:szCs w:val="18"/>
                <w:lang w:val="en-US" w:eastAsia="zh-CN"/>
              </w:rPr>
              <w:t>】日（遇节假日顺延）。</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每笔购买起点金额为【1.00】元；超出起点金额的部分以【0.01】元的整数倍递增。（适用【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A/B/C/D</w:t>
            </w:r>
            <w:r>
              <w:rPr>
                <w:rFonts w:hint="eastAsia" w:cs="Times New Roman" w:asciiTheme="minorEastAsia" w:hAnsiTheme="minorEastAsia"/>
                <w:sz w:val="18"/>
                <w:szCs w:val="18"/>
                <w:lang w:val="en-US" w:eastAsia="zh-CN"/>
              </w:rPr>
              <w:t>】类份额）</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注：关于代理销售机构的实际销售起点金额的提示</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①本产品在代理销售机构的实际销售起点金额，因代理销售机构的不同可能存在差异（可能高于销售文件约定的销售起点金额），应当以代理销售机构展示为准。</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②代理销售机构的实际销售起点金额，不得低于销售文件约定的销售起点金额。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b/>
                <w:sz w:val="18"/>
                <w:szCs w:val="18"/>
              </w:rPr>
              <w:t>★认购的数量限制</w:t>
            </w:r>
          </w:p>
        </w:tc>
        <w:tc>
          <w:tcPr>
            <w:tcW w:w="7674" w:type="dxa"/>
            <w:shd w:val="solid" w:color="FFFFFF" w:fill="FFFFFF"/>
            <w:vAlign w:val="center"/>
          </w:tcPr>
          <w:p>
            <w:pPr>
              <w:pStyle w:val="34"/>
              <w:spacing w:line="360" w:lineRule="auto"/>
              <w:rPr>
                <w:rFonts w:hAnsi="宋体"/>
                <w:bCs/>
                <w:sz w:val="18"/>
                <w:szCs w:val="18"/>
              </w:rPr>
            </w:pPr>
            <w:r>
              <w:rPr>
                <w:rFonts w:hint="eastAsia" w:hAnsi="宋体"/>
                <w:bCs/>
                <w:sz w:val="18"/>
                <w:szCs w:val="18"/>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A/B/C/D】类</w:t>
            </w:r>
            <w:r>
              <w:rPr>
                <w:rFonts w:hAnsi="宋体"/>
                <w:bCs/>
                <w:sz w:val="18"/>
                <w:szCs w:val="18"/>
              </w:rPr>
              <w:t>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w:t>
            </w:r>
            <w:r>
              <w:rPr>
                <w:rFonts w:ascii="黑体" w:hAnsi="黑体" w:eastAsia="黑体"/>
                <w:color w:val="000000" w:themeColor="text1"/>
                <w:sz w:val="18"/>
                <w:szCs w:val="18"/>
                <w14:textFill>
                  <w14:solidFill>
                    <w14:schemeClr w14:val="tx1"/>
                  </w14:solidFill>
                </w14:textFill>
              </w:rPr>
              <w:t>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67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67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w:t>
            </w:r>
            <w:r>
              <w:rPr>
                <w:rFonts w:asciiTheme="majorEastAsia" w:hAnsiTheme="majorEastAsia" w:eastAsiaTheme="majorEastAsia"/>
                <w:bCs/>
                <w:sz w:val="18"/>
                <w:szCs w:val="18"/>
              </w:rPr>
              <w:t>的费用和税收。</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产品终止日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674" w:type="dxa"/>
            <w:shd w:val="solid" w:color="FFFFFF" w:fill="FFFFFF"/>
            <w:vAlign w:val="center"/>
          </w:tcPr>
          <w:p>
            <w:pPr>
              <w:autoSpaceDE w:val="0"/>
              <w:autoSpaceDN w:val="0"/>
              <w:adjustRightInd w:val="0"/>
              <w:spacing w:line="360" w:lineRule="auto"/>
              <w:jc w:val="left"/>
              <w:rPr>
                <w:rFonts w:hAnsi="宋体"/>
                <w:sz w:val="18"/>
                <w:szCs w:val="18"/>
              </w:rPr>
            </w:pPr>
            <w:r>
              <w:rPr>
                <w:rFonts w:hAnsi="宋体"/>
                <w:sz w:val="18"/>
                <w:szCs w:val="18"/>
              </w:rPr>
              <w:t>1.业绩比较基准的设置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产品管理人设置业绩比较基准。</w:t>
            </w:r>
          </w:p>
          <w:p>
            <w:pPr>
              <w:autoSpaceDE w:val="0"/>
              <w:autoSpaceDN w:val="0"/>
              <w:adjustRightInd w:val="0"/>
              <w:spacing w:line="360" w:lineRule="auto"/>
              <w:jc w:val="left"/>
              <w:rPr>
                <w:rFonts w:asciiTheme="majorEastAsia" w:hAnsiTheme="majorEastAsia" w:eastAsia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宋体" w:hAnsi="宋体"/>
                <w:bCs/>
                <w:sz w:val="18"/>
                <w:szCs w:val="18"/>
              </w:rPr>
              <w:t>【产品投资债权类资产不低于80%，根据当前市场环境下大类资产合理配置比例及大类资产收益情况，考虑杠杆和费率等因素，并结合产品投资策略，设定业绩比较基准。</w:t>
            </w:r>
            <w:r>
              <w:rPr>
                <w:rFonts w:ascii="宋体" w:hAnsi="宋体"/>
                <w:bCs/>
                <w:sz w:val="18"/>
                <w:szCs w:val="18"/>
              </w:rPr>
              <w:t>】</w:t>
            </w:r>
          </w:p>
          <w:p>
            <w:pPr>
              <w:spacing w:line="360" w:lineRule="auto"/>
              <w:jc w:val="left"/>
              <w:rPr>
                <w:rFonts w:hint="eastAsia" w:asciiTheme="majorEastAsia" w:hAnsiTheme="majorEastAsia"/>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w:t>
            </w:r>
          </w:p>
          <w:p>
            <w:pPr>
              <w:autoSpaceDE w:val="0"/>
              <w:autoSpaceDN w:val="0"/>
              <w:adjustRightInd w:val="0"/>
              <w:spacing w:line="360" w:lineRule="auto"/>
              <w:jc w:val="left"/>
              <w:rPr>
                <w:rFonts w:hint="eastAsia" w:hAnsi="宋体"/>
                <w:color w:val="auto"/>
                <w:sz w:val="18"/>
                <w:szCs w:val="18"/>
              </w:rPr>
            </w:pPr>
            <w:r>
              <w:rPr>
                <w:rFonts w:hint="eastAsia" w:asciiTheme="majorEastAsia" w:hAnsiTheme="majorEastAsia"/>
                <w:color w:val="auto"/>
                <w:sz w:val="18"/>
                <w:lang w:val="en-US" w:eastAsia="zh-CN"/>
              </w:rPr>
              <w:t>年化</w:t>
            </w:r>
            <w:r>
              <w:rPr>
                <w:rFonts w:hint="eastAsia" w:ascii="宋体" w:hAnsi="宋体"/>
                <w:bCs/>
                <w:color w:val="auto"/>
                <w:sz w:val="18"/>
                <w:szCs w:val="18"/>
              </w:rPr>
              <w:t>【</w:t>
            </w:r>
            <w:r>
              <w:rPr>
                <w:rFonts w:hint="eastAsia" w:ascii="宋体" w:hAnsi="宋体"/>
                <w:bCs/>
                <w:color w:val="auto"/>
                <w:sz w:val="18"/>
                <w:szCs w:val="18"/>
                <w:lang w:val="en-US" w:eastAsia="zh-CN"/>
              </w:rPr>
              <w:t>2.25%</w:t>
            </w:r>
            <w:r>
              <w:rPr>
                <w:rFonts w:ascii="宋体" w:hAnsi="宋体"/>
                <w:bCs/>
                <w:color w:val="auto"/>
                <w:sz w:val="18"/>
                <w:szCs w:val="18"/>
              </w:rPr>
              <w:t>】</w:t>
            </w:r>
            <w:r>
              <w:rPr>
                <w:rFonts w:hint="eastAsia" w:hAnsi="宋体"/>
                <w:color w:val="auto"/>
                <w:sz w:val="18"/>
                <w:szCs w:val="18"/>
              </w:rPr>
              <w:t>（适用【</w:t>
            </w:r>
            <w:r>
              <w:rPr>
                <w:rFonts w:hint="eastAsia" w:hAnsi="宋体"/>
                <w:color w:val="auto"/>
                <w:sz w:val="18"/>
                <w:szCs w:val="18"/>
                <w:lang w:val="en-US" w:eastAsia="zh-CN"/>
              </w:rPr>
              <w:t>A】</w:t>
            </w:r>
            <w:r>
              <w:rPr>
                <w:rFonts w:hint="eastAsia" w:hAnsi="宋体"/>
                <w:color w:val="auto"/>
                <w:sz w:val="18"/>
                <w:szCs w:val="18"/>
              </w:rPr>
              <w:t>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w:t>
            </w:r>
            <w:r>
              <w:rPr>
                <w:rFonts w:hint="eastAsia" w:ascii="宋体" w:hAnsi="宋体"/>
                <w:bCs/>
                <w:color w:val="auto"/>
                <w:sz w:val="18"/>
                <w:szCs w:val="18"/>
              </w:rPr>
              <w:t>【</w:t>
            </w:r>
            <w:r>
              <w:rPr>
                <w:rFonts w:hint="eastAsia" w:ascii="宋体" w:hAnsi="宋体"/>
                <w:bCs/>
                <w:color w:val="auto"/>
                <w:sz w:val="18"/>
                <w:szCs w:val="18"/>
                <w:lang w:val="en-US" w:eastAsia="zh-CN"/>
              </w:rPr>
              <w:t>2.21%</w:t>
            </w:r>
            <w:r>
              <w:rPr>
                <w:rFonts w:ascii="宋体" w:hAnsi="宋体"/>
                <w:bCs/>
                <w:color w:val="auto"/>
                <w:sz w:val="18"/>
                <w:szCs w:val="18"/>
              </w:rPr>
              <w:t>】</w:t>
            </w:r>
            <w:r>
              <w:rPr>
                <w:rFonts w:hint="eastAsia" w:asciiTheme="majorEastAsia" w:hAnsiTheme="majorEastAsia"/>
                <w:color w:val="auto"/>
                <w:sz w:val="18"/>
                <w:lang w:val="en-US" w:eastAsia="zh-CN"/>
              </w:rPr>
              <w:t>（适用【B】类份额）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年化【2.16%】（适用【C】类份额）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年化【2.11%】（适用【D】类份额）</w:t>
            </w:r>
          </w:p>
          <w:p>
            <w:pPr>
              <w:autoSpaceDE w:val="0"/>
              <w:autoSpaceDN w:val="0"/>
              <w:adjustRightInd w:val="0"/>
              <w:spacing w:line="360" w:lineRule="auto"/>
              <w:jc w:val="left"/>
              <w:rPr>
                <w:rFonts w:hint="eastAsia" w:asciiTheme="majorEastAsia" w:hAnsiTheme="majorEastAsia"/>
                <w:color w:val="auto"/>
                <w:sz w:val="18"/>
                <w:lang w:val="en-US" w:eastAsia="zh-CN"/>
              </w:rPr>
            </w:pP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Theme="majorEastAsia" w:hAnsiTheme="majorEastAsia"/>
                <w:b/>
                <w:sz w:val="18"/>
              </w:rPr>
            </w:pPr>
            <w:r>
              <w:rPr>
                <w:rFonts w:hint="eastAsia" w:asciiTheme="majorEastAsia" w:hAnsiTheme="majorEastAsia"/>
                <w:b/>
                <w:sz w:val="18"/>
              </w:rPr>
              <w:t>（1）</w:t>
            </w:r>
            <w:r>
              <w:rPr>
                <w:rFonts w:hint="eastAsia" w:ascii="黑体" w:hAnsi="黑体" w:eastAsia="黑体"/>
                <w:sz w:val="18"/>
                <w:szCs w:val="18"/>
              </w:rPr>
              <w:t>★</w:t>
            </w:r>
            <w:r>
              <w:rPr>
                <w:rFonts w:hint="eastAsia" w:ascii="黑体" w:hAnsi="黑体" w:eastAsia="黑体"/>
                <w:sz w:val="18"/>
              </w:rPr>
              <w:t>业绩比较基准</w:t>
            </w:r>
            <w:r>
              <w:rPr>
                <w:rFonts w:hint="eastAsia" w:ascii="黑体" w:hAnsi="黑体" w:eastAsia="黑体"/>
                <w:bCs/>
                <w:sz w:val="18"/>
                <w:szCs w:val="18"/>
              </w:rPr>
              <w:t>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w:t>
            </w:r>
            <w:r>
              <w:rPr>
                <w:rFonts w:ascii="宋体" w:hAnsi="宋体"/>
                <w:b/>
                <w:sz w:val="18"/>
                <w:szCs w:val="18"/>
              </w:rPr>
              <w:t>基准</w:t>
            </w:r>
          </w:p>
        </w:tc>
        <w:tc>
          <w:tcPr>
            <w:tcW w:w="7674" w:type="dxa"/>
            <w:shd w:val="solid" w:color="FFFFFF" w:fill="FFFFFF"/>
            <w:vAlign w:val="center"/>
          </w:tcPr>
          <w:p>
            <w:pPr>
              <w:spacing w:line="360" w:lineRule="auto"/>
              <w:jc w:val="left"/>
              <w:rPr>
                <w:rFonts w:hAnsi="宋体"/>
                <w:bCs/>
                <w:sz w:val="18"/>
                <w:szCs w:val="18"/>
              </w:rPr>
            </w:pPr>
            <w:r>
              <w:rPr>
                <w:rFonts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 xml:space="preserve"> </w:t>
            </w:r>
            <w:r>
              <w:rPr>
                <w:rFonts w:hint="eastAsia" w:asciiTheme="majorEastAsia" w:hAnsiTheme="majorEastAsia" w:eastAsiaTheme="majorEastAsia"/>
                <w:kern w:val="0"/>
                <w:sz w:val="18"/>
                <w:szCs w:val="18"/>
              </w:rPr>
              <w:t>产品管理人设置业绩报酬计提基准。</w:t>
            </w:r>
          </w:p>
          <w:p>
            <w:pPr>
              <w:spacing w:line="360" w:lineRule="auto"/>
              <w:jc w:val="left"/>
              <w:rPr>
                <w:rFonts w:hint="eastAsia" w:ascii="宋体" w:hAnsi="宋体"/>
                <w:bCs/>
                <w:sz w:val="18"/>
                <w:szCs w:val="18"/>
              </w:rPr>
            </w:pPr>
            <w:r>
              <w:rPr>
                <w:rFonts w:ascii="宋体" w:hAnsi="宋体"/>
                <w:bCs/>
                <w:sz w:val="18"/>
                <w:szCs w:val="18"/>
              </w:rPr>
              <w:t>业绩报酬计提基准的设定</w:t>
            </w:r>
            <w:r>
              <w:rPr>
                <w:rFonts w:hint="eastAsia" w:ascii="宋体" w:hAnsi="宋体"/>
                <w:bCs/>
                <w:sz w:val="18"/>
                <w:szCs w:val="18"/>
              </w:rPr>
              <w:t>：管理人</w:t>
            </w:r>
            <w:r>
              <w:rPr>
                <w:rFonts w:ascii="宋体" w:hAnsi="宋体"/>
                <w:bCs/>
                <w:sz w:val="18"/>
                <w:szCs w:val="18"/>
              </w:rPr>
              <w:t>对本产品设定</w:t>
            </w:r>
            <w:r>
              <w:rPr>
                <w:rFonts w:hint="eastAsia" w:ascii="宋体" w:hAnsi="宋体"/>
                <w:bCs/>
                <w:sz w:val="18"/>
                <w:szCs w:val="18"/>
              </w:rPr>
              <w:t>业绩报酬计提基准：</w:t>
            </w:r>
          </w:p>
          <w:p>
            <w:pPr>
              <w:autoSpaceDE w:val="0"/>
              <w:autoSpaceDN w:val="0"/>
              <w:adjustRightInd w:val="0"/>
              <w:spacing w:line="360" w:lineRule="auto"/>
              <w:jc w:val="left"/>
              <w:rPr>
                <w:rFonts w:hint="eastAsia" w:hAnsi="宋体"/>
                <w:color w:val="auto"/>
                <w:sz w:val="18"/>
                <w:szCs w:val="18"/>
              </w:rPr>
            </w:pPr>
            <w:r>
              <w:rPr>
                <w:rFonts w:hint="eastAsia" w:asciiTheme="majorEastAsia" w:hAnsiTheme="majorEastAsia"/>
                <w:color w:val="auto"/>
                <w:sz w:val="18"/>
                <w:lang w:val="en-US" w:eastAsia="zh-CN"/>
              </w:rPr>
              <w:t>年化</w:t>
            </w:r>
            <w:r>
              <w:rPr>
                <w:rFonts w:hint="eastAsia" w:ascii="宋体" w:hAnsi="宋体"/>
                <w:bCs/>
                <w:color w:val="auto"/>
                <w:sz w:val="18"/>
                <w:szCs w:val="18"/>
              </w:rPr>
              <w:t>【</w:t>
            </w:r>
            <w:r>
              <w:rPr>
                <w:rFonts w:hint="eastAsia" w:ascii="宋体" w:hAnsi="宋体"/>
                <w:bCs/>
                <w:color w:val="auto"/>
                <w:sz w:val="18"/>
                <w:szCs w:val="18"/>
                <w:lang w:val="en-US" w:eastAsia="zh-CN"/>
              </w:rPr>
              <w:t>2.25%</w:t>
            </w:r>
            <w:r>
              <w:rPr>
                <w:rFonts w:ascii="宋体" w:hAnsi="宋体"/>
                <w:bCs/>
                <w:color w:val="auto"/>
                <w:sz w:val="18"/>
                <w:szCs w:val="18"/>
              </w:rPr>
              <w:t>】</w:t>
            </w:r>
            <w:r>
              <w:rPr>
                <w:rFonts w:hint="eastAsia" w:hAnsi="宋体"/>
                <w:color w:val="auto"/>
                <w:sz w:val="18"/>
                <w:szCs w:val="18"/>
              </w:rPr>
              <w:t>（适用【</w:t>
            </w:r>
            <w:r>
              <w:rPr>
                <w:rFonts w:hint="eastAsia" w:hAnsi="宋体"/>
                <w:color w:val="auto"/>
                <w:sz w:val="18"/>
                <w:szCs w:val="18"/>
                <w:lang w:val="en-US" w:eastAsia="zh-CN"/>
              </w:rPr>
              <w:t>A】</w:t>
            </w:r>
            <w:r>
              <w:rPr>
                <w:rFonts w:hint="eastAsia" w:hAnsi="宋体"/>
                <w:color w:val="auto"/>
                <w:sz w:val="18"/>
                <w:szCs w:val="18"/>
              </w:rPr>
              <w:t>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w:t>
            </w:r>
            <w:r>
              <w:rPr>
                <w:rFonts w:hint="eastAsia" w:ascii="宋体" w:hAnsi="宋体"/>
                <w:bCs/>
                <w:color w:val="auto"/>
                <w:sz w:val="18"/>
                <w:szCs w:val="18"/>
              </w:rPr>
              <w:t>【</w:t>
            </w:r>
            <w:r>
              <w:rPr>
                <w:rFonts w:hint="eastAsia" w:ascii="宋体" w:hAnsi="宋体"/>
                <w:bCs/>
                <w:color w:val="auto"/>
                <w:sz w:val="18"/>
                <w:szCs w:val="18"/>
                <w:lang w:val="en-US" w:eastAsia="zh-CN"/>
              </w:rPr>
              <w:t>2.21%</w:t>
            </w:r>
            <w:r>
              <w:rPr>
                <w:rFonts w:ascii="宋体" w:hAnsi="宋体"/>
                <w:bCs/>
                <w:color w:val="auto"/>
                <w:sz w:val="18"/>
                <w:szCs w:val="18"/>
              </w:rPr>
              <w:t>】</w:t>
            </w:r>
            <w:r>
              <w:rPr>
                <w:rFonts w:hint="eastAsia" w:asciiTheme="majorEastAsia" w:hAnsiTheme="majorEastAsia"/>
                <w:color w:val="auto"/>
                <w:sz w:val="18"/>
                <w:lang w:val="en-US" w:eastAsia="zh-CN"/>
              </w:rPr>
              <w:t>（适用【B】类份额）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年化【2.16%】（适用【C】类份额）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年化【2.11%】（适用【D】类份额）</w:t>
            </w:r>
          </w:p>
          <w:p>
            <w:pPr>
              <w:autoSpaceDE w:val="0"/>
              <w:autoSpaceDN w:val="0"/>
              <w:adjustRightInd w:val="0"/>
              <w:spacing w:line="360" w:lineRule="auto"/>
              <w:jc w:val="left"/>
              <w:rPr>
                <w:rFonts w:hint="eastAsia" w:hAnsi="宋体"/>
                <w:sz w:val="18"/>
                <w:szCs w:val="18"/>
              </w:rPr>
            </w:pPr>
          </w:p>
          <w:p>
            <w:pPr>
              <w:spacing w:line="360" w:lineRule="auto"/>
              <w:jc w:val="left"/>
              <w:rPr>
                <w:rFonts w:ascii="宋体" w:hAnsi="宋体"/>
                <w:bCs/>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sz w:val="18"/>
              </w:rPr>
            </w:pPr>
            <w:r>
              <w:rPr>
                <w:rFonts w:hint="eastAsia" w:ascii="黑体" w:hAnsi="黑体" w:eastAsia="黑体"/>
                <w:sz w:val="18"/>
              </w:rPr>
              <w:t>（</w:t>
            </w:r>
            <w:r>
              <w:rPr>
                <w:rFonts w:ascii="黑体" w:hAnsi="黑体" w:eastAsia="黑体"/>
                <w:sz w:val="18"/>
              </w:rPr>
              <w:t>1）</w:t>
            </w:r>
            <w:r>
              <w:rPr>
                <w:rFonts w:hint="eastAsia" w:ascii="黑体" w:hAnsi="黑体" w:eastAsia="黑体"/>
                <w:sz w:val="18"/>
                <w:szCs w:val="18"/>
              </w:rPr>
              <w:t>★</w:t>
            </w:r>
            <w:r>
              <w:rPr>
                <w:rFonts w:hint="eastAsia" w:ascii="黑体" w:hAnsi="黑体" w:eastAsia="黑体"/>
                <w:sz w:val="18"/>
              </w:rPr>
              <w:t>业绩报酬计提基准仅作为管理人计算超额业绩报酬的参照标准</w:t>
            </w:r>
            <w:r>
              <w:rPr>
                <w:rFonts w:hint="eastAsia" w:ascii="黑体" w:hAnsi="黑体" w:eastAsia="黑体"/>
                <w:bCs/>
                <w:sz w:val="18"/>
                <w:szCs w:val="18"/>
              </w:rPr>
              <w:t>。业绩报酬计提基准不是预期收益率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67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674" w:type="dxa"/>
            <w:shd w:val="solid" w:color="FFFFFF" w:fill="FFFFFF"/>
            <w:vAlign w:val="center"/>
          </w:tcPr>
          <w:p>
            <w:pPr>
              <w:spacing w:line="360" w:lineRule="auto"/>
              <w:rPr>
                <w:rFonts w:ascii="黑体" w:hAnsi="黑体" w:eastAsia="黑体"/>
                <w:bCs/>
                <w:color w:val="000000" w:themeColor="text1"/>
                <w:sz w:val="18"/>
                <w:szCs w:val="18"/>
                <w14:textFill>
                  <w14:solidFill>
                    <w14:schemeClr w14:val="tx1"/>
                  </w14:solidFill>
                </w14:textFill>
              </w:rPr>
            </w:pPr>
            <w:r>
              <w:rPr>
                <w:rFonts w:ascii="黑体" w:hAnsi="黑体" w:eastAsia="黑体"/>
                <w:bCs/>
                <w:color w:val="000000" w:themeColor="text1"/>
                <w:sz w:val="18"/>
                <w:szCs w:val="18"/>
                <w14:textFill>
                  <w14:solidFill>
                    <w14:schemeClr w14:val="tx1"/>
                  </w14:solidFill>
                </w14:textFill>
              </w:rPr>
              <w:t>1.理财产品的费率标准</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1）认购费：</w:t>
            </w:r>
            <w:r>
              <w:rPr>
                <w:rFonts w:hint="eastAsia"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lang w:val="en-US" w:eastAsia="zh-CN"/>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hint="eastAsia"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2）销售服</w:t>
            </w:r>
            <w:r>
              <w:rPr>
                <w:rFonts w:hint="eastAsia" w:ascii="黑体" w:hAnsi="黑体" w:eastAsia="黑体"/>
                <w:bCs/>
                <w:color w:val="000000" w:themeColor="text1"/>
                <w:sz w:val="18"/>
                <w:szCs w:val="18"/>
                <w14:textFill>
                  <w14:solidFill>
                    <w14:schemeClr w14:val="tx1"/>
                  </w14:solidFill>
                </w14:textFill>
              </w:rPr>
              <w:t>务费：</w:t>
            </w:r>
          </w:p>
          <w:p>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0.06</w:t>
            </w:r>
            <w:r>
              <w:rPr>
                <w:rFonts w:hint="eastAsia" w:asciiTheme="majorEastAsia" w:hAnsiTheme="majorEastAsia" w:eastAsiaTheme="majorEastAsia"/>
                <w:bCs/>
                <w:color w:val="auto"/>
                <w:sz w:val="18"/>
                <w:szCs w:val="18"/>
                <w:lang w:val="en-US" w:eastAsia="zh-CN"/>
              </w:rPr>
              <w:t>%</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A</w:t>
            </w:r>
            <w:r>
              <w:rPr>
                <w:rFonts w:hint="eastAsia" w:asciiTheme="majorEastAsia" w:hAnsiTheme="majorEastAsia" w:eastAsiaTheme="majorEastAsia"/>
                <w:bCs/>
                <w:color w:val="auto"/>
                <w:sz w:val="18"/>
                <w:szCs w:val="18"/>
              </w:rPr>
              <w:t>】类份额）</w:t>
            </w:r>
          </w:p>
          <w:p>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0.10</w:t>
            </w:r>
            <w:r>
              <w:rPr>
                <w:rFonts w:hint="eastAsia" w:asciiTheme="majorEastAsia" w:hAnsiTheme="majorEastAsia" w:eastAsiaTheme="majorEastAsia"/>
                <w:bCs/>
                <w:color w:val="auto"/>
                <w:sz w:val="18"/>
                <w:szCs w:val="18"/>
                <w:lang w:val="en-US" w:eastAsia="zh-CN"/>
              </w:rPr>
              <w:t>%</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B</w:t>
            </w:r>
            <w:r>
              <w:rPr>
                <w:rFonts w:hint="eastAsia" w:asciiTheme="majorEastAsia" w:hAnsiTheme="majorEastAsia" w:eastAsiaTheme="majorEastAsia"/>
                <w:bCs/>
                <w:color w:val="auto"/>
                <w:sz w:val="18"/>
                <w:szCs w:val="18"/>
              </w:rPr>
              <w:t>】类份额）</w:t>
            </w:r>
          </w:p>
          <w:p>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0.15</w:t>
            </w:r>
            <w:r>
              <w:rPr>
                <w:rFonts w:hint="eastAsia" w:asciiTheme="majorEastAsia" w:hAnsiTheme="majorEastAsia" w:eastAsiaTheme="majorEastAsia"/>
                <w:bCs/>
                <w:color w:val="auto"/>
                <w:sz w:val="18"/>
                <w:szCs w:val="18"/>
                <w:lang w:val="en-US" w:eastAsia="zh-CN"/>
              </w:rPr>
              <w:t>%</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C</w:t>
            </w:r>
            <w:r>
              <w:rPr>
                <w:rFonts w:hint="eastAsia" w:asciiTheme="majorEastAsia" w:hAnsiTheme="majorEastAsia" w:eastAsiaTheme="majorEastAsia"/>
                <w:bCs/>
                <w:color w:val="auto"/>
                <w:sz w:val="18"/>
                <w:szCs w:val="18"/>
              </w:rPr>
              <w:t>】类份额）</w:t>
            </w:r>
          </w:p>
          <w:p>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0.20</w:t>
            </w:r>
            <w:r>
              <w:rPr>
                <w:rFonts w:hint="eastAsia" w:asciiTheme="majorEastAsia" w:hAnsiTheme="majorEastAsia" w:eastAsiaTheme="majorEastAsia"/>
                <w:bCs/>
                <w:color w:val="auto"/>
                <w:sz w:val="18"/>
                <w:szCs w:val="18"/>
                <w:lang w:val="en-US" w:eastAsia="zh-CN"/>
              </w:rPr>
              <w:t>%</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D</w:t>
            </w:r>
            <w:r>
              <w:rPr>
                <w:rFonts w:hint="eastAsia" w:asciiTheme="majorEastAsia" w:hAnsiTheme="majorEastAsia" w:eastAsiaTheme="majorEastAsia"/>
                <w:bCs/>
                <w:color w:val="auto"/>
                <w:sz w:val="18"/>
                <w:szCs w:val="18"/>
              </w:rPr>
              <w:t>】类份额）</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3）投资管理费：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0.01%</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4）产品托管费：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0.01%</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5）超额业绩报酬：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sz w:val="18"/>
                <w:szCs w:val="18"/>
                <w:lang w:val="en-US" w:eastAsia="zh-CN"/>
              </w:rPr>
              <w:t>50%</w:t>
            </w:r>
            <w:r>
              <w:rPr>
                <w:rFonts w:hint="eastAsia" w:ascii="宋体" w:hAnsi="宋体"/>
                <w:sz w:val="18"/>
                <w:szCs w:val="18"/>
              </w:rPr>
              <w:t>】作为超额业绩报酬。</w:t>
            </w:r>
          </w:p>
          <w:p>
            <w:pPr>
              <w:spacing w:line="360" w:lineRule="auto"/>
              <w:rPr>
                <w:rFonts w:ascii="黑体" w:hAnsi="黑体" w:eastAsia="黑体"/>
                <w:bCs/>
                <w:sz w:val="18"/>
                <w:szCs w:val="18"/>
              </w:rPr>
            </w:pPr>
            <w:r>
              <w:rPr>
                <w:rFonts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67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4" w:name="_Toc176189755"/>
      <w:bookmarkStart w:id="5" w:name="_Toc79154666"/>
      <w:r>
        <w:rPr>
          <w:rFonts w:ascii="Times New Roman"/>
          <w:sz w:val="30"/>
        </w:rPr>
        <w:t>第</w:t>
      </w:r>
      <w:r>
        <w:rPr>
          <w:rFonts w:hint="eastAsia" w:ascii="Times New Roman"/>
          <w:sz w:val="30"/>
        </w:rPr>
        <w:t>三条</w:t>
      </w:r>
      <w:r>
        <w:rPr>
          <w:rFonts w:ascii="Times New Roman"/>
          <w:sz w:val="30"/>
        </w:rPr>
        <w:t xml:space="preserve">  </w:t>
      </w:r>
      <w:bookmarkStart w:id="6" w:name="_Toc79392573"/>
      <w:r>
        <w:rPr>
          <w:rFonts w:hint="eastAsia" w:ascii="Times New Roman"/>
          <w:sz w:val="30"/>
        </w:rPr>
        <w:t>理财产品的认购</w:t>
      </w:r>
      <w:bookmarkEnd w:id="4"/>
      <w:bookmarkEnd w:id="5"/>
    </w:p>
    <w:p>
      <w:pPr>
        <w:spacing w:line="360" w:lineRule="auto"/>
        <w:ind w:firstLine="361" w:firstLineChars="200"/>
        <w:rPr>
          <w:rFonts w:asciiTheme="minorEastAsia" w:hAnsiTheme="minorEastAsia"/>
          <w:b/>
          <w:bCs/>
          <w:sz w:val="18"/>
          <w:szCs w:val="18"/>
        </w:rPr>
      </w:pPr>
      <w:bookmarkStart w:id="7" w:name="_Hlt88031774"/>
      <w:bookmarkEnd w:id="7"/>
      <w:bookmarkStart w:id="8"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spacing w:line="360" w:lineRule="auto"/>
        <w:ind w:firstLine="360" w:firstLineChars="200"/>
        <w:rPr>
          <w:rFonts w:asciiTheme="minorEastAsia" w:hAnsiTheme="minorEastAsia"/>
          <w:bCs/>
          <w:kern w:val="0"/>
          <w:sz w:val="18"/>
          <w:szCs w:val="18"/>
        </w:rPr>
      </w:pPr>
      <w:r>
        <w:rPr>
          <w:rFonts w:hint="eastAsia" w:asciiTheme="minorEastAsia" w:hAnsiTheme="minorEastAsia"/>
          <w:bCs/>
          <w:sz w:val="18"/>
          <w:szCs w:val="18"/>
        </w:rPr>
        <w:t>认购期/募集期内投资者可</w:t>
      </w:r>
      <w:r>
        <w:rPr>
          <w:rFonts w:hint="eastAsia" w:asciiTheme="minorEastAsia" w:hAnsiTheme="minorEastAsia"/>
          <w:bCs/>
          <w:kern w:val="0"/>
          <w:sz w:val="18"/>
          <w:szCs w:val="18"/>
        </w:rPr>
        <w:t>提交认购申请</w:t>
      </w:r>
      <w:r>
        <w:rPr>
          <w:rFonts w:hint="eastAsia" w:asciiTheme="minorEastAsia" w:hAnsiTheme="minorEastAsia"/>
          <w:bCs/>
          <w:sz w:val="18"/>
          <w:szCs w:val="18"/>
        </w:rPr>
        <w:t>。</w:t>
      </w:r>
      <w:r>
        <w:rPr>
          <w:rFonts w:hint="eastAsia" w:asciiTheme="minorEastAsia" w:hAnsiTheme="minorEastAsia"/>
          <w:bCs/>
          <w:kern w:val="0"/>
          <w:sz w:val="18"/>
          <w:szCs w:val="18"/>
        </w:rPr>
        <w:t>提交认购申请并不代表认购成功，产品管理人将在认购确认日确认投资者是否认购成功，是否成功以管理人的确认结果为准。</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bookmarkEnd w:id="6"/>
    <w:bookmarkEnd w:id="8"/>
    <w:p>
      <w:pPr>
        <w:pStyle w:val="2"/>
        <w:spacing w:before="0" w:after="0" w:line="360" w:lineRule="auto"/>
        <w:jc w:val="center"/>
        <w:rPr>
          <w:rFonts w:ascii="Times New Roman"/>
          <w:sz w:val="30"/>
        </w:rPr>
      </w:pPr>
      <w:bookmarkStart w:id="9" w:name="_Toc176189756"/>
      <w:bookmarkStart w:id="10" w:name="_Toc4771"/>
      <w:bookmarkStart w:id="11" w:name="_Toc29948"/>
      <w:bookmarkStart w:id="12" w:name="_Toc7151"/>
      <w:bookmarkStart w:id="13" w:name="_Toc74065741"/>
      <w:bookmarkStart w:id="14" w:name="_Toc16265"/>
      <w:bookmarkStart w:id="15" w:name="_Toc22074"/>
      <w:bookmarkStart w:id="16" w:name="_Toc90742390"/>
      <w:bookmarkStart w:id="17" w:name="_Toc29784"/>
      <w:bookmarkStart w:id="18" w:name="_Toc6714"/>
      <w:bookmarkStart w:id="19" w:name="_Toc27226"/>
      <w:bookmarkStart w:id="20" w:name="_Toc79154668"/>
      <w:bookmarkStart w:id="21" w:name="_Toc90742688"/>
      <w:bookmarkStart w:id="22" w:name="_Toc27189"/>
      <w:bookmarkStart w:id="23" w:name="_Toc90742321"/>
      <w:bookmarkStart w:id="24" w:name="_Toc15203"/>
      <w:bookmarkStart w:id="25" w:name="_Toc3266"/>
      <w:r>
        <w:rPr>
          <w:rFonts w:ascii="Times New Roman"/>
          <w:sz w:val="30"/>
        </w:rPr>
        <w:t>第</w:t>
      </w:r>
      <w:r>
        <w:rPr>
          <w:rFonts w:hint="eastAsia" w:ascii="Times New Roman"/>
          <w:sz w:val="30"/>
        </w:rPr>
        <w:t>四条</w:t>
      </w:r>
      <w:r>
        <w:rPr>
          <w:rFonts w:ascii="Times New Roman"/>
          <w:sz w:val="30"/>
        </w:rPr>
        <w:t xml:space="preserve">  </w:t>
      </w:r>
      <w:r>
        <w:rPr>
          <w:rFonts w:hint="eastAsia" w:ascii="Times New Roman"/>
          <w:sz w:val="30"/>
        </w:rPr>
        <w:t>理财产品的申购与赎回</w:t>
      </w:r>
      <w:bookmarkEnd w:id="9"/>
      <w:bookmarkEnd w:id="10"/>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本产品为封闭式产品，不设置申购与赎回。</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6" w:name="_Toc176189757"/>
      <w:r>
        <w:rPr>
          <w:rFonts w:ascii="Times New Roman"/>
          <w:sz w:val="30"/>
        </w:rPr>
        <w:t>第五</w:t>
      </w:r>
      <w:r>
        <w:rPr>
          <w:rFonts w:hint="eastAsia" w:ascii="Times New Roman"/>
          <w:sz w:val="30"/>
        </w:rPr>
        <w:t>条</w:t>
      </w:r>
      <w:r>
        <w:rPr>
          <w:rFonts w:ascii="Times New Roman"/>
          <w:sz w:val="30"/>
        </w:rPr>
        <w:t xml:space="preserve">  </w:t>
      </w:r>
      <w:r>
        <w:rPr>
          <w:rFonts w:hint="eastAsia" w:ascii="Times New Roman"/>
          <w:sz w:val="30"/>
        </w:rPr>
        <w:t>理财产品的投资</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pStyle w:val="34"/>
        <w:spacing w:line="360" w:lineRule="auto"/>
        <w:ind w:firstLine="360" w:firstLineChars="200"/>
        <w:rPr>
          <w:rFonts w:hint="eastAsia" w:asciiTheme="majorEastAsia" w:hAnsiTheme="majorEastAsia" w:eastAsiaTheme="majorEastAsia"/>
          <w:bCs/>
          <w:color w:val="auto"/>
          <w:sz w:val="18"/>
          <w:szCs w:val="18"/>
        </w:rPr>
      </w:pPr>
      <w:permStart w:id="15" w:edGrp="everyone"/>
      <w:r>
        <w:rPr>
          <w:rFonts w:hint="eastAsia" w:asciiTheme="majorEastAsia" w:hAnsiTheme="majorEastAsia" w:eastAsiaTheme="majorEastAsia"/>
          <w:bCs/>
          <w:color w:val="auto"/>
          <w:sz w:val="18"/>
          <w:szCs w:val="18"/>
        </w:rPr>
        <w:t>（1）银行存款、债券逆回购、货币基金等货币市场工具及其它银行间和交易所资金融通工具；</w:t>
      </w:r>
    </w:p>
    <w:p>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国债、金融债、地方政府债、央行票据、同业存单、短期融资券、超短期融资券、中期票据、企业债、公司债、非公开定向债务融资工具、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（3）符合监管要求的债权类资产。</w:t>
      </w:r>
    </w:p>
    <w:p>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sz w:val="18"/>
          <w:szCs w:val="18"/>
        </w:rPr>
        <w:t>（4）</w:t>
      </w:r>
      <w:r>
        <w:rPr>
          <w:rFonts w:hint="eastAsia" w:asciiTheme="majorEastAsia" w:hAnsiTheme="majorEastAsia" w:eastAsiaTheme="majorEastAsia"/>
          <w:bCs/>
          <w:color w:val="auto"/>
          <w:sz w:val="18"/>
          <w:szCs w:val="18"/>
        </w:rPr>
        <w:t>投资于上述资产的资产管理产品，包括资金信托，证券公司、证券公司子公司、基金管理公</w:t>
      </w:r>
    </w:p>
    <w:p>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司、基金管理子公司、期货公司、期货公司子公司、保险资产管理机构、金融资产投资公司发行的</w:t>
      </w:r>
    </w:p>
    <w:p>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资产管理产品等（投资于上述资产的资产管理产品的管理人可以聘请符合法律法规规定的投资顾问）；</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【（1）本产品投资于债权类资产的比例不低于产品总资产的80%。</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w:t>
      </w:r>
      <w:r>
        <w:rPr>
          <w:rFonts w:hint="eastAsia" w:asciiTheme="majorEastAsia" w:hAnsiTheme="majorEastAsia" w:eastAsiaTheme="majorEastAsia"/>
          <w:bCs/>
          <w:sz w:val="18"/>
          <w:szCs w:val="18"/>
        </w:rPr>
        <w:t>符合监管要求的非标准化债权类资产占产品净资产比例不高于50%</w:t>
      </w:r>
      <w:r>
        <w:rPr>
          <w:rFonts w:hint="eastAsia" w:asciiTheme="majorEastAsia" w:hAnsiTheme="majorEastAsia" w:eastAsiaTheme="majorEastAsia"/>
          <w:bCs/>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
          <w:bCs/>
          <w:kern w:val="0"/>
          <w:sz w:val="18"/>
          <w:szCs w:val="18"/>
        </w:rPr>
        <w:t>注：本产品可能投资不存在活跃交易市场，并且需要采用估值技术确定公允价值的资产，且投资上述资产的比例达到理财产品净资产50%以上。</w:t>
      </w:r>
      <w:r>
        <w:rPr>
          <w:rFonts w:hint="eastAsia" w:asciiTheme="majorEastAsia" w:hAnsiTheme="majorEastAsia" w:eastAsiaTheme="majorEastAsia"/>
          <w:bCs/>
          <w:kern w:val="0"/>
          <w:sz w:val="18"/>
          <w:szCs w:val="18"/>
        </w:rPr>
        <w:t>】</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w:t>
      </w:r>
      <w:r>
        <w:rPr>
          <w:rFonts w:asciiTheme="majorEastAsia" w:hAnsiTheme="majorEastAsia" w:eastAsiaTheme="majorEastAsia"/>
          <w:bCs/>
          <w:sz w:val="18"/>
          <w:szCs w:val="18"/>
        </w:rPr>
        <w:t>销售文件</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w:t>
      </w:r>
      <w:r>
        <w:rPr>
          <w:rFonts w:asciiTheme="majorEastAsia" w:hAnsiTheme="majorEastAsia" w:eastAsiaTheme="majorEastAsia"/>
          <w:bCs/>
          <w:sz w:val="18"/>
          <w:szCs w:val="18"/>
        </w:rPr>
        <w:t>销售文件的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产品管理人应当根据市场情况调整投资范围、投资资产种类或投资比例，并进行相应公告。高风险类型的理财产品超出比例范围投资较低风险资产的，</w:t>
      </w:r>
      <w:r>
        <w:rPr>
          <w:rFonts w:ascii="黑体" w:hAnsi="黑体" w:eastAsia="黑体"/>
          <w:bCs/>
          <w:sz w:val="18"/>
          <w:szCs w:val="18"/>
        </w:rPr>
        <w:t>无需投资者</w:t>
      </w:r>
      <w:r>
        <w:rPr>
          <w:rFonts w:hint="eastAsia" w:ascii="黑体" w:hAnsi="黑体" w:eastAsia="黑体"/>
          <w:bCs/>
          <w:sz w:val="18"/>
          <w:szCs w:val="18"/>
        </w:rPr>
        <w:t>书面</w:t>
      </w:r>
      <w:r>
        <w:rPr>
          <w:rFonts w:ascii="黑体" w:hAnsi="黑体" w:eastAsia="黑体"/>
          <w:bCs/>
          <w:sz w:val="18"/>
          <w:szCs w:val="18"/>
        </w:rPr>
        <w:t>同意</w:t>
      </w:r>
      <w:r>
        <w:rPr>
          <w:rFonts w:hint="eastAsia" w:ascii="黑体" w:hAnsi="黑体" w:eastAsia="黑体"/>
          <w:bCs/>
          <w:sz w:val="18"/>
          <w:szCs w:val="18"/>
        </w:rPr>
        <w:t>。</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按照本销售文件及其他相关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sz w:val="18"/>
          <w:szCs w:val="18"/>
        </w:rPr>
      </w:pPr>
      <w:permStart w:id="18" w:edGrp="everyone"/>
      <w:r>
        <w:rPr>
          <w:rFonts w:hint="eastAsia" w:asciiTheme="majorEastAsia" w:hAnsiTheme="majorEastAsia" w:eastAsiaTheme="majorEastAsia"/>
          <w:bCs/>
          <w:sz w:val="18"/>
          <w:szCs w:val="18"/>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（4）全部开放式公募理财产品投资单一上市公司发行的股票不得超过该上市公司可流通股票的15%。 </w:t>
      </w:r>
    </w:p>
    <w:p>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（5）本产品因为流动性需要可开展存单质押、债券正回购等融资业务，本产品总资产不超过净资产的200%。</w:t>
      </w:r>
    </w:p>
    <w:p>
      <w:pPr>
        <w:spacing w:line="360" w:lineRule="auto"/>
        <w:ind w:firstLine="360" w:firstLineChars="200"/>
        <w:rPr>
          <w:rFonts w:hint="eastAsia" w:asciiTheme="majorEastAsia" w:hAnsiTheme="majorEastAsia" w:eastAsiaTheme="majorEastAsia"/>
          <w:bCs/>
          <w:sz w:val="18"/>
          <w:szCs w:val="18"/>
          <w:lang w:eastAsia="zh-CN"/>
        </w:rPr>
      </w:pPr>
      <w:r>
        <w:rPr>
          <w:rFonts w:hint="eastAsia" w:asciiTheme="majorEastAsia" w:hAnsiTheme="majorEastAsia" w:eastAsiaTheme="majorEastAsia"/>
          <w:bCs/>
          <w:sz w:val="18"/>
          <w:szCs w:val="18"/>
          <w:lang w:eastAsia="zh-CN"/>
        </w:rPr>
        <w:t>（</w:t>
      </w:r>
      <w:r>
        <w:rPr>
          <w:rFonts w:hint="eastAsia" w:asciiTheme="majorEastAsia" w:hAnsiTheme="majorEastAsia" w:eastAsiaTheme="majorEastAsia"/>
          <w:bCs/>
          <w:sz w:val="18"/>
          <w:szCs w:val="18"/>
          <w:lang w:val="en-US" w:eastAsia="zh-CN"/>
        </w:rPr>
        <w:t>6</w:t>
      </w:r>
      <w:r>
        <w:rPr>
          <w:rFonts w:hint="eastAsia" w:asciiTheme="majorEastAsia" w:hAnsiTheme="majorEastAsia" w:eastAsiaTheme="majorEastAsia"/>
          <w:bCs/>
          <w:sz w:val="18"/>
          <w:szCs w:val="18"/>
          <w:lang w:eastAsia="zh-CN"/>
        </w:rPr>
        <w:t>）本产品投资于信用债券、银行存款、非标准化债权类资产融资人的信用评级均不得低于AA+。</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如果法律法规对本销售文件约定的投资限制进行变更的，以变更后的规定为准。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sz w:val="18"/>
          <w:szCs w:val="18"/>
        </w:rPr>
      </w:pPr>
      <w:permStart w:id="19" w:edGrp="everyone"/>
      <w:r>
        <w:rPr>
          <w:rFonts w:hint="eastAsia" w:asciiTheme="majorEastAsia" w:hAnsiTheme="majorEastAsia" w:eastAsiaTheme="majorEastAsia"/>
          <w:sz w:val="18"/>
          <w:szCs w:val="18"/>
        </w:rPr>
        <w:t>【产品采取绝对收益策略，追求资产长期稳定增值。】</w:t>
      </w:r>
    </w:p>
    <w:permEnd w:id="19"/>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7" w:name="_Toc141703885"/>
      <w:bookmarkStart w:id="28" w:name="_Toc139991735"/>
      <w:bookmarkStart w:id="29" w:name="_Toc18329"/>
      <w:bookmarkStart w:id="30" w:name="_Toc1823"/>
      <w:bookmarkStart w:id="31" w:name="_Toc26986"/>
      <w:bookmarkStart w:id="32" w:name="_Toc18797"/>
      <w:bookmarkStart w:id="33" w:name="_Toc4741"/>
      <w:bookmarkStart w:id="34" w:name="_Toc176189758"/>
      <w:bookmarkStart w:id="35" w:name="_Toc14893"/>
      <w:bookmarkStart w:id="36" w:name="_Toc18526"/>
      <w:bookmarkStart w:id="37" w:name="_Toc17912"/>
      <w:bookmarkStart w:id="38" w:name="_Toc79154669"/>
      <w:bookmarkStart w:id="39" w:name="_Toc21988"/>
      <w:bookmarkStart w:id="40" w:name="_Toc74065742"/>
      <w:bookmarkStart w:id="41" w:name="_Toc7848"/>
      <w:r>
        <w:rPr>
          <w:rFonts w:ascii="Times New Roman"/>
          <w:sz w:val="30"/>
        </w:rPr>
        <w:t>第六</w:t>
      </w:r>
      <w:r>
        <w:rPr>
          <w:rFonts w:hint="eastAsia" w:ascii="Times New Roman"/>
          <w:sz w:val="30"/>
        </w:rPr>
        <w:t>条</w:t>
      </w:r>
      <w:r>
        <w:rPr>
          <w:rFonts w:ascii="Times New Roman"/>
          <w:sz w:val="30"/>
        </w:rPr>
        <w:t xml:space="preserve">  </w:t>
      </w:r>
      <w:r>
        <w:rPr>
          <w:rFonts w:hint="eastAsia" w:ascii="Times New Roman"/>
          <w:sz w:val="30"/>
        </w:rPr>
        <w:t>理财产品的资产</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bookmarkStart w:id="42"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2"/>
    <w:p>
      <w:pPr>
        <w:pStyle w:val="2"/>
        <w:spacing w:before="0" w:after="0" w:line="360" w:lineRule="auto"/>
        <w:jc w:val="center"/>
        <w:rPr>
          <w:rFonts w:ascii="Times New Roman"/>
          <w:sz w:val="30"/>
        </w:rPr>
      </w:pPr>
      <w:bookmarkStart w:id="43" w:name="_Toc4003"/>
      <w:bookmarkStart w:id="44" w:name="_Toc98560352"/>
      <w:bookmarkStart w:id="45" w:name="_Toc1427"/>
      <w:bookmarkStart w:id="46" w:name="_Toc79392606"/>
      <w:bookmarkStart w:id="47" w:name="_Toc10463"/>
      <w:bookmarkStart w:id="48" w:name="_Toc1270"/>
      <w:bookmarkStart w:id="49" w:name="_Toc17244"/>
      <w:bookmarkStart w:id="50" w:name="_Toc23261"/>
      <w:bookmarkStart w:id="51" w:name="_Toc610"/>
      <w:bookmarkStart w:id="52" w:name="_Toc139991736"/>
      <w:bookmarkStart w:id="53" w:name="_Toc123102453"/>
      <w:bookmarkStart w:id="54" w:name="_Toc176189759"/>
      <w:bookmarkStart w:id="55" w:name="_Toc7920"/>
      <w:bookmarkStart w:id="56" w:name="_Toc123112234"/>
      <w:bookmarkStart w:id="57" w:name="_Toc20733"/>
      <w:bookmarkStart w:id="58" w:name="_Toc123051452"/>
      <w:bookmarkStart w:id="59" w:name="_Toc48649707"/>
      <w:bookmarkStart w:id="60" w:name="_Toc141703886"/>
      <w:bookmarkStart w:id="61" w:name="_Toc23822"/>
      <w:bookmarkStart w:id="62" w:name="_Toc74065743"/>
      <w:bookmarkStart w:id="63" w:name="_Toc79154670"/>
      <w:r>
        <w:rPr>
          <w:rFonts w:ascii="Times New Roman"/>
          <w:sz w:val="30"/>
        </w:rPr>
        <w:t>第七</w:t>
      </w:r>
      <w:r>
        <w:rPr>
          <w:rFonts w:hint="eastAsia" w:ascii="Times New Roman"/>
          <w:sz w:val="30"/>
        </w:rPr>
        <w:t>条</w:t>
      </w:r>
      <w:r>
        <w:rPr>
          <w:rFonts w:ascii="Times New Roman"/>
          <w:sz w:val="30"/>
        </w:rPr>
        <w:t xml:space="preserve">  </w:t>
      </w:r>
      <w:r>
        <w:rPr>
          <w:rFonts w:hint="eastAsia" w:ascii="Times New Roman"/>
          <w:sz w:val="30"/>
        </w:rPr>
        <w:t>理财产品项下资产的估值</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hAnsi="宋体"/>
          <w:b/>
          <w:bCs/>
          <w:sz w:val="18"/>
          <w:szCs w:val="18"/>
        </w:rPr>
      </w:pPr>
      <w:r>
        <w:rPr>
          <w:rFonts w:hint="eastAsia" w:hAnsi="宋体"/>
          <w:b/>
          <w:bCs/>
          <w:sz w:val="18"/>
          <w:szCs w:val="18"/>
        </w:rPr>
        <w:t>（一）估值目的</w:t>
      </w:r>
    </w:p>
    <w:p>
      <w:pPr>
        <w:pStyle w:val="34"/>
        <w:spacing w:line="360" w:lineRule="auto"/>
        <w:ind w:firstLine="360" w:firstLineChars="200"/>
        <w:rPr>
          <w:rFonts w:hAnsi="宋体"/>
          <w:sz w:val="18"/>
          <w:szCs w:val="18"/>
        </w:rPr>
      </w:pPr>
      <w:r>
        <w:rPr>
          <w:rFonts w:hint="eastAsia" w:hAnsi="宋体"/>
          <w:sz w:val="18"/>
          <w:szCs w:val="18"/>
        </w:rPr>
        <w:t>理财资产估值的目的是客观、准确地反映理财资产是否保值、增值。</w:t>
      </w:r>
    </w:p>
    <w:p>
      <w:pPr>
        <w:pStyle w:val="34"/>
        <w:spacing w:line="360" w:lineRule="auto"/>
        <w:ind w:firstLine="361" w:firstLineChars="200"/>
        <w:rPr>
          <w:rFonts w:hAnsi="宋体"/>
          <w:b/>
          <w:bCs/>
          <w:sz w:val="18"/>
          <w:szCs w:val="18"/>
        </w:rPr>
      </w:pPr>
      <w:r>
        <w:rPr>
          <w:rFonts w:hint="eastAsia" w:hAnsi="宋体"/>
          <w:b/>
          <w:bCs/>
          <w:sz w:val="18"/>
          <w:szCs w:val="18"/>
        </w:rPr>
        <w:t>（二）估值频率</w:t>
      </w:r>
    </w:p>
    <w:p>
      <w:pPr>
        <w:pStyle w:val="34"/>
        <w:spacing w:line="360" w:lineRule="auto"/>
        <w:ind w:firstLine="450" w:firstLineChars="250"/>
        <w:rPr>
          <w:sz w:val="18"/>
          <w:szCs w:val="18"/>
        </w:rPr>
      </w:pPr>
      <w:permStart w:id="20" w:edGrp="everyone"/>
      <w:r>
        <w:rPr>
          <w:rFonts w:hint="eastAsia" w:hAnsi="宋体"/>
          <w:sz w:val="18"/>
          <w:szCs w:val="18"/>
        </w:rPr>
        <w:t>本产品存续期间，每【</w:t>
      </w:r>
      <w:r>
        <w:rPr>
          <w:rFonts w:hint="eastAsia" w:hAnsi="宋体"/>
          <w:sz w:val="18"/>
          <w:szCs w:val="18"/>
          <w:lang w:val="en-US" w:eastAsia="zh-CN"/>
        </w:rPr>
        <w:t>周</w:t>
      </w:r>
      <w:r>
        <w:rPr>
          <w:rFonts w:hint="eastAsia" w:hAnsi="宋体"/>
          <w:sz w:val="18"/>
          <w:szCs w:val="18"/>
        </w:rPr>
        <w:t>】进行一次估值。如遇产品到期日、季度末、半年度末、年度末等时间节点管理人将增加估值日。</w:t>
      </w:r>
    </w:p>
    <w:permEnd w:id="20"/>
    <w:p>
      <w:pPr>
        <w:pStyle w:val="34"/>
        <w:spacing w:line="360" w:lineRule="auto"/>
        <w:ind w:firstLine="452" w:firstLineChars="250"/>
        <w:rPr>
          <w:rFonts w:hAnsi="宋体"/>
          <w:b/>
          <w:bCs/>
          <w:sz w:val="18"/>
          <w:szCs w:val="18"/>
        </w:rPr>
      </w:pPr>
      <w:r>
        <w:rPr>
          <w:rFonts w:hint="eastAsia" w:hAnsi="宋体"/>
          <w:b/>
          <w:bCs/>
          <w:sz w:val="18"/>
          <w:szCs w:val="18"/>
        </w:rPr>
        <w:t>（三）估值对象</w:t>
      </w:r>
    </w:p>
    <w:p>
      <w:pPr>
        <w:pStyle w:val="34"/>
        <w:spacing w:line="360" w:lineRule="auto"/>
        <w:ind w:firstLine="360" w:firstLineChars="200"/>
        <w:rPr>
          <w:rFonts w:hAnsi="宋体"/>
          <w:sz w:val="18"/>
          <w:szCs w:val="18"/>
        </w:rPr>
      </w:pPr>
      <w:r>
        <w:rPr>
          <w:rFonts w:hint="eastAsia" w:hAnsi="宋体"/>
          <w:sz w:val="18"/>
          <w:szCs w:val="18"/>
        </w:rPr>
        <w:t>本产品所拥有的各类证券、资产管理产品、银行存款、应收款项、其它投资等资产及负债。</w:t>
      </w:r>
    </w:p>
    <w:p>
      <w:pPr>
        <w:pStyle w:val="34"/>
        <w:spacing w:line="360" w:lineRule="auto"/>
        <w:ind w:firstLine="452" w:firstLineChars="250"/>
        <w:rPr>
          <w:rFonts w:hAnsi="宋体"/>
          <w:b/>
          <w:bCs/>
          <w:sz w:val="18"/>
          <w:szCs w:val="18"/>
        </w:rPr>
      </w:pPr>
      <w:r>
        <w:rPr>
          <w:rFonts w:hint="eastAsia" w:hAnsi="宋体"/>
          <w:b/>
          <w:bCs/>
          <w:sz w:val="18"/>
          <w:szCs w:val="18"/>
        </w:rPr>
        <w:t>（四）估值方法</w:t>
      </w:r>
    </w:p>
    <w:p>
      <w:pPr>
        <w:pStyle w:val="34"/>
        <w:spacing w:line="360" w:lineRule="auto"/>
        <w:ind w:firstLine="360" w:firstLineChars="200"/>
        <w:rPr>
          <w:rFonts w:hAnsi="宋体"/>
          <w:bCs/>
          <w:sz w:val="18"/>
          <w:szCs w:val="18"/>
        </w:rPr>
      </w:pPr>
      <w:r>
        <w:rPr>
          <w:rFonts w:hAnsi="宋体"/>
          <w:bCs/>
          <w:sz w:val="18"/>
          <w:szCs w:val="18"/>
        </w:rPr>
        <w:t>1.标准化债权类资产估值</w:t>
      </w:r>
    </w:p>
    <w:p>
      <w:pPr>
        <w:pStyle w:val="34"/>
        <w:spacing w:line="360" w:lineRule="auto"/>
        <w:ind w:firstLine="360" w:firstLineChars="200"/>
        <w:rPr>
          <w:rFonts w:hAnsi="宋体"/>
          <w:sz w:val="18"/>
          <w:szCs w:val="18"/>
        </w:rPr>
      </w:pPr>
      <w:r>
        <w:rPr>
          <w:rFonts w:hint="eastAsia" w:hAnsi="宋体"/>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hAnsi="宋体"/>
          <w:sz w:val="18"/>
          <w:szCs w:val="18"/>
        </w:rPr>
      </w:pPr>
      <w:r>
        <w:rPr>
          <w:rFonts w:hint="eastAsia" w:hAnsi="宋体"/>
          <w:sz w:val="18"/>
          <w:szCs w:val="18"/>
        </w:rPr>
        <w:t>（1）投资以收取合同现金流量为目的并持有到期的标准化债权类资产，可使用摊余成本计量。</w:t>
      </w:r>
    </w:p>
    <w:p>
      <w:pPr>
        <w:pStyle w:val="34"/>
        <w:spacing w:line="360" w:lineRule="auto"/>
        <w:ind w:firstLine="360" w:firstLineChars="200"/>
        <w:rPr>
          <w:rFonts w:hAnsi="宋体"/>
          <w:sz w:val="18"/>
          <w:szCs w:val="18"/>
        </w:rPr>
      </w:pPr>
      <w:r>
        <w:rPr>
          <w:rFonts w:hint="eastAsia" w:hAnsi="宋体"/>
          <w:sz w:val="18"/>
          <w:szCs w:val="18"/>
        </w:rPr>
        <w:t>（2）除（1）以外的标准化债权类资产以公允价值计量，主要依据为第三方估值机构提供的价格数据。第三方估值机构包括：中央国债登记结算公司和中证指数有限公司。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3</w:t>
      </w:r>
      <w:r>
        <w:rPr>
          <w:rFonts w:hint="eastAsia" w:hAnsi="宋体"/>
          <w:sz w:val="18"/>
          <w:szCs w:val="18"/>
        </w:rPr>
        <w:t>）对已发行但未上市流通，且第三方估值机构未提供估值数据的标准化债权类资产，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4</w:t>
      </w:r>
      <w:r>
        <w:rPr>
          <w:rFonts w:hint="eastAsia" w:hAnsi="宋体"/>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hint="eastAsia" w:hAnsi="宋体"/>
          <w:sz w:val="18"/>
          <w:szCs w:val="18"/>
        </w:rPr>
        <w:t>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hAnsi="宋体"/>
          <w:sz w:val="18"/>
          <w:szCs w:val="18"/>
        </w:rPr>
      </w:pPr>
      <w:r>
        <w:rPr>
          <w:rFonts w:hAnsi="宋体"/>
          <w:bCs/>
          <w:sz w:val="18"/>
          <w:szCs w:val="18"/>
        </w:rPr>
        <w:t>3.非标准化债权类资产</w:t>
      </w:r>
    </w:p>
    <w:p>
      <w:pPr>
        <w:pStyle w:val="34"/>
        <w:spacing w:line="360" w:lineRule="auto"/>
        <w:ind w:firstLine="360" w:firstLineChars="200"/>
        <w:rPr>
          <w:rFonts w:hAnsi="宋体"/>
          <w:sz w:val="18"/>
          <w:szCs w:val="18"/>
        </w:rPr>
      </w:pPr>
      <w:r>
        <w:rPr>
          <w:rFonts w:hint="eastAsia" w:hAnsi="宋体"/>
          <w:sz w:val="18"/>
          <w:szCs w:val="18"/>
        </w:rPr>
        <w:t>非标准化债权类资产，是指不满足中国人民银行制定的标准化债权类资产认定标准的债权类资产。可选取第三方估值机构的价格数据或采用估值技术进行估值；符合监管机构规定的，可按照企业会计准则以摊余成本计量。</w:t>
      </w:r>
    </w:p>
    <w:p>
      <w:pPr>
        <w:pStyle w:val="34"/>
        <w:spacing w:line="360" w:lineRule="auto"/>
        <w:ind w:firstLine="360" w:firstLineChars="200"/>
        <w:rPr>
          <w:rFonts w:hAnsi="宋体"/>
          <w:bCs/>
          <w:sz w:val="18"/>
          <w:szCs w:val="18"/>
        </w:rPr>
      </w:pPr>
      <w:r>
        <w:rPr>
          <w:rFonts w:hAnsi="宋体"/>
          <w:bCs/>
          <w:sz w:val="18"/>
          <w:szCs w:val="18"/>
        </w:rPr>
        <w:t>4.上市公司股票估值</w:t>
      </w:r>
    </w:p>
    <w:p>
      <w:pPr>
        <w:pStyle w:val="34"/>
        <w:spacing w:line="360" w:lineRule="auto"/>
        <w:ind w:firstLine="360" w:firstLineChars="200"/>
        <w:rPr>
          <w:rFonts w:hAnsi="宋体"/>
          <w:sz w:val="18"/>
          <w:szCs w:val="18"/>
        </w:rPr>
      </w:pPr>
      <w:r>
        <w:rPr>
          <w:rFonts w:hint="eastAsia" w:hAnsi="宋体"/>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hAnsi="宋体"/>
          <w:sz w:val="18"/>
          <w:szCs w:val="18"/>
        </w:rPr>
      </w:pPr>
      <w:r>
        <w:rPr>
          <w:rFonts w:hint="eastAsia" w:hAnsi="宋体"/>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pPr>
        <w:pStyle w:val="34"/>
        <w:spacing w:line="360" w:lineRule="auto"/>
        <w:ind w:firstLine="360" w:firstLineChars="200"/>
        <w:rPr>
          <w:rFonts w:hAnsi="宋体"/>
          <w:sz w:val="18"/>
          <w:szCs w:val="18"/>
        </w:rPr>
      </w:pPr>
      <w:r>
        <w:rPr>
          <w:rFonts w:hint="eastAsia" w:hAnsi="宋体"/>
          <w:sz w:val="18"/>
          <w:szCs w:val="18"/>
        </w:rPr>
        <w:t>（4）长期停牌股票，根据停牌原因、停牌时间及停牌公司公告等信息，采用估值技术确定公允价值。</w:t>
      </w:r>
    </w:p>
    <w:p>
      <w:pPr>
        <w:pStyle w:val="34"/>
        <w:spacing w:line="360" w:lineRule="auto"/>
        <w:ind w:firstLine="360" w:firstLineChars="200"/>
        <w:rPr>
          <w:rFonts w:hAnsi="宋体"/>
          <w:sz w:val="18"/>
          <w:szCs w:val="18"/>
        </w:rPr>
      </w:pPr>
      <w:r>
        <w:rPr>
          <w:rFonts w:hint="eastAsia" w:hAnsi="宋体"/>
          <w:sz w:val="18"/>
          <w:szCs w:val="18"/>
        </w:rPr>
        <w:t>（5）新发行未上市股票，如果发行日后未发生影响公允价值计量的重大事件的，应采用发行价作为公允价值的最佳估计，已发生影响公允价值计量重大事件的应采用估值技术确定公允价值。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hAnsi="宋体"/>
          <w:bCs/>
          <w:sz w:val="18"/>
          <w:szCs w:val="18"/>
        </w:rPr>
      </w:pPr>
      <w:r>
        <w:rPr>
          <w:rFonts w:hAnsi="宋体"/>
          <w:bCs/>
          <w:sz w:val="18"/>
          <w:szCs w:val="18"/>
        </w:rPr>
        <w:t>5.未上市公司股权</w:t>
      </w:r>
    </w:p>
    <w:p>
      <w:pPr>
        <w:pStyle w:val="34"/>
        <w:spacing w:line="360" w:lineRule="auto"/>
        <w:ind w:firstLine="360" w:firstLineChars="200"/>
        <w:rPr>
          <w:rFonts w:hAnsi="宋体"/>
          <w:sz w:val="18"/>
          <w:szCs w:val="18"/>
        </w:rPr>
      </w:pPr>
      <w:r>
        <w:rPr>
          <w:rFonts w:hint="eastAsia" w:hAnsi="宋体"/>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hAnsi="宋体"/>
          <w:sz w:val="18"/>
          <w:szCs w:val="18"/>
        </w:rPr>
        <w:t>。</w:t>
      </w:r>
    </w:p>
    <w:p>
      <w:pPr>
        <w:pStyle w:val="34"/>
        <w:spacing w:line="360" w:lineRule="auto"/>
        <w:ind w:firstLine="360" w:firstLineChars="200"/>
        <w:rPr>
          <w:rFonts w:hAnsi="宋体"/>
          <w:bCs/>
          <w:sz w:val="18"/>
          <w:szCs w:val="18"/>
        </w:rPr>
      </w:pPr>
      <w:r>
        <w:rPr>
          <w:rFonts w:hAnsi="宋体"/>
          <w:bCs/>
          <w:sz w:val="18"/>
          <w:szCs w:val="18"/>
        </w:rPr>
        <w:t>6.优先股</w:t>
      </w:r>
    </w:p>
    <w:p>
      <w:pPr>
        <w:pStyle w:val="34"/>
        <w:spacing w:line="360" w:lineRule="auto"/>
        <w:ind w:firstLine="360" w:firstLineChars="200"/>
        <w:rPr>
          <w:rFonts w:hAnsi="宋体"/>
          <w:sz w:val="18"/>
          <w:szCs w:val="18"/>
        </w:rPr>
      </w:pPr>
      <w:r>
        <w:rPr>
          <w:rFonts w:hint="eastAsia" w:hAnsi="宋体"/>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hAnsi="宋体"/>
          <w:bCs/>
          <w:sz w:val="18"/>
          <w:szCs w:val="18"/>
        </w:rPr>
      </w:pPr>
      <w:r>
        <w:rPr>
          <w:rFonts w:hAnsi="宋体"/>
          <w:bCs/>
          <w:sz w:val="18"/>
          <w:szCs w:val="18"/>
        </w:rPr>
        <w:t>7.证券投资基金估值</w:t>
      </w:r>
    </w:p>
    <w:p>
      <w:pPr>
        <w:pStyle w:val="34"/>
        <w:spacing w:line="360" w:lineRule="auto"/>
        <w:ind w:firstLine="360" w:firstLineChars="200"/>
        <w:rPr>
          <w:rFonts w:hAnsi="宋体"/>
          <w:sz w:val="18"/>
          <w:szCs w:val="18"/>
        </w:rPr>
      </w:pPr>
      <w:r>
        <w:rPr>
          <w:rFonts w:hint="eastAsia" w:hAnsi="宋体"/>
          <w:sz w:val="18"/>
          <w:szCs w:val="18"/>
        </w:rPr>
        <w:t>（1）非上市基金估值</w:t>
      </w:r>
    </w:p>
    <w:p>
      <w:pPr>
        <w:pStyle w:val="34"/>
        <w:spacing w:line="360" w:lineRule="auto"/>
        <w:ind w:firstLine="360" w:firstLineChars="200"/>
        <w:rPr>
          <w:rFonts w:hAnsi="宋体"/>
          <w:sz w:val="18"/>
          <w:szCs w:val="18"/>
        </w:rPr>
      </w:pPr>
      <w:r>
        <w:rPr>
          <w:rFonts w:hint="eastAsia" w:hAnsi="宋体"/>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hAnsi="宋体"/>
          <w:sz w:val="18"/>
          <w:szCs w:val="18"/>
        </w:rPr>
      </w:pPr>
      <w:r>
        <w:rPr>
          <w:rFonts w:hint="eastAsia" w:hAnsi="宋体"/>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hAnsi="宋体"/>
          <w:sz w:val="18"/>
          <w:szCs w:val="18"/>
        </w:rPr>
      </w:pPr>
      <w:r>
        <w:rPr>
          <w:rFonts w:hint="eastAsia" w:hAnsi="宋体"/>
          <w:sz w:val="18"/>
          <w:szCs w:val="18"/>
        </w:rPr>
        <w:t>（2）上市基金估值</w:t>
      </w:r>
    </w:p>
    <w:p>
      <w:pPr>
        <w:pStyle w:val="34"/>
        <w:spacing w:line="360" w:lineRule="auto"/>
        <w:ind w:firstLine="360" w:firstLineChars="200"/>
        <w:rPr>
          <w:rFonts w:hAnsi="宋体"/>
          <w:sz w:val="18"/>
          <w:szCs w:val="18"/>
        </w:rPr>
      </w:pPr>
      <w:r>
        <w:rPr>
          <w:rFonts w:hint="eastAsia" w:hAnsi="宋体"/>
          <w:sz w:val="18"/>
          <w:szCs w:val="18"/>
        </w:rPr>
        <w:t>1)本产品投资的ETF基金、境内上市定期开放式基金、封闭式基金，按照所投资基金估值日的收盘价估值；估值日无交易的，以最近交易日的收盘价估值。</w:t>
      </w:r>
    </w:p>
    <w:p>
      <w:pPr>
        <w:pStyle w:val="34"/>
        <w:spacing w:line="360" w:lineRule="auto"/>
        <w:ind w:firstLine="360" w:firstLineChars="200"/>
        <w:rPr>
          <w:rFonts w:hAnsi="宋体"/>
          <w:sz w:val="18"/>
          <w:szCs w:val="18"/>
        </w:rPr>
      </w:pPr>
      <w:r>
        <w:rPr>
          <w:rFonts w:hint="eastAsia" w:hAnsi="宋体"/>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hAnsi="宋体"/>
          <w:sz w:val="18"/>
          <w:szCs w:val="18"/>
        </w:rPr>
      </w:pPr>
      <w:r>
        <w:rPr>
          <w:rFonts w:hint="eastAsia" w:hAnsi="宋体"/>
          <w:sz w:val="18"/>
          <w:szCs w:val="18"/>
        </w:rPr>
        <w:t>3)本产品投资的境内上市交易型货币市场基金，如所投资基金披露份额净值，则按所投资基金估值日的份额净值估值</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hint="eastAsia" w:hAnsi="宋体"/>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p>
    <w:p>
      <w:pPr>
        <w:pStyle w:val="34"/>
        <w:spacing w:line="360" w:lineRule="auto"/>
        <w:ind w:firstLine="360" w:firstLineChars="200"/>
        <w:rPr>
          <w:rFonts w:hAnsi="宋体"/>
          <w:bCs/>
          <w:sz w:val="18"/>
          <w:szCs w:val="18"/>
        </w:rPr>
      </w:pPr>
      <w:r>
        <w:rPr>
          <w:rFonts w:hAnsi="宋体"/>
          <w:bCs/>
          <w:sz w:val="18"/>
          <w:szCs w:val="18"/>
        </w:rPr>
        <w:t>8.其他资产管理产品的估值</w:t>
      </w:r>
    </w:p>
    <w:p>
      <w:pPr>
        <w:pStyle w:val="34"/>
        <w:spacing w:line="360" w:lineRule="auto"/>
        <w:ind w:firstLine="360" w:firstLineChars="200"/>
        <w:rPr>
          <w:rFonts w:hAnsi="宋体"/>
          <w:sz w:val="18"/>
          <w:szCs w:val="18"/>
        </w:rPr>
      </w:pPr>
      <w:r>
        <w:rPr>
          <w:rFonts w:hint="eastAsia" w:hAnsi="宋体"/>
          <w:sz w:val="18"/>
          <w:szCs w:val="18"/>
        </w:rPr>
        <w:t>其他资产管理产品，指理财产品投资的除证券投资基金以外的其他资产管理产品，主要包括：信托公司、证券公司、证券公司子公司、基金管理公司、基金管理子公司、期货公司、期货公司子公司、保险资产管理机构、金融资产投资公司发行的资产管理产品。其他资产管理产品以估值日资产管理人提供的单位净值进行估值；</w:t>
      </w:r>
      <w:r>
        <w:rPr>
          <w:rFonts w:hint="eastAsia" w:asciiTheme="minorEastAsia" w:hAnsiTheme="minorEastAsia" w:eastAsiaTheme="minorEastAsia"/>
          <w:bCs/>
          <w:sz w:val="18"/>
          <w:szCs w:val="18"/>
        </w:rPr>
        <w:t>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hAnsi="宋体"/>
          <w:bCs/>
          <w:sz w:val="18"/>
          <w:szCs w:val="18"/>
        </w:rPr>
      </w:pPr>
      <w:r>
        <w:rPr>
          <w:rFonts w:hAnsi="宋体"/>
          <w:bCs/>
          <w:sz w:val="18"/>
          <w:szCs w:val="18"/>
        </w:rPr>
        <w:t>9.衍生金融工具估值</w:t>
      </w:r>
    </w:p>
    <w:p>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hAnsi="宋体"/>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p>
    <w:p>
      <w:pPr>
        <w:pStyle w:val="34"/>
        <w:spacing w:line="360" w:lineRule="auto"/>
        <w:ind w:firstLine="360" w:firstLineChars="200"/>
        <w:rPr>
          <w:rFonts w:hAnsi="宋体"/>
          <w:bCs/>
          <w:sz w:val="18"/>
          <w:szCs w:val="18"/>
        </w:rPr>
      </w:pPr>
      <w:r>
        <w:rPr>
          <w:rFonts w:hAnsi="宋体"/>
          <w:bCs/>
          <w:sz w:val="18"/>
          <w:szCs w:val="18"/>
        </w:rPr>
        <w:t>10.存款、拆借、回购等货币市场工具的估值</w:t>
      </w:r>
    </w:p>
    <w:p>
      <w:pPr>
        <w:pStyle w:val="34"/>
        <w:spacing w:line="360" w:lineRule="auto"/>
        <w:ind w:firstLine="360" w:firstLineChars="200"/>
        <w:rPr>
          <w:rFonts w:hAnsi="宋体"/>
          <w:sz w:val="18"/>
          <w:szCs w:val="18"/>
        </w:rPr>
      </w:pPr>
      <w:r>
        <w:rPr>
          <w:rFonts w:hint="eastAsia" w:hAnsi="宋体"/>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hAnsi="宋体"/>
          <w:sz w:val="18"/>
          <w:szCs w:val="18"/>
        </w:rPr>
      </w:pPr>
      <w:r>
        <w:rPr>
          <w:rFonts w:hint="eastAsia" w:hAnsi="宋体"/>
          <w:sz w:val="18"/>
          <w:szCs w:val="18"/>
        </w:rPr>
        <w:t>1</w:t>
      </w:r>
      <w:r>
        <w:rPr>
          <w:rFonts w:hAnsi="宋体"/>
          <w:sz w:val="18"/>
          <w:szCs w:val="18"/>
        </w:rPr>
        <w:t>1</w:t>
      </w:r>
      <w:r>
        <w:rPr>
          <w:rFonts w:hint="eastAsia" w:hAnsi="宋体"/>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黑体" w:hAnsi="黑体" w:eastAsia="黑体"/>
          <w:sz w:val="18"/>
          <w:szCs w:val="18"/>
        </w:rPr>
      </w:pPr>
      <w:r>
        <w:rPr>
          <w:rFonts w:ascii="黑体" w:hAnsi="黑体" w:eastAsia="黑体"/>
          <w:sz w:val="18"/>
          <w:szCs w:val="18"/>
        </w:rPr>
        <w:t>12.★估值方法的调整</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hAnsi="宋体"/>
          <w:b/>
          <w:bCs/>
          <w:sz w:val="18"/>
          <w:szCs w:val="18"/>
        </w:rPr>
      </w:pPr>
      <w:r>
        <w:rPr>
          <w:rFonts w:hint="eastAsia" w:hAnsi="宋体"/>
          <w:b/>
          <w:bCs/>
          <w:sz w:val="18"/>
          <w:szCs w:val="18"/>
        </w:rPr>
        <w:t>（五）估值程序</w:t>
      </w:r>
    </w:p>
    <w:p>
      <w:pPr>
        <w:pStyle w:val="34"/>
        <w:spacing w:line="360" w:lineRule="auto"/>
        <w:ind w:firstLine="360" w:firstLineChars="200"/>
        <w:rPr>
          <w:rFonts w:hAnsi="宋体"/>
          <w:sz w:val="18"/>
          <w:szCs w:val="18"/>
        </w:rPr>
      </w:pPr>
      <w:r>
        <w:rPr>
          <w:rFonts w:hint="eastAsia" w:hAnsi="宋体"/>
          <w:sz w:val="18"/>
          <w:szCs w:val="18"/>
        </w:rPr>
        <w:t>1.产品份额净值是按照估值日产品资产净值除以当日产品总份额计算，四舍五入保留5位小数。国家另有规定的，从其规定。</w:t>
      </w:r>
    </w:p>
    <w:p>
      <w:pPr>
        <w:pStyle w:val="34"/>
        <w:spacing w:line="360" w:lineRule="auto"/>
        <w:ind w:firstLine="360" w:firstLineChars="200"/>
        <w:rPr>
          <w:rFonts w:hAnsi="宋体"/>
          <w:sz w:val="18"/>
          <w:szCs w:val="18"/>
        </w:rPr>
      </w:pPr>
      <w:r>
        <w:rPr>
          <w:rFonts w:hint="eastAsia" w:hAnsi="宋体"/>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hAnsi="宋体"/>
          <w:sz w:val="18"/>
          <w:szCs w:val="18"/>
        </w:rPr>
      </w:pPr>
      <w:r>
        <w:rPr>
          <w:rFonts w:hint="eastAsia" w:hAnsi="宋体"/>
          <w:sz w:val="18"/>
          <w:szCs w:val="18"/>
        </w:rPr>
        <w:t xml:space="preserve">3.如产品管理人或产品托管人发现理财估值违反本说明书约定的估值方法、程序及相关法律法规的规定或者未能充分维护理财份额持有人权益时，应立即通知对方，共同查明原因，双方协商解决。 </w:t>
      </w:r>
    </w:p>
    <w:p>
      <w:pPr>
        <w:pStyle w:val="34"/>
        <w:spacing w:line="360" w:lineRule="auto"/>
        <w:ind w:firstLine="361" w:firstLineChars="200"/>
        <w:rPr>
          <w:rFonts w:hAnsi="宋体"/>
          <w:b/>
          <w:bCs/>
          <w:sz w:val="18"/>
          <w:szCs w:val="18"/>
        </w:rPr>
      </w:pPr>
      <w:r>
        <w:rPr>
          <w:rFonts w:hint="eastAsia" w:hAnsi="宋体"/>
          <w:b/>
          <w:bCs/>
          <w:sz w:val="18"/>
          <w:szCs w:val="18"/>
        </w:rPr>
        <w:t>（六）估值主体</w:t>
      </w:r>
    </w:p>
    <w:p>
      <w:pPr>
        <w:pStyle w:val="34"/>
        <w:spacing w:line="360" w:lineRule="auto"/>
        <w:ind w:firstLine="360" w:firstLineChars="200"/>
        <w:rPr>
          <w:rFonts w:hAnsi="宋体"/>
          <w:sz w:val="18"/>
          <w:szCs w:val="18"/>
        </w:rPr>
      </w:pPr>
      <w:r>
        <w:rPr>
          <w:rFonts w:hint="eastAsia" w:hAnsi="宋体"/>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64" w:name="_Hlt70481650"/>
      <w:bookmarkEnd w:id="64"/>
      <w:bookmarkStart w:id="65" w:name="_Toc139991737"/>
      <w:bookmarkStart w:id="66" w:name="_Toc29251"/>
      <w:bookmarkStart w:id="67" w:name="_Toc123102454"/>
      <w:bookmarkStart w:id="68" w:name="_Toc141703887"/>
      <w:bookmarkStart w:id="69" w:name="_Toc31235"/>
      <w:bookmarkStart w:id="70" w:name="_Toc79154671"/>
      <w:bookmarkStart w:id="71" w:name="_Toc15143"/>
      <w:bookmarkStart w:id="72" w:name="_Toc74065744"/>
      <w:bookmarkStart w:id="73" w:name="_Toc176189760"/>
      <w:bookmarkStart w:id="74" w:name="_Toc123112235"/>
      <w:bookmarkStart w:id="75" w:name="_Toc3601"/>
      <w:bookmarkStart w:id="76" w:name="_Toc98560353"/>
      <w:bookmarkStart w:id="77" w:name="_Toc123051453"/>
      <w:bookmarkStart w:id="78" w:name="_Toc12245"/>
      <w:bookmarkStart w:id="79" w:name="_Toc26207"/>
      <w:bookmarkStart w:id="80" w:name="_Toc14835"/>
      <w:bookmarkStart w:id="81" w:name="_Toc31653"/>
      <w:bookmarkStart w:id="82" w:name="_Toc31644"/>
      <w:bookmarkStart w:id="83" w:name="_Toc6405"/>
      <w:r>
        <w:rPr>
          <w:rFonts w:ascii="Times New Roman"/>
          <w:sz w:val="30"/>
        </w:rPr>
        <w:t>第八</w:t>
      </w:r>
      <w:r>
        <w:rPr>
          <w:rFonts w:hint="eastAsia" w:ascii="Times New Roman"/>
          <w:sz w:val="30"/>
        </w:rPr>
        <w:t>条</w:t>
      </w:r>
      <w:r>
        <w:rPr>
          <w:rFonts w:ascii="Times New Roman"/>
          <w:sz w:val="30"/>
        </w:rPr>
        <w:t xml:space="preserve">  </w:t>
      </w:r>
      <w:r>
        <w:rPr>
          <w:rFonts w:hint="eastAsia" w:ascii="Times New Roman"/>
          <w:sz w:val="30"/>
        </w:rPr>
        <w:t>理财产品的利益分配</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Start w:id="84" w:name="_Hlt55355235"/>
      <w:bookmarkEnd w:id="84"/>
      <w:bookmarkStart w:id="85" w:name="_Toc57530239"/>
      <w:bookmarkStart w:id="86" w:name="_Toc523711668"/>
      <w:bookmarkStart w:id="87" w:name="_Toc15118234"/>
      <w:bookmarkStart w:id="88" w:name="_Toc79392580"/>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bCs/>
          <w:color w:val="auto"/>
          <w:sz w:val="18"/>
          <w:szCs w:val="18"/>
        </w:rPr>
      </w:pPr>
      <w:permStart w:id="21" w:edGrp="everyone"/>
      <w:r>
        <w:rPr>
          <w:rFonts w:hAnsi="宋体"/>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85"/>
    <w:bookmarkEnd w:id="86"/>
    <w:bookmarkEnd w:id="87"/>
    <w:bookmarkEnd w:id="88"/>
    <w:p>
      <w:pPr>
        <w:pStyle w:val="2"/>
        <w:spacing w:before="0" w:after="0" w:line="360" w:lineRule="auto"/>
        <w:jc w:val="center"/>
        <w:rPr>
          <w:rFonts w:ascii="Times New Roman"/>
          <w:sz w:val="30"/>
        </w:rPr>
      </w:pPr>
      <w:bookmarkStart w:id="89" w:name="_Hlt88897298"/>
      <w:bookmarkEnd w:id="89"/>
      <w:bookmarkStart w:id="90" w:name="_Hlt88825574"/>
      <w:bookmarkEnd w:id="90"/>
      <w:bookmarkStart w:id="91" w:name="_Toc18567"/>
      <w:bookmarkStart w:id="92" w:name="_Toc139991738"/>
      <w:bookmarkStart w:id="93" w:name="_Toc98560354"/>
      <w:bookmarkStart w:id="94" w:name="_Toc4559"/>
      <w:bookmarkStart w:id="95" w:name="_Toc176189761"/>
      <w:bookmarkStart w:id="96" w:name="_Toc6447"/>
      <w:bookmarkStart w:id="97" w:name="_Toc74065745"/>
      <w:bookmarkStart w:id="98" w:name="_Toc25783"/>
      <w:bookmarkStart w:id="99" w:name="_Toc79154672"/>
      <w:bookmarkStart w:id="100" w:name="_Toc9706"/>
      <w:bookmarkStart w:id="101" w:name="_Toc3321"/>
      <w:bookmarkStart w:id="102" w:name="_Toc11030"/>
      <w:bookmarkStart w:id="103" w:name="_Toc123102455"/>
      <w:bookmarkStart w:id="104" w:name="_Toc141703888"/>
      <w:bookmarkStart w:id="105" w:name="_Toc10650"/>
      <w:bookmarkStart w:id="106" w:name="_Toc123112236"/>
      <w:bookmarkStart w:id="107" w:name="_Toc3771"/>
      <w:bookmarkStart w:id="108" w:name="_Toc79392583"/>
      <w:bookmarkStart w:id="109" w:name="_Toc123051454"/>
      <w:bookmarkStart w:id="110" w:name="_Toc7058"/>
      <w:r>
        <w:rPr>
          <w:rFonts w:ascii="Times New Roman"/>
          <w:sz w:val="30"/>
        </w:rPr>
        <w:t>第九</w:t>
      </w:r>
      <w:r>
        <w:rPr>
          <w:rFonts w:hint="eastAsia" w:ascii="Times New Roman"/>
          <w:sz w:val="30"/>
        </w:rPr>
        <w:t>条</w:t>
      </w:r>
      <w:r>
        <w:rPr>
          <w:rFonts w:ascii="Times New Roman"/>
          <w:sz w:val="30"/>
        </w:rPr>
        <w:t xml:space="preserve">  </w:t>
      </w:r>
      <w:r>
        <w:rPr>
          <w:rFonts w:hint="eastAsia" w:ascii="Times New Roman"/>
          <w:sz w:val="30"/>
        </w:rPr>
        <w:t>理财产品的费用与税收</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w:t>
      </w:r>
    </w:p>
    <w:p>
      <w:pPr>
        <w:widowControl/>
        <w:spacing w:line="360" w:lineRule="auto"/>
        <w:ind w:firstLine="360" w:firstLineChars="200"/>
        <w:jc w:val="left"/>
        <w:rPr>
          <w:rFonts w:ascii="宋体" w:hAnsi="宋体"/>
          <w:sz w:val="18"/>
          <w:szCs w:val="18"/>
        </w:rPr>
      </w:pP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pStyle w:val="34"/>
        <w:spacing w:line="360" w:lineRule="auto"/>
        <w:ind w:firstLine="360" w:firstLineChars="200"/>
        <w:rPr>
          <w:rFonts w:hAnsi="宋体"/>
          <w:sz w:val="18"/>
          <w:szCs w:val="18"/>
        </w:rPr>
      </w:pPr>
      <w:permStart w:id="23" w:edGrp="everyone"/>
      <w:r>
        <w:rPr>
          <w:rFonts w:hint="eastAsia" w:hAnsi="宋体"/>
          <w:sz w:val="18"/>
          <w:szCs w:val="18"/>
        </w:rPr>
        <w:t>（2）理财产品的销售服务费</w:t>
      </w:r>
    </w:p>
    <w:p>
      <w:pPr>
        <w:pStyle w:val="34"/>
        <w:spacing w:line="360" w:lineRule="auto"/>
        <w:ind w:firstLine="360" w:firstLineChars="200"/>
        <w:rPr>
          <w:rFonts w:hAnsi="宋体"/>
          <w:sz w:val="18"/>
          <w:szCs w:val="18"/>
        </w:rPr>
      </w:pPr>
      <w:r>
        <w:rPr>
          <w:rFonts w:hint="eastAsia" w:hAnsi="宋体"/>
          <w:sz w:val="18"/>
          <w:szCs w:val="18"/>
        </w:rPr>
        <w:t>本产品的销售服务费于产品成立日一次性计提，每日摊销。销售服务费的计算方法如下：</w:t>
      </w:r>
    </w:p>
    <w:p>
      <w:pPr>
        <w:pStyle w:val="34"/>
        <w:spacing w:line="360" w:lineRule="auto"/>
        <w:ind w:firstLine="360" w:firstLineChars="200"/>
        <w:rPr>
          <w:rFonts w:hAnsi="宋体"/>
          <w:sz w:val="18"/>
          <w:szCs w:val="18"/>
        </w:rPr>
      </w:pPr>
      <w:r>
        <w:rPr>
          <w:rFonts w:hint="eastAsia" w:hAnsi="宋体"/>
          <w:sz w:val="18"/>
          <w:szCs w:val="18"/>
        </w:rPr>
        <w:t>H＝E×销售服务费年费率×产品期限总天数÷365</w:t>
      </w:r>
    </w:p>
    <w:p>
      <w:pPr>
        <w:pStyle w:val="34"/>
        <w:spacing w:line="360" w:lineRule="auto"/>
        <w:ind w:firstLine="360" w:firstLineChars="200"/>
        <w:rPr>
          <w:rFonts w:hAnsi="宋体"/>
          <w:sz w:val="18"/>
          <w:szCs w:val="18"/>
        </w:rPr>
      </w:pPr>
      <w:r>
        <w:rPr>
          <w:rFonts w:hint="eastAsia" w:hAnsi="宋体"/>
          <w:sz w:val="18"/>
          <w:szCs w:val="18"/>
        </w:rPr>
        <w:t>H为应计提的产品销售服务费</w:t>
      </w:r>
    </w:p>
    <w:p>
      <w:pPr>
        <w:pStyle w:val="34"/>
        <w:spacing w:line="360" w:lineRule="auto"/>
        <w:ind w:firstLine="360" w:firstLineChars="200"/>
        <w:rPr>
          <w:rFonts w:hAnsi="宋体"/>
          <w:sz w:val="18"/>
          <w:szCs w:val="18"/>
        </w:rPr>
      </w:pPr>
      <w:r>
        <w:rPr>
          <w:rFonts w:hint="eastAsia" w:hAnsi="宋体"/>
          <w:sz w:val="18"/>
          <w:szCs w:val="18"/>
        </w:rPr>
        <w:t>E为产品成立日的产品总份额</w:t>
      </w:r>
    </w:p>
    <w:p>
      <w:pPr>
        <w:pStyle w:val="34"/>
        <w:spacing w:line="360" w:lineRule="auto"/>
        <w:ind w:firstLine="360" w:firstLineChars="200"/>
        <w:rPr>
          <w:rFonts w:hAnsi="宋体"/>
          <w:sz w:val="18"/>
          <w:szCs w:val="18"/>
        </w:rPr>
      </w:pPr>
      <w:r>
        <w:rPr>
          <w:rFonts w:hint="eastAsia" w:hAnsi="宋体"/>
          <w:sz w:val="18"/>
          <w:szCs w:val="18"/>
        </w:rPr>
        <w:t>销售服务费依照上述约定，从理财财产中支付。费率具体数值以《产品说明书》“第二条 理财产品基本情况”为准。</w:t>
      </w:r>
    </w:p>
    <w:p>
      <w:pPr>
        <w:pStyle w:val="34"/>
        <w:spacing w:line="360" w:lineRule="auto"/>
        <w:ind w:firstLine="361" w:firstLineChars="200"/>
        <w:rPr>
          <w:rFonts w:asciiTheme="majorEastAsia" w:hAnsiTheme="majorEastAsia" w:eastAsiaTheme="majorEastAsia"/>
          <w:color w:val="auto"/>
          <w:kern w:val="2"/>
          <w:sz w:val="18"/>
          <w:szCs w:val="18"/>
        </w:rPr>
      </w:pPr>
      <w:r>
        <w:rPr>
          <w:rFonts w:hint="eastAsia" w:ascii="黑体" w:hAnsi="黑体" w:eastAsia="黑体"/>
          <w:b/>
          <w:bCs/>
          <w:sz w:val="18"/>
          <w:szCs w:val="18"/>
        </w:rPr>
        <w:t>注：如本产品发生提前终止或提前退出，则产品管理人根据实际产品期限天数/实际份额计算销售服务费，多收取的销售服务费退还至理财产品资产。</w:t>
      </w:r>
    </w:p>
    <w:p>
      <w:pPr>
        <w:pStyle w:val="34"/>
        <w:spacing w:line="360" w:lineRule="auto"/>
        <w:ind w:firstLine="360" w:firstLineChars="200"/>
        <w:rPr>
          <w:rFonts w:asciiTheme="majorEastAsia" w:hAnsiTheme="majorEastAsia" w:eastAsiaTheme="majorEastAsia"/>
          <w:color w:val="auto"/>
          <w:kern w:val="2"/>
          <w:sz w:val="18"/>
          <w:szCs w:val="18"/>
        </w:rPr>
      </w:pPr>
    </w:p>
    <w:permEnd w:id="23"/>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permStart w:id="24" w:edGrp="everyone"/>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产品份额超额业绩报酬计提起始日为：募集期内认购的产品份额，以产品成立日为该</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每份产品份额超额业绩报酬每日计提，产品终止日</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lang w:val="en-US" w:eastAsia="zh-CN"/>
        </w:rPr>
        <w:t>不含部分终止日</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rPr>
        <w:t>结算。</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③超额业绩报酬的计算</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产品管理人对每</w:t>
      </w:r>
      <w:r>
        <w:rPr>
          <w:rFonts w:asciiTheme="majorEastAsia" w:hAnsiTheme="majorEastAsia" w:eastAsiaTheme="majorEastAsia"/>
          <w:b w:val="0"/>
          <w:bCs w:val="0"/>
          <w:sz w:val="18"/>
          <w:szCs w:val="18"/>
        </w:rPr>
        <w:t>份</w:t>
      </w:r>
      <w:r>
        <w:rPr>
          <w:rFonts w:hint="eastAsia" w:asciiTheme="majorEastAsia" w:hAnsiTheme="majorEastAsia" w:eastAsiaTheme="majorEastAsia"/>
          <w:b w:val="0"/>
          <w:bCs w:val="0"/>
          <w:sz w:val="18"/>
          <w:szCs w:val="18"/>
        </w:rPr>
        <w:t>份额当前年化收益率（R）超过当前业绩报酬计提基准的部分，按比例（N）以及产品份额持有天数（D）提取超额业绩报酬，计算方法如下：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当R≤当前业绩报酬计提基准，超额业绩报酬=0；</w:t>
      </w:r>
    </w:p>
    <w:p>
      <w:pPr>
        <w:widowControl/>
        <w:spacing w:line="360" w:lineRule="auto"/>
        <w:ind w:firstLine="360" w:firstLineChars="200"/>
        <w:jc w:val="left"/>
        <w:rPr>
          <w:rFonts w:hint="eastAsia" w:asciiTheme="majorEastAsia" w:hAnsiTheme="majorEastAsia" w:eastAsiaTheme="majorEastAsia"/>
          <w:sz w:val="18"/>
          <w:szCs w:val="18"/>
        </w:rPr>
      </w:pPr>
      <w:r>
        <w:rPr>
          <w:rFonts w:hint="eastAsia" w:asciiTheme="majorEastAsia" w:hAnsiTheme="majorEastAsia" w:eastAsiaTheme="majorEastAsia"/>
          <w:b w:val="0"/>
          <w:bCs w:val="0"/>
          <w:sz w:val="18"/>
          <w:szCs w:val="18"/>
        </w:rPr>
        <w:t>当R＞当前业绩报酬计提基准，超额业绩报酬=产品终止</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lang w:val="en-US" w:eastAsia="zh-CN"/>
        </w:rPr>
        <w:t>不含部分终止</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rPr>
        <w:t>时投资者持有的产</w:t>
      </w:r>
      <w:r>
        <w:rPr>
          <w:rFonts w:hint="eastAsia" w:asciiTheme="majorEastAsia" w:hAnsiTheme="majorEastAsia" w:eastAsiaTheme="majorEastAsia"/>
          <w:sz w:val="18"/>
          <w:szCs w:val="18"/>
        </w:rPr>
        <w:t>品份额×产品成立日产品份额净值×（R-当前业绩报酬计提基准）×N×D/365。</w:t>
      </w:r>
    </w:p>
    <w:p>
      <w:pPr>
        <w:pStyle w:val="2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61" w:firstLineChars="200"/>
        <w:jc w:val="left"/>
        <w:rPr>
          <w:rFonts w:hint="eastAsia" w:asciiTheme="majorEastAsia" w:hAnsiTheme="majorEastAsia" w:eastAsiaTheme="majorEastAsia"/>
          <w:b/>
          <w:bCs/>
          <w:sz w:val="18"/>
          <w:szCs w:val="18"/>
          <w:lang w:val="en-US" w:eastAsia="zh-CN"/>
        </w:rPr>
      </w:pPr>
      <w:r>
        <w:rPr>
          <w:rFonts w:hint="eastAsia" w:asciiTheme="majorEastAsia" w:hAnsiTheme="majorEastAsia" w:eastAsiaTheme="majorEastAsia"/>
          <w:b/>
          <w:bCs/>
          <w:sz w:val="18"/>
          <w:szCs w:val="18"/>
          <w:lang w:val="en-US" w:eastAsia="zh-CN"/>
        </w:rPr>
        <w:t>注：产品部分提前终止情况下，部分提前终止份额不收取超额业绩报酬。</w:t>
      </w:r>
    </w:p>
    <w:p>
      <w:pPr>
        <w:widowControl/>
        <w:spacing w:line="360" w:lineRule="auto"/>
        <w:ind w:firstLine="360" w:firstLineChars="200"/>
        <w:jc w:val="left"/>
        <w:rPr>
          <w:rFonts w:asciiTheme="majorEastAsia" w:hAnsiTheme="majorEastAsia" w:eastAsiaTheme="majorEastAsia"/>
          <w:sz w:val="18"/>
          <w:szCs w:val="18"/>
        </w:rPr>
      </w:pPr>
    </w:p>
    <w:permEnd w:id="24"/>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11" w:name="_Toc1745"/>
      <w:bookmarkStart w:id="112" w:name="_Toc3963"/>
      <w:r>
        <w:br w:type="page"/>
      </w:r>
      <w:bookmarkStart w:id="113" w:name="_Toc176189762"/>
      <w:bookmarkStart w:id="114" w:name="_Toc3080"/>
      <w:bookmarkStart w:id="115" w:name="_Toc725"/>
      <w:bookmarkStart w:id="116" w:name="_Toc10398"/>
      <w:bookmarkStart w:id="117" w:name="_Toc74065746"/>
      <w:bookmarkStart w:id="118" w:name="_Toc141703889"/>
      <w:bookmarkStart w:id="119" w:name="_Toc16164"/>
      <w:bookmarkStart w:id="120" w:name="_Toc3572"/>
      <w:bookmarkStart w:id="121" w:name="_Toc139991739"/>
      <w:bookmarkStart w:id="122" w:name="_Toc18206"/>
      <w:bookmarkStart w:id="123" w:name="_Toc123051455"/>
      <w:bookmarkStart w:id="124" w:name="_Toc79154673"/>
      <w:bookmarkStart w:id="125" w:name="_Toc31821"/>
      <w:bookmarkStart w:id="126" w:name="_Toc98560355"/>
      <w:bookmarkStart w:id="127" w:name="_Toc123102456"/>
      <w:bookmarkStart w:id="128" w:name="_Toc21735"/>
      <w:bookmarkStart w:id="129" w:name="_Toc123112237"/>
      <w:r>
        <w:rPr>
          <w:rFonts w:hint="eastAsia"/>
          <w:sz w:val="30"/>
        </w:rPr>
        <w:t>第</w:t>
      </w:r>
      <w:r>
        <w:rPr>
          <w:sz w:val="30"/>
        </w:rPr>
        <w:t>十</w:t>
      </w:r>
      <w:r>
        <w:rPr>
          <w:rFonts w:hint="eastAsia"/>
          <w:sz w:val="30"/>
        </w:rPr>
        <w:t>条</w:t>
      </w:r>
      <w:r>
        <w:rPr>
          <w:sz w:val="30"/>
        </w:rPr>
        <w:t xml:space="preserve">  </w:t>
      </w:r>
      <w:r>
        <w:rPr>
          <w:rFonts w:hint="eastAsia"/>
          <w:sz w:val="30"/>
        </w:rPr>
        <w:t>理财产品的终止与清算</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spacing w:line="360" w:lineRule="auto"/>
        <w:ind w:firstLine="361" w:firstLineChars="200"/>
        <w:rPr>
          <w:rFonts w:asciiTheme="majorEastAsia" w:hAnsiTheme="majorEastAsia" w:eastAsiaTheme="majorEastAsia"/>
          <w:b/>
          <w:bCs/>
          <w:sz w:val="18"/>
          <w:szCs w:val="18"/>
        </w:rPr>
      </w:pPr>
      <w:bookmarkStart w:id="130" w:name="_Toc79392593"/>
      <w:bookmarkStart w:id="131" w:name="_Toc15118245"/>
      <w:bookmarkStart w:id="132"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部分终止的利益分配：产品管理人将依照销售文件公布部分终止日并指定利益分配日（一般为部分终止日之后的【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30"/>
    <w:bookmarkEnd w:id="131"/>
    <w:bookmarkEnd w:id="132"/>
    <w:p>
      <w:pPr>
        <w:pStyle w:val="2"/>
        <w:spacing w:before="0" w:after="0" w:line="360" w:lineRule="auto"/>
        <w:jc w:val="center"/>
        <w:rPr>
          <w:rFonts w:ascii="Times New Roman"/>
          <w:sz w:val="30"/>
        </w:rPr>
      </w:pPr>
      <w:r>
        <w:rPr>
          <w:rFonts w:ascii="Times New Roman"/>
          <w:b w:val="0"/>
          <w:bCs w:val="0"/>
          <w:kern w:val="2"/>
        </w:rPr>
        <w:br w:type="page"/>
      </w:r>
      <w:bookmarkStart w:id="133" w:name="_Toc32092"/>
      <w:bookmarkStart w:id="134" w:name="_Toc17198"/>
      <w:bookmarkStart w:id="135" w:name="_Toc32584"/>
      <w:bookmarkStart w:id="136" w:name="_Toc123112238"/>
      <w:bookmarkStart w:id="137" w:name="_Toc3329"/>
      <w:bookmarkStart w:id="138" w:name="_Toc21237"/>
      <w:bookmarkStart w:id="139" w:name="_Toc79154674"/>
      <w:bookmarkStart w:id="140" w:name="_Toc739"/>
      <w:bookmarkStart w:id="141" w:name="_Toc123051456"/>
      <w:bookmarkStart w:id="142" w:name="_Toc48649708"/>
      <w:bookmarkStart w:id="143" w:name="_Toc8791"/>
      <w:bookmarkStart w:id="144" w:name="_Toc98560356"/>
      <w:bookmarkStart w:id="145" w:name="_Toc141703890"/>
      <w:bookmarkStart w:id="146" w:name="_Toc79392622"/>
      <w:bookmarkStart w:id="147" w:name="_Toc123102457"/>
      <w:bookmarkStart w:id="148" w:name="_Toc176189763"/>
      <w:bookmarkStart w:id="149" w:name="_Toc29408"/>
      <w:bookmarkStart w:id="150" w:name="_Toc74065747"/>
      <w:bookmarkStart w:id="151" w:name="_Toc5170"/>
      <w:bookmarkStart w:id="152" w:name="_Toc139991740"/>
      <w:bookmarkStart w:id="153" w:name="_Toc17920"/>
      <w:r>
        <w:rPr>
          <w:rFonts w:ascii="Times New Roman"/>
          <w:sz w:val="30"/>
        </w:rPr>
        <w:t>第十一</w:t>
      </w:r>
      <w:r>
        <w:rPr>
          <w:rFonts w:hint="eastAsia" w:ascii="Times New Roman"/>
          <w:sz w:val="30"/>
        </w:rPr>
        <w:t>条</w:t>
      </w:r>
      <w:r>
        <w:rPr>
          <w:rFonts w:ascii="Times New Roman"/>
          <w:sz w:val="30"/>
        </w:rPr>
        <w:t xml:space="preserve">  </w:t>
      </w:r>
      <w:r>
        <w:rPr>
          <w:rFonts w:hint="eastAsia" w:ascii="Times New Roman"/>
          <w:sz w:val="30"/>
        </w:rPr>
        <w:t>理财产品的信息披露</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pPr>
        <w:spacing w:line="360" w:lineRule="auto"/>
        <w:ind w:firstLine="361"/>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rPr>
          <w:rFonts w:ascii="宋体" w:hAnsi="宋体"/>
          <w:b/>
          <w:bCs/>
          <w:sz w:val="18"/>
          <w:szCs w:val="18"/>
        </w:rPr>
      </w:pPr>
      <w:r>
        <w:rPr>
          <w:rFonts w:hint="eastAsia" w:ascii="宋体" w:hAnsi="宋体"/>
          <w:b/>
          <w:bCs/>
          <w:sz w:val="18"/>
          <w:szCs w:val="18"/>
        </w:rPr>
        <w:t>（二）信息披露的渠道</w:t>
      </w:r>
    </w:p>
    <w:p>
      <w:pPr>
        <w:spacing w:line="360" w:lineRule="auto"/>
        <w:ind w:firstLine="36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pPr>
        <w:spacing w:line="360" w:lineRule="auto"/>
        <w:ind w:firstLine="36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rPr>
          <w:rFonts w:ascii="宋体" w:hAnsi="宋体"/>
          <w:b/>
          <w:bCs/>
          <w:sz w:val="18"/>
          <w:szCs w:val="18"/>
        </w:rPr>
      </w:pPr>
      <w:r>
        <w:rPr>
          <w:rFonts w:hint="eastAsia" w:ascii="宋体" w:hAnsi="宋体"/>
          <w:b/>
          <w:bCs/>
          <w:sz w:val="18"/>
          <w:szCs w:val="18"/>
        </w:rPr>
        <w:t>（三）信息披露的内容</w:t>
      </w:r>
    </w:p>
    <w:p>
      <w:pPr>
        <w:spacing w:line="360" w:lineRule="auto"/>
        <w:ind w:firstLine="36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rPr>
          <w:rFonts w:ascii="宋体" w:hAnsi="宋体"/>
          <w:b/>
          <w:bCs/>
          <w:sz w:val="18"/>
          <w:szCs w:val="18"/>
        </w:rPr>
      </w:pPr>
      <w:r>
        <w:rPr>
          <w:rFonts w:hint="eastAsia" w:ascii="宋体" w:hAnsi="宋体"/>
          <w:b/>
          <w:bCs/>
          <w:sz w:val="18"/>
          <w:szCs w:val="18"/>
        </w:rPr>
        <w:t>（四）信息披露的频率和时间</w:t>
      </w:r>
    </w:p>
    <w:p>
      <w:pPr>
        <w:spacing w:line="360" w:lineRule="auto"/>
        <w:ind w:firstLine="360"/>
        <w:rPr>
          <w:rFonts w:ascii="宋体" w:hAnsi="宋体"/>
          <w:bCs/>
          <w:sz w:val="18"/>
          <w:szCs w:val="18"/>
        </w:rPr>
      </w:pPr>
      <w:r>
        <w:rPr>
          <w:rFonts w:ascii="宋体" w:hAnsi="宋体"/>
          <w:bCs/>
          <w:sz w:val="18"/>
          <w:szCs w:val="18"/>
        </w:rPr>
        <w:t>1.产品成立公告</w:t>
      </w:r>
    </w:p>
    <w:p>
      <w:pPr>
        <w:spacing w:line="360" w:lineRule="auto"/>
        <w:ind w:firstLine="36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rPr>
          <w:rFonts w:ascii="宋体" w:hAnsi="宋体"/>
          <w:bCs/>
          <w:sz w:val="18"/>
          <w:szCs w:val="18"/>
        </w:rPr>
      </w:pPr>
      <w:r>
        <w:rPr>
          <w:rFonts w:ascii="宋体" w:hAnsi="宋体"/>
          <w:bCs/>
          <w:sz w:val="18"/>
          <w:szCs w:val="18"/>
        </w:rPr>
        <w:t>3.定期报告</w:t>
      </w:r>
    </w:p>
    <w:p>
      <w:pPr>
        <w:spacing w:line="360" w:lineRule="auto"/>
        <w:ind w:firstLine="36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rPr>
          <w:rFonts w:ascii="宋体" w:hAnsi="宋体"/>
          <w:bCs/>
          <w:sz w:val="18"/>
          <w:szCs w:val="18"/>
        </w:rPr>
      </w:pPr>
      <w:r>
        <w:rPr>
          <w:rFonts w:ascii="宋体" w:hAnsi="宋体"/>
          <w:bCs/>
          <w:sz w:val="18"/>
          <w:szCs w:val="18"/>
        </w:rPr>
        <w:t>4.到期公告</w:t>
      </w:r>
    </w:p>
    <w:p>
      <w:pPr>
        <w:spacing w:line="360" w:lineRule="auto"/>
        <w:ind w:firstLine="36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rPr>
          <w:rFonts w:ascii="宋体" w:hAnsi="宋体"/>
          <w:bCs/>
          <w:sz w:val="18"/>
          <w:szCs w:val="18"/>
        </w:rPr>
      </w:pPr>
      <w:r>
        <w:rPr>
          <w:rFonts w:ascii="宋体" w:hAnsi="宋体"/>
          <w:bCs/>
          <w:sz w:val="18"/>
          <w:szCs w:val="18"/>
        </w:rPr>
        <w:t>5.估值日公告</w:t>
      </w:r>
    </w:p>
    <w:p>
      <w:pPr>
        <w:spacing w:line="360" w:lineRule="auto"/>
        <w:ind w:firstLine="360"/>
        <w:rPr>
          <w:rFonts w:ascii="宋体" w:hAnsi="宋体"/>
          <w:bCs/>
          <w:sz w:val="18"/>
          <w:szCs w:val="18"/>
        </w:rPr>
      </w:pPr>
      <w:permStart w:id="25"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周</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p>
    <w:permEnd w:id="25"/>
    <w:p>
      <w:pPr>
        <w:spacing w:line="360" w:lineRule="auto"/>
        <w:ind w:firstLine="360"/>
        <w:rPr>
          <w:rFonts w:ascii="宋体" w:hAnsi="宋体"/>
          <w:bCs/>
          <w:sz w:val="18"/>
          <w:szCs w:val="18"/>
        </w:rPr>
      </w:pPr>
      <w:r>
        <w:rPr>
          <w:rFonts w:ascii="宋体" w:hAnsi="宋体"/>
          <w:bCs/>
          <w:sz w:val="18"/>
          <w:szCs w:val="18"/>
        </w:rPr>
        <w:t>6.临时公告</w:t>
      </w:r>
    </w:p>
    <w:p>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★产品管理人</w:t>
      </w:r>
      <w:r>
        <w:rPr>
          <w:rFonts w:ascii="黑体" w:hAnsi="黑体" w:eastAsia="黑体"/>
          <w:bCs/>
          <w:sz w:val="18"/>
          <w:szCs w:val="18"/>
        </w:rPr>
        <w:t>对</w:t>
      </w:r>
      <w:r>
        <w:rPr>
          <w:rFonts w:hint="eastAsia" w:ascii="黑体" w:hAnsi="黑体" w:eastAsia="黑体"/>
          <w:bCs/>
          <w:sz w:val="18"/>
          <w:szCs w:val="18"/>
        </w:rPr>
        <w:t>投资范围、投资资产种类、</w:t>
      </w:r>
      <w:r>
        <w:rPr>
          <w:rFonts w:ascii="黑体" w:hAnsi="黑体" w:eastAsia="黑体"/>
          <w:bCs/>
          <w:sz w:val="18"/>
          <w:szCs w:val="18"/>
        </w:rPr>
        <w:t>投资</w:t>
      </w:r>
      <w:r>
        <w:rPr>
          <w:rFonts w:hint="eastAsia" w:ascii="黑体" w:hAnsi="黑体" w:eastAsia="黑体"/>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Cs/>
          <w:sz w:val="18"/>
          <w:szCs w:val="18"/>
        </w:rPr>
        <w:t>2个工作日发布变更公告</w:t>
      </w:r>
      <w:r>
        <w:rPr>
          <w:rFonts w:hint="eastAsia" w:ascii="黑体" w:hAnsi="黑体" w:eastAsia="黑体"/>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认购申请、暂停理财产品估值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在发生涉及产品认购事项调整时，管理人将发布临时公告。</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4）★在本产品存续期内，如因国家法律法规、监管规定发生变化，或是出于维护本产品正常运营的需要，在不损害投资者</w:t>
      </w:r>
      <w:r>
        <w:rPr>
          <w:rFonts w:hint="eastAsia" w:ascii="黑体" w:hAnsi="黑体" w:eastAsia="黑体"/>
          <w:bCs/>
          <w:sz w:val="18"/>
          <w:szCs w:val="18"/>
        </w:rPr>
        <w:t>权益</w:t>
      </w:r>
      <w:r>
        <w:rPr>
          <w:rFonts w:ascii="黑体" w:hAnsi="黑体" w:eastAsia="黑体"/>
          <w:bCs/>
          <w:sz w:val="18"/>
          <w:szCs w:val="18"/>
        </w:rPr>
        <w:t>的前提下，</w:t>
      </w:r>
      <w:r>
        <w:rPr>
          <w:rFonts w:hint="eastAsia" w:ascii="黑体" w:hAnsi="黑体" w:eastAsia="黑体"/>
          <w:bCs/>
          <w:sz w:val="18"/>
          <w:szCs w:val="18"/>
        </w:rPr>
        <w:t>产品管理人</w:t>
      </w:r>
      <w:r>
        <w:rPr>
          <w:rFonts w:ascii="黑体" w:hAnsi="黑体" w:eastAsia="黑体"/>
          <w:bCs/>
          <w:sz w:val="18"/>
          <w:szCs w:val="18"/>
        </w:rPr>
        <w:t>有权对</w:t>
      </w:r>
      <w:r>
        <w:rPr>
          <w:rFonts w:hint="eastAsia" w:ascii="黑体" w:hAnsi="黑体" w:eastAsia="黑体"/>
          <w:bCs/>
          <w:sz w:val="18"/>
          <w:szCs w:val="18"/>
        </w:rPr>
        <w:t>理财产品销售文件</w:t>
      </w:r>
      <w:r>
        <w:rPr>
          <w:rFonts w:ascii="黑体" w:hAnsi="黑体" w:eastAsia="黑体"/>
          <w:bCs/>
          <w:sz w:val="18"/>
          <w:szCs w:val="18"/>
        </w:rPr>
        <w:t>进行修订，并提前2个工作日进行</w:t>
      </w:r>
      <w:r>
        <w:rPr>
          <w:rFonts w:hint="eastAsia" w:ascii="黑体" w:hAnsi="黑体" w:eastAsia="黑体"/>
          <w:bCs/>
          <w:sz w:val="18"/>
          <w:szCs w:val="18"/>
        </w:rPr>
        <w:t>公告</w:t>
      </w:r>
      <w:r>
        <w:rPr>
          <w:rFonts w:ascii="黑体" w:hAnsi="黑体" w:eastAsia="黑体"/>
          <w:bCs/>
          <w:sz w:val="18"/>
          <w:szCs w:val="18"/>
        </w:rPr>
        <w:t>。</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Cs/>
          <w:sz w:val="18"/>
          <w:szCs w:val="18"/>
        </w:rPr>
        <w:t>并提前2个工作日进行</w:t>
      </w:r>
      <w:r>
        <w:rPr>
          <w:rFonts w:hint="eastAsia" w:ascii="黑体" w:hAnsi="黑体" w:eastAsia="黑体"/>
          <w:bCs/>
          <w:sz w:val="18"/>
          <w:szCs w:val="18"/>
        </w:rPr>
        <w:t>公告。若投资者未选择退出本产品的，则视为已理解并接受管理人的相应变更。</w:t>
      </w: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54" w:name="_Toc79154675"/>
      <w:bookmarkStart w:id="155" w:name="_Toc176189764"/>
      <w:r>
        <w:rPr>
          <w:rFonts w:hint="eastAsia" w:ascii="Times New Roman"/>
          <w:sz w:val="30"/>
        </w:rPr>
        <w:t>第十</w:t>
      </w:r>
      <w:r>
        <w:rPr>
          <w:rFonts w:ascii="Times New Roman"/>
          <w:sz w:val="30"/>
        </w:rPr>
        <w:t>二</w:t>
      </w:r>
      <w:r>
        <w:rPr>
          <w:rFonts w:hint="eastAsia" w:ascii="Times New Roman"/>
          <w:sz w:val="30"/>
        </w:rPr>
        <w:t>条</w:t>
      </w:r>
      <w:r>
        <w:rPr>
          <w:rFonts w:ascii="Times New Roman"/>
          <w:sz w:val="30"/>
        </w:rPr>
        <w:t xml:space="preserve">  </w:t>
      </w:r>
      <w:r>
        <w:rPr>
          <w:rFonts w:hint="eastAsia" w:ascii="Times New Roman"/>
          <w:sz w:val="30"/>
        </w:rPr>
        <w:t>理财产品</w:t>
      </w:r>
      <w:r>
        <w:rPr>
          <w:rFonts w:ascii="Times New Roman"/>
          <w:sz w:val="30"/>
        </w:rPr>
        <w:t>的风险揭示</w:t>
      </w:r>
      <w:bookmarkEnd w:id="154"/>
      <w:bookmarkEnd w:id="15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pStyle w:val="38"/>
        <w:spacing w:line="240" w:lineRule="auto"/>
        <w:ind w:firstLine="360"/>
        <w:rPr>
          <w:rFonts w:ascii="宋体" w:hAnsi="宋体"/>
          <w:bCs/>
          <w:sz w:val="18"/>
          <w:szCs w:val="18"/>
        </w:rPr>
      </w:pPr>
      <w:permStart w:id="26" w:edGrp="everyone"/>
      <w:r>
        <w:rPr>
          <w:rFonts w:hint="eastAsia" w:ascii="宋体" w:hAnsi="宋体"/>
          <w:sz w:val="18"/>
          <w:szCs w:val="18"/>
        </w:rPr>
        <w:t>【</w:t>
      </w:r>
      <w:r>
        <w:rPr>
          <w:rFonts w:hint="eastAsia" w:ascii="宋体" w:hAnsi="宋体"/>
          <w:bCs/>
          <w:sz w:val="18"/>
          <w:szCs w:val="18"/>
        </w:rPr>
        <w:t>1.拟投资市场和资产的风险：</w:t>
      </w:r>
    </w:p>
    <w:p>
      <w:pPr>
        <w:pStyle w:val="38"/>
        <w:spacing w:line="240" w:lineRule="auto"/>
        <w:ind w:firstLine="360"/>
        <w:rPr>
          <w:rFonts w:ascii="宋体" w:hAnsi="宋体"/>
          <w:bCs/>
          <w:sz w:val="18"/>
          <w:szCs w:val="18"/>
        </w:rPr>
      </w:pPr>
      <w:r>
        <w:rPr>
          <w:rFonts w:hint="eastAsia" w:ascii="宋体" w:hAnsi="宋体"/>
          <w:bCs/>
          <w:sz w:val="18"/>
          <w:szCs w:val="18"/>
        </w:rPr>
        <w:t>（1）投资债权类资产的风险</w:t>
      </w:r>
    </w:p>
    <w:p>
      <w:pPr>
        <w:pStyle w:val="38"/>
        <w:spacing w:line="240" w:lineRule="auto"/>
        <w:ind w:firstLine="360"/>
        <w:rPr>
          <w:rFonts w:ascii="宋体" w:hAnsi="宋体"/>
          <w:bCs/>
          <w:sz w:val="18"/>
          <w:szCs w:val="18"/>
        </w:rPr>
      </w:pPr>
      <w:r>
        <w:rPr>
          <w:rFonts w:hint="eastAsia" w:ascii="宋体" w:hAnsi="宋体"/>
          <w:bCs/>
          <w:sz w:val="18"/>
          <w:szCs w:val="18"/>
        </w:rPr>
        <w:t>1）投资标准化债权类资产的风险</w:t>
      </w:r>
    </w:p>
    <w:p>
      <w:pPr>
        <w:pStyle w:val="38"/>
        <w:spacing w:line="240" w:lineRule="auto"/>
        <w:ind w:firstLine="360"/>
        <w:rPr>
          <w:rFonts w:ascii="宋体" w:hAnsi="宋体"/>
          <w:bCs/>
          <w:sz w:val="18"/>
          <w:szCs w:val="18"/>
        </w:rPr>
      </w:pPr>
      <w:r>
        <w:rPr>
          <w:rFonts w:hint="eastAsia" w:ascii="宋体" w:hAnsi="宋体"/>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38"/>
        <w:spacing w:line="240" w:lineRule="auto"/>
        <w:ind w:firstLine="360"/>
        <w:rPr>
          <w:rFonts w:ascii="宋体" w:hAnsi="宋体"/>
          <w:bCs/>
          <w:sz w:val="18"/>
          <w:szCs w:val="18"/>
        </w:rPr>
      </w:pPr>
      <w:r>
        <w:rPr>
          <w:rFonts w:hint="eastAsia" w:ascii="宋体" w:hAnsi="宋体"/>
          <w:bCs/>
          <w:sz w:val="18"/>
          <w:szCs w:val="18"/>
        </w:rPr>
        <w:t>2）投资非标准化债权类资产的风险</w:t>
      </w:r>
    </w:p>
    <w:p>
      <w:pPr>
        <w:spacing w:line="360" w:lineRule="auto"/>
        <w:ind w:firstLine="360" w:firstLineChars="200"/>
        <w:rPr>
          <w:rFonts w:ascii="宋体" w:hAnsi="宋体"/>
          <w:sz w:val="18"/>
          <w:szCs w:val="18"/>
        </w:rPr>
      </w:pPr>
      <w:r>
        <w:rPr>
          <w:rFonts w:hint="eastAsia" w:ascii="宋体" w:hAnsi="宋体"/>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r>
        <w:rPr>
          <w:rFonts w:hint="eastAsia" w:ascii="宋体" w:hAnsi="宋体"/>
          <w:sz w:val="18"/>
          <w:szCs w:val="18"/>
        </w:rPr>
        <w:t>】</w:t>
      </w:r>
      <w:permEnd w:id="26"/>
    </w:p>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widowControl/>
        <w:jc w:val="left"/>
        <w:rPr>
          <w:rFonts w:ascii="宋体" w:hAnsi="宋体"/>
          <w:color w:val="000000"/>
          <w:kern w:val="0"/>
          <w:sz w:val="18"/>
          <w:szCs w:val="18"/>
        </w:rPr>
      </w:pPr>
      <w:r>
        <w:rPr>
          <w:rFonts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w:t>
            </w:r>
            <w:r>
              <w:rPr>
                <w:rFonts w:cs="Arial"/>
                <w:sz w:val="18"/>
                <w:szCs w:val="18"/>
              </w:rPr>
              <w:t>/</w:t>
            </w:r>
            <w:r>
              <w:rPr>
                <w:rFonts w:hint="eastAsia" w:cs="Arial"/>
                <w:sz w:val="18"/>
                <w:szCs w:val="18"/>
              </w:rPr>
              <w:t>线上确认）：</w:t>
            </w:r>
          </w:p>
          <w:p>
            <w:pPr>
              <w:tabs>
                <w:tab w:val="left" w:pos="5609"/>
              </w:tabs>
              <w:spacing w:line="360" w:lineRule="auto"/>
              <w:ind w:firstLine="360"/>
              <w:jc w:val="left"/>
              <w:rPr>
                <w:rFonts w:cs="Arial"/>
                <w:sz w:val="18"/>
                <w:szCs w:val="18"/>
              </w:rPr>
            </w:pPr>
            <w:r>
              <w:rPr>
                <w:rFonts w:cs="Arial"/>
                <w:sz w:val="18"/>
                <w:szCs w:val="18"/>
              </w:rPr>
              <w:tab/>
            </w:r>
          </w:p>
          <w:p>
            <w:pPr>
              <w:spacing w:line="360" w:lineRule="auto"/>
              <w:ind w:firstLine="360"/>
              <w:jc w:val="left"/>
              <w:rPr>
                <w:rFonts w:cs="Arial"/>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cs="Arial"/>
                <w:sz w:val="18"/>
                <w:szCs w:val="18"/>
              </w:rPr>
              <w:t>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30</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b/>
      </w:rPr>
    </w:pPr>
    <w:r>
      <w:rPr>
        <w:rFonts w:hint="eastAsia" w:ascii="Times New Roman" w:hAnsi="Times New Roman" w:cs="Times New Roman"/>
        <w:b/>
        <w:szCs w:val="20"/>
      </w:rPr>
      <w:t xml:space="preserve"> </w:t>
    </w:r>
    <w:r>
      <w:rPr>
        <w:rFonts w:hint="eastAsia" w:ascii="Times New Roman" w:hAnsi="Times New Roman"/>
        <w:b/>
      </w:rPr>
      <w:t>产品说明书</w:t>
    </w:r>
  </w:p>
  <w:p>
    <w:pPr>
      <w:pStyle w:val="15"/>
      <w:jc w:val="right"/>
      <w:rPr>
        <w:rFonts w:ascii="Times New Roman" w:hAnsi="Times New Roman"/>
        <w:b/>
      </w:rPr>
    </w:pPr>
    <w:r>
      <w:rPr>
        <w:rFonts w:hint="eastAsia" w:ascii="Times New Roman" w:hAnsi="Times New Roman"/>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dit="readOnly" w:enforcement="1" w:cryptProviderType="rsaAES" w:cryptAlgorithmClass="hash" w:cryptAlgorithmType="typeAny" w:cryptAlgorithmSid="14" w:cryptSpinCount="100000" w:hash="mfb1nq3uxpir52HiOg5tuWEWBcq5gP++FQs5Aydt9cE6NMoCz0kkqs0r9EiP+jsYTvueEjhAbHYb9/JVRjlKaA==" w:salt="0Xq7BYtjNMlgYlG1ZbAXI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208C"/>
    <w:rsid w:val="00002480"/>
    <w:rsid w:val="0001202B"/>
    <w:rsid w:val="000124BB"/>
    <w:rsid w:val="00014A51"/>
    <w:rsid w:val="00014CFA"/>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7A51"/>
    <w:rsid w:val="0004119D"/>
    <w:rsid w:val="0004124F"/>
    <w:rsid w:val="00042C76"/>
    <w:rsid w:val="00042CE7"/>
    <w:rsid w:val="00044823"/>
    <w:rsid w:val="00045941"/>
    <w:rsid w:val="00050766"/>
    <w:rsid w:val="0005088E"/>
    <w:rsid w:val="00051D28"/>
    <w:rsid w:val="00051DE2"/>
    <w:rsid w:val="00055773"/>
    <w:rsid w:val="000565A5"/>
    <w:rsid w:val="0005743B"/>
    <w:rsid w:val="00057BC6"/>
    <w:rsid w:val="0006031B"/>
    <w:rsid w:val="00061C70"/>
    <w:rsid w:val="00062695"/>
    <w:rsid w:val="000629DD"/>
    <w:rsid w:val="00063B03"/>
    <w:rsid w:val="000705EE"/>
    <w:rsid w:val="00070857"/>
    <w:rsid w:val="00073A90"/>
    <w:rsid w:val="000747D8"/>
    <w:rsid w:val="0007760F"/>
    <w:rsid w:val="00077A54"/>
    <w:rsid w:val="00077C13"/>
    <w:rsid w:val="00080277"/>
    <w:rsid w:val="0008037A"/>
    <w:rsid w:val="00081DC7"/>
    <w:rsid w:val="000826C9"/>
    <w:rsid w:val="00085DD5"/>
    <w:rsid w:val="0009006A"/>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378B"/>
    <w:rsid w:val="000B41F8"/>
    <w:rsid w:val="000B6819"/>
    <w:rsid w:val="000B7F67"/>
    <w:rsid w:val="000C31AC"/>
    <w:rsid w:val="000C3B81"/>
    <w:rsid w:val="000C69CB"/>
    <w:rsid w:val="000C6BF4"/>
    <w:rsid w:val="000C7C96"/>
    <w:rsid w:val="000D01BB"/>
    <w:rsid w:val="000D0A91"/>
    <w:rsid w:val="000D0C3A"/>
    <w:rsid w:val="000D10B1"/>
    <w:rsid w:val="000D1473"/>
    <w:rsid w:val="000D19CF"/>
    <w:rsid w:val="000D2623"/>
    <w:rsid w:val="000D3E2A"/>
    <w:rsid w:val="000D4DAE"/>
    <w:rsid w:val="000D5369"/>
    <w:rsid w:val="000D548F"/>
    <w:rsid w:val="000D591B"/>
    <w:rsid w:val="000E008C"/>
    <w:rsid w:val="000E181B"/>
    <w:rsid w:val="000E18C8"/>
    <w:rsid w:val="000E4365"/>
    <w:rsid w:val="000E4E32"/>
    <w:rsid w:val="000E5A74"/>
    <w:rsid w:val="000E798C"/>
    <w:rsid w:val="000E7BB9"/>
    <w:rsid w:val="000F09FA"/>
    <w:rsid w:val="000F4322"/>
    <w:rsid w:val="000F556F"/>
    <w:rsid w:val="000F7FB5"/>
    <w:rsid w:val="00100295"/>
    <w:rsid w:val="00100789"/>
    <w:rsid w:val="00100D6E"/>
    <w:rsid w:val="00103221"/>
    <w:rsid w:val="0010351A"/>
    <w:rsid w:val="001048D9"/>
    <w:rsid w:val="00104FAF"/>
    <w:rsid w:val="0011092D"/>
    <w:rsid w:val="00111430"/>
    <w:rsid w:val="00112922"/>
    <w:rsid w:val="00112BE0"/>
    <w:rsid w:val="001139C8"/>
    <w:rsid w:val="001152F4"/>
    <w:rsid w:val="001157E6"/>
    <w:rsid w:val="00115A4C"/>
    <w:rsid w:val="00121A98"/>
    <w:rsid w:val="00122AA4"/>
    <w:rsid w:val="00122E28"/>
    <w:rsid w:val="001232D0"/>
    <w:rsid w:val="00124098"/>
    <w:rsid w:val="0012639A"/>
    <w:rsid w:val="00127FAE"/>
    <w:rsid w:val="00134EC8"/>
    <w:rsid w:val="00140E17"/>
    <w:rsid w:val="00140FD0"/>
    <w:rsid w:val="00142E86"/>
    <w:rsid w:val="00144336"/>
    <w:rsid w:val="00144A06"/>
    <w:rsid w:val="00144E84"/>
    <w:rsid w:val="00146F91"/>
    <w:rsid w:val="001507DF"/>
    <w:rsid w:val="001527E9"/>
    <w:rsid w:val="00153415"/>
    <w:rsid w:val="001547CA"/>
    <w:rsid w:val="00154F9C"/>
    <w:rsid w:val="001562FA"/>
    <w:rsid w:val="0016331D"/>
    <w:rsid w:val="00163655"/>
    <w:rsid w:val="00163854"/>
    <w:rsid w:val="00165A9A"/>
    <w:rsid w:val="00167B0D"/>
    <w:rsid w:val="00171033"/>
    <w:rsid w:val="001715BB"/>
    <w:rsid w:val="00172BBF"/>
    <w:rsid w:val="0017394A"/>
    <w:rsid w:val="00174651"/>
    <w:rsid w:val="0017488D"/>
    <w:rsid w:val="00175F68"/>
    <w:rsid w:val="00176589"/>
    <w:rsid w:val="001768DA"/>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57A5"/>
    <w:rsid w:val="00196E62"/>
    <w:rsid w:val="001A0033"/>
    <w:rsid w:val="001A141C"/>
    <w:rsid w:val="001A352E"/>
    <w:rsid w:val="001A434D"/>
    <w:rsid w:val="001A5D11"/>
    <w:rsid w:val="001A6633"/>
    <w:rsid w:val="001B218F"/>
    <w:rsid w:val="001B21AE"/>
    <w:rsid w:val="001B3B95"/>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487F"/>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5756"/>
    <w:rsid w:val="0025790B"/>
    <w:rsid w:val="00264630"/>
    <w:rsid w:val="002653AC"/>
    <w:rsid w:val="00265722"/>
    <w:rsid w:val="002657CF"/>
    <w:rsid w:val="00266037"/>
    <w:rsid w:val="00266978"/>
    <w:rsid w:val="00266DAB"/>
    <w:rsid w:val="00271878"/>
    <w:rsid w:val="00272C40"/>
    <w:rsid w:val="00273F65"/>
    <w:rsid w:val="00274BFD"/>
    <w:rsid w:val="00275526"/>
    <w:rsid w:val="00275757"/>
    <w:rsid w:val="00281B9A"/>
    <w:rsid w:val="002826EB"/>
    <w:rsid w:val="00284D4C"/>
    <w:rsid w:val="00290893"/>
    <w:rsid w:val="0029197D"/>
    <w:rsid w:val="00293329"/>
    <w:rsid w:val="002A1894"/>
    <w:rsid w:val="002A2964"/>
    <w:rsid w:val="002A3DA0"/>
    <w:rsid w:val="002A6688"/>
    <w:rsid w:val="002B0A68"/>
    <w:rsid w:val="002B2349"/>
    <w:rsid w:val="002B389F"/>
    <w:rsid w:val="002B4AAF"/>
    <w:rsid w:val="002B5421"/>
    <w:rsid w:val="002B75A8"/>
    <w:rsid w:val="002C036C"/>
    <w:rsid w:val="002C063A"/>
    <w:rsid w:val="002C0CF5"/>
    <w:rsid w:val="002C3DA6"/>
    <w:rsid w:val="002C3DD6"/>
    <w:rsid w:val="002C446D"/>
    <w:rsid w:val="002C6117"/>
    <w:rsid w:val="002C6DB5"/>
    <w:rsid w:val="002D0829"/>
    <w:rsid w:val="002D3AB7"/>
    <w:rsid w:val="002D3AEF"/>
    <w:rsid w:val="002D6AFD"/>
    <w:rsid w:val="002D7737"/>
    <w:rsid w:val="002E0FFD"/>
    <w:rsid w:val="002E134B"/>
    <w:rsid w:val="002E25FC"/>
    <w:rsid w:val="002E393C"/>
    <w:rsid w:val="002E5F4C"/>
    <w:rsid w:val="002E6721"/>
    <w:rsid w:val="002E7C23"/>
    <w:rsid w:val="002F29C4"/>
    <w:rsid w:val="002F389F"/>
    <w:rsid w:val="002F45BC"/>
    <w:rsid w:val="002F4C49"/>
    <w:rsid w:val="00301106"/>
    <w:rsid w:val="003029FF"/>
    <w:rsid w:val="0030325C"/>
    <w:rsid w:val="00304D9D"/>
    <w:rsid w:val="00306DA6"/>
    <w:rsid w:val="0031156D"/>
    <w:rsid w:val="003122D5"/>
    <w:rsid w:val="00313E17"/>
    <w:rsid w:val="00314DBE"/>
    <w:rsid w:val="00315680"/>
    <w:rsid w:val="00320153"/>
    <w:rsid w:val="003224C7"/>
    <w:rsid w:val="003229E9"/>
    <w:rsid w:val="00331380"/>
    <w:rsid w:val="00331423"/>
    <w:rsid w:val="00331AA1"/>
    <w:rsid w:val="00332367"/>
    <w:rsid w:val="00333006"/>
    <w:rsid w:val="0033357B"/>
    <w:rsid w:val="00335A6D"/>
    <w:rsid w:val="003363E0"/>
    <w:rsid w:val="00336C03"/>
    <w:rsid w:val="0033710A"/>
    <w:rsid w:val="00337172"/>
    <w:rsid w:val="00337AF2"/>
    <w:rsid w:val="00337EC3"/>
    <w:rsid w:val="003405D3"/>
    <w:rsid w:val="00341DFC"/>
    <w:rsid w:val="003444E9"/>
    <w:rsid w:val="003509B2"/>
    <w:rsid w:val="00350B80"/>
    <w:rsid w:val="0035109F"/>
    <w:rsid w:val="00351B3C"/>
    <w:rsid w:val="0035299D"/>
    <w:rsid w:val="00356734"/>
    <w:rsid w:val="00356F2E"/>
    <w:rsid w:val="003601A7"/>
    <w:rsid w:val="00361109"/>
    <w:rsid w:val="00363191"/>
    <w:rsid w:val="00363504"/>
    <w:rsid w:val="0036433E"/>
    <w:rsid w:val="003669E3"/>
    <w:rsid w:val="00370696"/>
    <w:rsid w:val="00371546"/>
    <w:rsid w:val="003727DA"/>
    <w:rsid w:val="00373305"/>
    <w:rsid w:val="003745A5"/>
    <w:rsid w:val="00375BC6"/>
    <w:rsid w:val="00380DB4"/>
    <w:rsid w:val="00381A67"/>
    <w:rsid w:val="003823A6"/>
    <w:rsid w:val="003838B9"/>
    <w:rsid w:val="00383D2C"/>
    <w:rsid w:val="0038516F"/>
    <w:rsid w:val="00387E86"/>
    <w:rsid w:val="00391BBC"/>
    <w:rsid w:val="00392F32"/>
    <w:rsid w:val="00396C37"/>
    <w:rsid w:val="00396E72"/>
    <w:rsid w:val="003A3197"/>
    <w:rsid w:val="003A42AD"/>
    <w:rsid w:val="003A430B"/>
    <w:rsid w:val="003A5032"/>
    <w:rsid w:val="003B00EC"/>
    <w:rsid w:val="003B1841"/>
    <w:rsid w:val="003B32A0"/>
    <w:rsid w:val="003B343A"/>
    <w:rsid w:val="003B600B"/>
    <w:rsid w:val="003B72A3"/>
    <w:rsid w:val="003C2C6C"/>
    <w:rsid w:val="003C2FD0"/>
    <w:rsid w:val="003C3843"/>
    <w:rsid w:val="003C4A62"/>
    <w:rsid w:val="003C4CEB"/>
    <w:rsid w:val="003C51FE"/>
    <w:rsid w:val="003C56B8"/>
    <w:rsid w:val="003C5C1E"/>
    <w:rsid w:val="003C6DEC"/>
    <w:rsid w:val="003C7EAF"/>
    <w:rsid w:val="003D26D0"/>
    <w:rsid w:val="003D3411"/>
    <w:rsid w:val="003D5ED1"/>
    <w:rsid w:val="003D63E6"/>
    <w:rsid w:val="003E2F07"/>
    <w:rsid w:val="003E31AA"/>
    <w:rsid w:val="003E3D00"/>
    <w:rsid w:val="003F4B74"/>
    <w:rsid w:val="00400144"/>
    <w:rsid w:val="00400D54"/>
    <w:rsid w:val="0040151D"/>
    <w:rsid w:val="0040285C"/>
    <w:rsid w:val="004043E5"/>
    <w:rsid w:val="00404A76"/>
    <w:rsid w:val="00404C4F"/>
    <w:rsid w:val="00406C36"/>
    <w:rsid w:val="0040736E"/>
    <w:rsid w:val="00407912"/>
    <w:rsid w:val="00410860"/>
    <w:rsid w:val="004111DE"/>
    <w:rsid w:val="00411594"/>
    <w:rsid w:val="004134C2"/>
    <w:rsid w:val="00416AC9"/>
    <w:rsid w:val="00416CB0"/>
    <w:rsid w:val="00420268"/>
    <w:rsid w:val="0042292D"/>
    <w:rsid w:val="00422B14"/>
    <w:rsid w:val="00424562"/>
    <w:rsid w:val="0042456A"/>
    <w:rsid w:val="004259CB"/>
    <w:rsid w:val="00426CB5"/>
    <w:rsid w:val="0042700C"/>
    <w:rsid w:val="00430510"/>
    <w:rsid w:val="00430DF1"/>
    <w:rsid w:val="00434DA3"/>
    <w:rsid w:val="00436184"/>
    <w:rsid w:val="004365C7"/>
    <w:rsid w:val="004369A7"/>
    <w:rsid w:val="0043725F"/>
    <w:rsid w:val="00440E4C"/>
    <w:rsid w:val="00441309"/>
    <w:rsid w:val="00441A1F"/>
    <w:rsid w:val="00441C87"/>
    <w:rsid w:val="0044275F"/>
    <w:rsid w:val="00444B08"/>
    <w:rsid w:val="00444C05"/>
    <w:rsid w:val="00444E95"/>
    <w:rsid w:val="004451F2"/>
    <w:rsid w:val="00447A83"/>
    <w:rsid w:val="00450AE7"/>
    <w:rsid w:val="00452527"/>
    <w:rsid w:val="00453F94"/>
    <w:rsid w:val="0045405E"/>
    <w:rsid w:val="0045524D"/>
    <w:rsid w:val="00455720"/>
    <w:rsid w:val="00457B7E"/>
    <w:rsid w:val="00460E19"/>
    <w:rsid w:val="00461E0D"/>
    <w:rsid w:val="00462328"/>
    <w:rsid w:val="00462D9E"/>
    <w:rsid w:val="00466864"/>
    <w:rsid w:val="00466F57"/>
    <w:rsid w:val="004678B2"/>
    <w:rsid w:val="00467C9D"/>
    <w:rsid w:val="00470261"/>
    <w:rsid w:val="004711A9"/>
    <w:rsid w:val="00471A23"/>
    <w:rsid w:val="00471ABA"/>
    <w:rsid w:val="0047289E"/>
    <w:rsid w:val="00477510"/>
    <w:rsid w:val="00480985"/>
    <w:rsid w:val="00480CC1"/>
    <w:rsid w:val="00480FF7"/>
    <w:rsid w:val="004811BA"/>
    <w:rsid w:val="0048253E"/>
    <w:rsid w:val="00482F37"/>
    <w:rsid w:val="00483507"/>
    <w:rsid w:val="00485D45"/>
    <w:rsid w:val="00486A6C"/>
    <w:rsid w:val="00487444"/>
    <w:rsid w:val="004902E2"/>
    <w:rsid w:val="00490E3D"/>
    <w:rsid w:val="004917FC"/>
    <w:rsid w:val="00491C11"/>
    <w:rsid w:val="004922CC"/>
    <w:rsid w:val="004940D3"/>
    <w:rsid w:val="004960D3"/>
    <w:rsid w:val="00497FEC"/>
    <w:rsid w:val="004A0C4A"/>
    <w:rsid w:val="004A0D93"/>
    <w:rsid w:val="004A12AC"/>
    <w:rsid w:val="004A2354"/>
    <w:rsid w:val="004B1194"/>
    <w:rsid w:val="004B1599"/>
    <w:rsid w:val="004B3136"/>
    <w:rsid w:val="004B5526"/>
    <w:rsid w:val="004C1BF8"/>
    <w:rsid w:val="004C2000"/>
    <w:rsid w:val="004C4C0A"/>
    <w:rsid w:val="004C4C12"/>
    <w:rsid w:val="004C51D4"/>
    <w:rsid w:val="004C62FA"/>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020"/>
    <w:rsid w:val="004F3355"/>
    <w:rsid w:val="004F45E5"/>
    <w:rsid w:val="004F483B"/>
    <w:rsid w:val="004F52DE"/>
    <w:rsid w:val="004F58A4"/>
    <w:rsid w:val="00500B33"/>
    <w:rsid w:val="0050192C"/>
    <w:rsid w:val="00502068"/>
    <w:rsid w:val="005023E9"/>
    <w:rsid w:val="005030D1"/>
    <w:rsid w:val="00503239"/>
    <w:rsid w:val="005048A9"/>
    <w:rsid w:val="00504CD2"/>
    <w:rsid w:val="0050525D"/>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58D"/>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77682"/>
    <w:rsid w:val="00580472"/>
    <w:rsid w:val="00583DB2"/>
    <w:rsid w:val="0058644F"/>
    <w:rsid w:val="00586B5E"/>
    <w:rsid w:val="0058793F"/>
    <w:rsid w:val="00587E86"/>
    <w:rsid w:val="005905CC"/>
    <w:rsid w:val="0059345F"/>
    <w:rsid w:val="005942B5"/>
    <w:rsid w:val="005964FC"/>
    <w:rsid w:val="00596640"/>
    <w:rsid w:val="005A1A2E"/>
    <w:rsid w:val="005A2814"/>
    <w:rsid w:val="005A3E7B"/>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2A2A"/>
    <w:rsid w:val="005D30EC"/>
    <w:rsid w:val="005D3EBA"/>
    <w:rsid w:val="005D3F7B"/>
    <w:rsid w:val="005D3F83"/>
    <w:rsid w:val="005D5021"/>
    <w:rsid w:val="005D6B6D"/>
    <w:rsid w:val="005E0304"/>
    <w:rsid w:val="005E1F5B"/>
    <w:rsid w:val="005E2522"/>
    <w:rsid w:val="005E34A7"/>
    <w:rsid w:val="005E3ECC"/>
    <w:rsid w:val="005E5B83"/>
    <w:rsid w:val="005E6FB7"/>
    <w:rsid w:val="005F0064"/>
    <w:rsid w:val="005F2F17"/>
    <w:rsid w:val="005F30D3"/>
    <w:rsid w:val="005F379A"/>
    <w:rsid w:val="005F4287"/>
    <w:rsid w:val="005F469C"/>
    <w:rsid w:val="005F7FD5"/>
    <w:rsid w:val="00600FE7"/>
    <w:rsid w:val="006019D1"/>
    <w:rsid w:val="00605524"/>
    <w:rsid w:val="00605B31"/>
    <w:rsid w:val="00605C5D"/>
    <w:rsid w:val="006065FB"/>
    <w:rsid w:val="00607DDC"/>
    <w:rsid w:val="00612793"/>
    <w:rsid w:val="00612869"/>
    <w:rsid w:val="006146BA"/>
    <w:rsid w:val="00620063"/>
    <w:rsid w:val="00620D75"/>
    <w:rsid w:val="00621F2C"/>
    <w:rsid w:val="00624760"/>
    <w:rsid w:val="00624F2C"/>
    <w:rsid w:val="00625B80"/>
    <w:rsid w:val="00626BC0"/>
    <w:rsid w:val="00626E1F"/>
    <w:rsid w:val="0063051C"/>
    <w:rsid w:val="006307AD"/>
    <w:rsid w:val="00631736"/>
    <w:rsid w:val="006328AE"/>
    <w:rsid w:val="0064020E"/>
    <w:rsid w:val="0064087A"/>
    <w:rsid w:val="00644970"/>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7C1"/>
    <w:rsid w:val="00687A26"/>
    <w:rsid w:val="006904D3"/>
    <w:rsid w:val="0069132D"/>
    <w:rsid w:val="006929EA"/>
    <w:rsid w:val="00692BC9"/>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9CF"/>
    <w:rsid w:val="006C3458"/>
    <w:rsid w:val="006C3815"/>
    <w:rsid w:val="006C4170"/>
    <w:rsid w:val="006C4848"/>
    <w:rsid w:val="006C4A05"/>
    <w:rsid w:val="006C5ACD"/>
    <w:rsid w:val="006C6369"/>
    <w:rsid w:val="006C6D81"/>
    <w:rsid w:val="006C7218"/>
    <w:rsid w:val="006C75F7"/>
    <w:rsid w:val="006C7E9B"/>
    <w:rsid w:val="006D0BDE"/>
    <w:rsid w:val="006D160E"/>
    <w:rsid w:val="006D3D10"/>
    <w:rsid w:val="006D4093"/>
    <w:rsid w:val="006D4430"/>
    <w:rsid w:val="006D586E"/>
    <w:rsid w:val="006D6C20"/>
    <w:rsid w:val="006D7C06"/>
    <w:rsid w:val="006D7D05"/>
    <w:rsid w:val="006E1A9B"/>
    <w:rsid w:val="006E2E41"/>
    <w:rsid w:val="006E5D67"/>
    <w:rsid w:val="006E6ED0"/>
    <w:rsid w:val="006E7124"/>
    <w:rsid w:val="006E7FC7"/>
    <w:rsid w:val="006F2488"/>
    <w:rsid w:val="006F356A"/>
    <w:rsid w:val="006F5923"/>
    <w:rsid w:val="006F6174"/>
    <w:rsid w:val="006F7D4D"/>
    <w:rsid w:val="0070045F"/>
    <w:rsid w:val="00701DAD"/>
    <w:rsid w:val="007048B2"/>
    <w:rsid w:val="00706406"/>
    <w:rsid w:val="00706DCA"/>
    <w:rsid w:val="00707A7B"/>
    <w:rsid w:val="007123F2"/>
    <w:rsid w:val="00712CFF"/>
    <w:rsid w:val="0071321B"/>
    <w:rsid w:val="007143E3"/>
    <w:rsid w:val="0071446F"/>
    <w:rsid w:val="00714473"/>
    <w:rsid w:val="00715C08"/>
    <w:rsid w:val="007166B2"/>
    <w:rsid w:val="00717330"/>
    <w:rsid w:val="00720D3D"/>
    <w:rsid w:val="00720E8F"/>
    <w:rsid w:val="007210F9"/>
    <w:rsid w:val="0072322A"/>
    <w:rsid w:val="00724416"/>
    <w:rsid w:val="0072773A"/>
    <w:rsid w:val="00727C00"/>
    <w:rsid w:val="007305B6"/>
    <w:rsid w:val="007319DA"/>
    <w:rsid w:val="00741F90"/>
    <w:rsid w:val="007425D7"/>
    <w:rsid w:val="00742D00"/>
    <w:rsid w:val="007431C0"/>
    <w:rsid w:val="00743AB2"/>
    <w:rsid w:val="00746AF7"/>
    <w:rsid w:val="00746FAD"/>
    <w:rsid w:val="00752FA6"/>
    <w:rsid w:val="007530BD"/>
    <w:rsid w:val="00754168"/>
    <w:rsid w:val="00755570"/>
    <w:rsid w:val="00755F45"/>
    <w:rsid w:val="00757357"/>
    <w:rsid w:val="00760BF7"/>
    <w:rsid w:val="00762022"/>
    <w:rsid w:val="007630BD"/>
    <w:rsid w:val="00763193"/>
    <w:rsid w:val="0076459F"/>
    <w:rsid w:val="00764E0B"/>
    <w:rsid w:val="00764FD2"/>
    <w:rsid w:val="007650F1"/>
    <w:rsid w:val="00765862"/>
    <w:rsid w:val="0077274B"/>
    <w:rsid w:val="00774135"/>
    <w:rsid w:val="00775691"/>
    <w:rsid w:val="00775E75"/>
    <w:rsid w:val="00780770"/>
    <w:rsid w:val="00784BFC"/>
    <w:rsid w:val="007871C4"/>
    <w:rsid w:val="0078739B"/>
    <w:rsid w:val="00794CF9"/>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C6C7F"/>
    <w:rsid w:val="007D115D"/>
    <w:rsid w:val="007D37FB"/>
    <w:rsid w:val="007D3AB0"/>
    <w:rsid w:val="007D3C57"/>
    <w:rsid w:val="007D5878"/>
    <w:rsid w:val="007D6324"/>
    <w:rsid w:val="007D68C9"/>
    <w:rsid w:val="007D6F94"/>
    <w:rsid w:val="007D7B84"/>
    <w:rsid w:val="007D7E7D"/>
    <w:rsid w:val="007E1F76"/>
    <w:rsid w:val="007E3453"/>
    <w:rsid w:val="007E3857"/>
    <w:rsid w:val="007E4180"/>
    <w:rsid w:val="007E4637"/>
    <w:rsid w:val="007E4A3F"/>
    <w:rsid w:val="007E6CAE"/>
    <w:rsid w:val="007E6E94"/>
    <w:rsid w:val="007E775F"/>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7169"/>
    <w:rsid w:val="00827DAF"/>
    <w:rsid w:val="00830FAF"/>
    <w:rsid w:val="00831F70"/>
    <w:rsid w:val="00833134"/>
    <w:rsid w:val="00833713"/>
    <w:rsid w:val="00833D9B"/>
    <w:rsid w:val="008340FE"/>
    <w:rsid w:val="008341F6"/>
    <w:rsid w:val="00835A40"/>
    <w:rsid w:val="00835AA0"/>
    <w:rsid w:val="00835FBF"/>
    <w:rsid w:val="00836DA8"/>
    <w:rsid w:val="00836ECE"/>
    <w:rsid w:val="0083797D"/>
    <w:rsid w:val="00840A55"/>
    <w:rsid w:val="008414B9"/>
    <w:rsid w:val="0084380A"/>
    <w:rsid w:val="00843D2E"/>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7F0"/>
    <w:rsid w:val="0087693A"/>
    <w:rsid w:val="00876C63"/>
    <w:rsid w:val="00876D94"/>
    <w:rsid w:val="0088624B"/>
    <w:rsid w:val="0089069E"/>
    <w:rsid w:val="008912D3"/>
    <w:rsid w:val="008914CB"/>
    <w:rsid w:val="008937B1"/>
    <w:rsid w:val="00894A43"/>
    <w:rsid w:val="00895477"/>
    <w:rsid w:val="008A15AE"/>
    <w:rsid w:val="008A1DBB"/>
    <w:rsid w:val="008A2A18"/>
    <w:rsid w:val="008A55D4"/>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2D84"/>
    <w:rsid w:val="008D4CB3"/>
    <w:rsid w:val="008D5CDB"/>
    <w:rsid w:val="008D643C"/>
    <w:rsid w:val="008D6554"/>
    <w:rsid w:val="008D756F"/>
    <w:rsid w:val="008D7E71"/>
    <w:rsid w:val="008E10E0"/>
    <w:rsid w:val="008E6072"/>
    <w:rsid w:val="008E6640"/>
    <w:rsid w:val="008F2669"/>
    <w:rsid w:val="008F2710"/>
    <w:rsid w:val="008F432E"/>
    <w:rsid w:val="008F784B"/>
    <w:rsid w:val="008F7A01"/>
    <w:rsid w:val="00900AF7"/>
    <w:rsid w:val="00901909"/>
    <w:rsid w:val="00901ACE"/>
    <w:rsid w:val="00901B37"/>
    <w:rsid w:val="009043D1"/>
    <w:rsid w:val="00904AA1"/>
    <w:rsid w:val="0090500B"/>
    <w:rsid w:val="0090746E"/>
    <w:rsid w:val="0090771A"/>
    <w:rsid w:val="00907D44"/>
    <w:rsid w:val="009106C1"/>
    <w:rsid w:val="00910BA4"/>
    <w:rsid w:val="00912C9D"/>
    <w:rsid w:val="00912DA8"/>
    <w:rsid w:val="00915499"/>
    <w:rsid w:val="00916595"/>
    <w:rsid w:val="009169DE"/>
    <w:rsid w:val="00922E94"/>
    <w:rsid w:val="00924CB1"/>
    <w:rsid w:val="00925905"/>
    <w:rsid w:val="00926039"/>
    <w:rsid w:val="009275C5"/>
    <w:rsid w:val="00927772"/>
    <w:rsid w:val="00931E88"/>
    <w:rsid w:val="009330D9"/>
    <w:rsid w:val="00933939"/>
    <w:rsid w:val="00934162"/>
    <w:rsid w:val="009342D4"/>
    <w:rsid w:val="00936818"/>
    <w:rsid w:val="009369EF"/>
    <w:rsid w:val="00936A52"/>
    <w:rsid w:val="00936C1F"/>
    <w:rsid w:val="00940B15"/>
    <w:rsid w:val="0094391C"/>
    <w:rsid w:val="00946996"/>
    <w:rsid w:val="0095322B"/>
    <w:rsid w:val="0095360A"/>
    <w:rsid w:val="009604D5"/>
    <w:rsid w:val="009626CA"/>
    <w:rsid w:val="00962D06"/>
    <w:rsid w:val="00963402"/>
    <w:rsid w:val="00964835"/>
    <w:rsid w:val="00966917"/>
    <w:rsid w:val="00967387"/>
    <w:rsid w:val="009709AB"/>
    <w:rsid w:val="00971FD5"/>
    <w:rsid w:val="0097223A"/>
    <w:rsid w:val="009729E3"/>
    <w:rsid w:val="00974167"/>
    <w:rsid w:val="00974BED"/>
    <w:rsid w:val="00976143"/>
    <w:rsid w:val="009770A0"/>
    <w:rsid w:val="00980073"/>
    <w:rsid w:val="00981B42"/>
    <w:rsid w:val="00982041"/>
    <w:rsid w:val="00983099"/>
    <w:rsid w:val="009832E7"/>
    <w:rsid w:val="009836DB"/>
    <w:rsid w:val="00984A57"/>
    <w:rsid w:val="00984EF3"/>
    <w:rsid w:val="009868B1"/>
    <w:rsid w:val="009911A1"/>
    <w:rsid w:val="00992322"/>
    <w:rsid w:val="00993261"/>
    <w:rsid w:val="00993578"/>
    <w:rsid w:val="0099630F"/>
    <w:rsid w:val="00997B82"/>
    <w:rsid w:val="00997E03"/>
    <w:rsid w:val="009A0770"/>
    <w:rsid w:val="009A0BA3"/>
    <w:rsid w:val="009A1A8B"/>
    <w:rsid w:val="009A2A56"/>
    <w:rsid w:val="009A418D"/>
    <w:rsid w:val="009A520C"/>
    <w:rsid w:val="009A6EB5"/>
    <w:rsid w:val="009A75FE"/>
    <w:rsid w:val="009B137E"/>
    <w:rsid w:val="009B2144"/>
    <w:rsid w:val="009B6315"/>
    <w:rsid w:val="009B6C73"/>
    <w:rsid w:val="009C137C"/>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2607"/>
    <w:rsid w:val="009F2B8E"/>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66A4"/>
    <w:rsid w:val="00A179D3"/>
    <w:rsid w:val="00A23587"/>
    <w:rsid w:val="00A23EE3"/>
    <w:rsid w:val="00A25A3F"/>
    <w:rsid w:val="00A25C59"/>
    <w:rsid w:val="00A3012B"/>
    <w:rsid w:val="00A30F3D"/>
    <w:rsid w:val="00A31F82"/>
    <w:rsid w:val="00A350E9"/>
    <w:rsid w:val="00A3538E"/>
    <w:rsid w:val="00A3720D"/>
    <w:rsid w:val="00A37505"/>
    <w:rsid w:val="00A40594"/>
    <w:rsid w:val="00A41A0B"/>
    <w:rsid w:val="00A44C46"/>
    <w:rsid w:val="00A452BB"/>
    <w:rsid w:val="00A455E5"/>
    <w:rsid w:val="00A455F7"/>
    <w:rsid w:val="00A456F5"/>
    <w:rsid w:val="00A45853"/>
    <w:rsid w:val="00A46E22"/>
    <w:rsid w:val="00A513D2"/>
    <w:rsid w:val="00A51406"/>
    <w:rsid w:val="00A530A2"/>
    <w:rsid w:val="00A54120"/>
    <w:rsid w:val="00A54A51"/>
    <w:rsid w:val="00A56887"/>
    <w:rsid w:val="00A60B29"/>
    <w:rsid w:val="00A60B80"/>
    <w:rsid w:val="00A61197"/>
    <w:rsid w:val="00A63267"/>
    <w:rsid w:val="00A64046"/>
    <w:rsid w:val="00A64535"/>
    <w:rsid w:val="00A71411"/>
    <w:rsid w:val="00A71C30"/>
    <w:rsid w:val="00A71EF1"/>
    <w:rsid w:val="00A72235"/>
    <w:rsid w:val="00A72A25"/>
    <w:rsid w:val="00A736A6"/>
    <w:rsid w:val="00A740D7"/>
    <w:rsid w:val="00A75555"/>
    <w:rsid w:val="00A759CD"/>
    <w:rsid w:val="00A776D2"/>
    <w:rsid w:val="00A82C81"/>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712"/>
    <w:rsid w:val="00AA6B2C"/>
    <w:rsid w:val="00AB15E6"/>
    <w:rsid w:val="00AB1EE0"/>
    <w:rsid w:val="00AB2014"/>
    <w:rsid w:val="00AB234B"/>
    <w:rsid w:val="00AB23FC"/>
    <w:rsid w:val="00AB249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AF7C1B"/>
    <w:rsid w:val="00B012B6"/>
    <w:rsid w:val="00B014BB"/>
    <w:rsid w:val="00B045EC"/>
    <w:rsid w:val="00B058FF"/>
    <w:rsid w:val="00B074D0"/>
    <w:rsid w:val="00B10CFD"/>
    <w:rsid w:val="00B11E34"/>
    <w:rsid w:val="00B134B0"/>
    <w:rsid w:val="00B14A84"/>
    <w:rsid w:val="00B158C3"/>
    <w:rsid w:val="00B22517"/>
    <w:rsid w:val="00B2293D"/>
    <w:rsid w:val="00B2353C"/>
    <w:rsid w:val="00B272BE"/>
    <w:rsid w:val="00B27A14"/>
    <w:rsid w:val="00B32C84"/>
    <w:rsid w:val="00B33E5E"/>
    <w:rsid w:val="00B34D85"/>
    <w:rsid w:val="00B34E70"/>
    <w:rsid w:val="00B3567F"/>
    <w:rsid w:val="00B3710C"/>
    <w:rsid w:val="00B37FE3"/>
    <w:rsid w:val="00B413CC"/>
    <w:rsid w:val="00B41521"/>
    <w:rsid w:val="00B415FE"/>
    <w:rsid w:val="00B42205"/>
    <w:rsid w:val="00B43502"/>
    <w:rsid w:val="00B445B9"/>
    <w:rsid w:val="00B46A08"/>
    <w:rsid w:val="00B46C4E"/>
    <w:rsid w:val="00B47DAA"/>
    <w:rsid w:val="00B504BE"/>
    <w:rsid w:val="00B506B0"/>
    <w:rsid w:val="00B51FD6"/>
    <w:rsid w:val="00B52A04"/>
    <w:rsid w:val="00B53238"/>
    <w:rsid w:val="00B5343C"/>
    <w:rsid w:val="00B53B5A"/>
    <w:rsid w:val="00B53EA7"/>
    <w:rsid w:val="00B561E7"/>
    <w:rsid w:val="00B568BF"/>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5E5"/>
    <w:rsid w:val="00B92C4F"/>
    <w:rsid w:val="00B9530E"/>
    <w:rsid w:val="00B95B12"/>
    <w:rsid w:val="00B96026"/>
    <w:rsid w:val="00BA02A3"/>
    <w:rsid w:val="00BA14BA"/>
    <w:rsid w:val="00BA17A9"/>
    <w:rsid w:val="00BA1F6D"/>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2BF4"/>
    <w:rsid w:val="00BE4FCF"/>
    <w:rsid w:val="00BE5DA9"/>
    <w:rsid w:val="00BE69FF"/>
    <w:rsid w:val="00BF0872"/>
    <w:rsid w:val="00BF1745"/>
    <w:rsid w:val="00BF19FA"/>
    <w:rsid w:val="00BF4C3E"/>
    <w:rsid w:val="00BF54B5"/>
    <w:rsid w:val="00BF757A"/>
    <w:rsid w:val="00C017FF"/>
    <w:rsid w:val="00C01FBD"/>
    <w:rsid w:val="00C02090"/>
    <w:rsid w:val="00C03970"/>
    <w:rsid w:val="00C04AA0"/>
    <w:rsid w:val="00C060B9"/>
    <w:rsid w:val="00C06806"/>
    <w:rsid w:val="00C0746C"/>
    <w:rsid w:val="00C07ED9"/>
    <w:rsid w:val="00C11341"/>
    <w:rsid w:val="00C17352"/>
    <w:rsid w:val="00C17507"/>
    <w:rsid w:val="00C17BFA"/>
    <w:rsid w:val="00C22767"/>
    <w:rsid w:val="00C22C2F"/>
    <w:rsid w:val="00C25992"/>
    <w:rsid w:val="00C2610D"/>
    <w:rsid w:val="00C267E3"/>
    <w:rsid w:val="00C27B64"/>
    <w:rsid w:val="00C30167"/>
    <w:rsid w:val="00C308DC"/>
    <w:rsid w:val="00C31807"/>
    <w:rsid w:val="00C31AC5"/>
    <w:rsid w:val="00C31CE3"/>
    <w:rsid w:val="00C3206E"/>
    <w:rsid w:val="00C37F27"/>
    <w:rsid w:val="00C40CC6"/>
    <w:rsid w:val="00C41E59"/>
    <w:rsid w:val="00C449B4"/>
    <w:rsid w:val="00C4510D"/>
    <w:rsid w:val="00C471D2"/>
    <w:rsid w:val="00C47231"/>
    <w:rsid w:val="00C4754D"/>
    <w:rsid w:val="00C52276"/>
    <w:rsid w:val="00C52AC1"/>
    <w:rsid w:val="00C5311E"/>
    <w:rsid w:val="00C5343D"/>
    <w:rsid w:val="00C54A52"/>
    <w:rsid w:val="00C60A5E"/>
    <w:rsid w:val="00C61028"/>
    <w:rsid w:val="00C62B36"/>
    <w:rsid w:val="00C63219"/>
    <w:rsid w:val="00C64182"/>
    <w:rsid w:val="00C70604"/>
    <w:rsid w:val="00C7392F"/>
    <w:rsid w:val="00C74622"/>
    <w:rsid w:val="00C74920"/>
    <w:rsid w:val="00C7610F"/>
    <w:rsid w:val="00C773F9"/>
    <w:rsid w:val="00C775A1"/>
    <w:rsid w:val="00C77B0A"/>
    <w:rsid w:val="00C8091E"/>
    <w:rsid w:val="00C80EE0"/>
    <w:rsid w:val="00C8162B"/>
    <w:rsid w:val="00C816BA"/>
    <w:rsid w:val="00C81CA2"/>
    <w:rsid w:val="00C8291D"/>
    <w:rsid w:val="00C833B1"/>
    <w:rsid w:val="00C91C9D"/>
    <w:rsid w:val="00C93A2E"/>
    <w:rsid w:val="00C9595B"/>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3FA"/>
    <w:rsid w:val="00CD608D"/>
    <w:rsid w:val="00CD7616"/>
    <w:rsid w:val="00CD795A"/>
    <w:rsid w:val="00CE11DD"/>
    <w:rsid w:val="00CE30EF"/>
    <w:rsid w:val="00CE3283"/>
    <w:rsid w:val="00CE4D95"/>
    <w:rsid w:val="00CE629D"/>
    <w:rsid w:val="00CF07E6"/>
    <w:rsid w:val="00CF1BAF"/>
    <w:rsid w:val="00CF226E"/>
    <w:rsid w:val="00CF232C"/>
    <w:rsid w:val="00CF2562"/>
    <w:rsid w:val="00CF33B6"/>
    <w:rsid w:val="00CF376B"/>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17DD1"/>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38F0"/>
    <w:rsid w:val="00D44372"/>
    <w:rsid w:val="00D443D4"/>
    <w:rsid w:val="00D45834"/>
    <w:rsid w:val="00D4603C"/>
    <w:rsid w:val="00D5206B"/>
    <w:rsid w:val="00D52ADB"/>
    <w:rsid w:val="00D53161"/>
    <w:rsid w:val="00D5508F"/>
    <w:rsid w:val="00D55786"/>
    <w:rsid w:val="00D55EC2"/>
    <w:rsid w:val="00D55F02"/>
    <w:rsid w:val="00D60812"/>
    <w:rsid w:val="00D60A30"/>
    <w:rsid w:val="00D623DD"/>
    <w:rsid w:val="00D62D39"/>
    <w:rsid w:val="00D632DB"/>
    <w:rsid w:val="00D63708"/>
    <w:rsid w:val="00D643B5"/>
    <w:rsid w:val="00D6481B"/>
    <w:rsid w:val="00D66900"/>
    <w:rsid w:val="00D66BB9"/>
    <w:rsid w:val="00D67371"/>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7B"/>
    <w:rsid w:val="00DB0AED"/>
    <w:rsid w:val="00DB10AB"/>
    <w:rsid w:val="00DB1F0A"/>
    <w:rsid w:val="00DB3001"/>
    <w:rsid w:val="00DB3CCC"/>
    <w:rsid w:val="00DB53CB"/>
    <w:rsid w:val="00DB67F3"/>
    <w:rsid w:val="00DC11F9"/>
    <w:rsid w:val="00DC2867"/>
    <w:rsid w:val="00DC343A"/>
    <w:rsid w:val="00DD130F"/>
    <w:rsid w:val="00DD229C"/>
    <w:rsid w:val="00DD4131"/>
    <w:rsid w:val="00DD4387"/>
    <w:rsid w:val="00DD5B36"/>
    <w:rsid w:val="00DE295D"/>
    <w:rsid w:val="00DE2B95"/>
    <w:rsid w:val="00DE45E9"/>
    <w:rsid w:val="00DE51F9"/>
    <w:rsid w:val="00DE56BC"/>
    <w:rsid w:val="00DE7746"/>
    <w:rsid w:val="00DE7F8F"/>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61D"/>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374C"/>
    <w:rsid w:val="00E53C85"/>
    <w:rsid w:val="00E5484C"/>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11FE"/>
    <w:rsid w:val="00E925A6"/>
    <w:rsid w:val="00E945AC"/>
    <w:rsid w:val="00E94859"/>
    <w:rsid w:val="00E94C30"/>
    <w:rsid w:val="00E95A4A"/>
    <w:rsid w:val="00E95C4B"/>
    <w:rsid w:val="00E965EE"/>
    <w:rsid w:val="00E9683E"/>
    <w:rsid w:val="00E96ECC"/>
    <w:rsid w:val="00E9744A"/>
    <w:rsid w:val="00E97657"/>
    <w:rsid w:val="00EA2A51"/>
    <w:rsid w:val="00EA3F51"/>
    <w:rsid w:val="00EA536C"/>
    <w:rsid w:val="00EA5574"/>
    <w:rsid w:val="00EB0052"/>
    <w:rsid w:val="00EB0FBB"/>
    <w:rsid w:val="00EB215C"/>
    <w:rsid w:val="00EB3768"/>
    <w:rsid w:val="00EB3A44"/>
    <w:rsid w:val="00EB5817"/>
    <w:rsid w:val="00EB5D26"/>
    <w:rsid w:val="00EB7522"/>
    <w:rsid w:val="00EB7D69"/>
    <w:rsid w:val="00EC2870"/>
    <w:rsid w:val="00EC2AC1"/>
    <w:rsid w:val="00EC4184"/>
    <w:rsid w:val="00EC70FA"/>
    <w:rsid w:val="00EC7BA7"/>
    <w:rsid w:val="00ED0CB1"/>
    <w:rsid w:val="00ED230B"/>
    <w:rsid w:val="00ED3570"/>
    <w:rsid w:val="00ED368F"/>
    <w:rsid w:val="00ED3B71"/>
    <w:rsid w:val="00ED4A3F"/>
    <w:rsid w:val="00ED4FDE"/>
    <w:rsid w:val="00ED6D87"/>
    <w:rsid w:val="00EE1DB5"/>
    <w:rsid w:val="00EE3357"/>
    <w:rsid w:val="00EF0C29"/>
    <w:rsid w:val="00EF30E2"/>
    <w:rsid w:val="00EF3119"/>
    <w:rsid w:val="00EF3282"/>
    <w:rsid w:val="00EF6C64"/>
    <w:rsid w:val="00F016BB"/>
    <w:rsid w:val="00F039CF"/>
    <w:rsid w:val="00F05328"/>
    <w:rsid w:val="00F05335"/>
    <w:rsid w:val="00F0536E"/>
    <w:rsid w:val="00F05D39"/>
    <w:rsid w:val="00F06333"/>
    <w:rsid w:val="00F06593"/>
    <w:rsid w:val="00F0725A"/>
    <w:rsid w:val="00F10E47"/>
    <w:rsid w:val="00F11A4E"/>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2C8C"/>
    <w:rsid w:val="00F33B1D"/>
    <w:rsid w:val="00F343E0"/>
    <w:rsid w:val="00F360B3"/>
    <w:rsid w:val="00F40A28"/>
    <w:rsid w:val="00F41232"/>
    <w:rsid w:val="00F41319"/>
    <w:rsid w:val="00F421E6"/>
    <w:rsid w:val="00F4303A"/>
    <w:rsid w:val="00F475D0"/>
    <w:rsid w:val="00F5118A"/>
    <w:rsid w:val="00F555B0"/>
    <w:rsid w:val="00F6162A"/>
    <w:rsid w:val="00F66759"/>
    <w:rsid w:val="00F677CF"/>
    <w:rsid w:val="00F67967"/>
    <w:rsid w:val="00F67CF6"/>
    <w:rsid w:val="00F72651"/>
    <w:rsid w:val="00F8175E"/>
    <w:rsid w:val="00F81B05"/>
    <w:rsid w:val="00F81F15"/>
    <w:rsid w:val="00F82049"/>
    <w:rsid w:val="00F82C9F"/>
    <w:rsid w:val="00F8388A"/>
    <w:rsid w:val="00F84E80"/>
    <w:rsid w:val="00F87537"/>
    <w:rsid w:val="00F90435"/>
    <w:rsid w:val="00F947DC"/>
    <w:rsid w:val="00F97424"/>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42A3"/>
    <w:rsid w:val="00FC55F9"/>
    <w:rsid w:val="00FC60D4"/>
    <w:rsid w:val="00FC77AE"/>
    <w:rsid w:val="00FC7D9F"/>
    <w:rsid w:val="00FD10B0"/>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3255"/>
    <w:rsid w:val="00FF682F"/>
    <w:rsid w:val="0142302A"/>
    <w:rsid w:val="01E56D61"/>
    <w:rsid w:val="020A6A96"/>
    <w:rsid w:val="0356786B"/>
    <w:rsid w:val="0463766C"/>
    <w:rsid w:val="046E31C1"/>
    <w:rsid w:val="04B51B25"/>
    <w:rsid w:val="056C4F65"/>
    <w:rsid w:val="05B42945"/>
    <w:rsid w:val="06F4696E"/>
    <w:rsid w:val="07245E56"/>
    <w:rsid w:val="072779FF"/>
    <w:rsid w:val="0C023D8C"/>
    <w:rsid w:val="0E8B6AB1"/>
    <w:rsid w:val="0E94232E"/>
    <w:rsid w:val="0EEA43B7"/>
    <w:rsid w:val="0F1306D5"/>
    <w:rsid w:val="111F5949"/>
    <w:rsid w:val="11295396"/>
    <w:rsid w:val="13644A7D"/>
    <w:rsid w:val="147A6D7C"/>
    <w:rsid w:val="163E2FB7"/>
    <w:rsid w:val="17FF121A"/>
    <w:rsid w:val="194300FA"/>
    <w:rsid w:val="1A48157B"/>
    <w:rsid w:val="1ABE2ED9"/>
    <w:rsid w:val="1B67066A"/>
    <w:rsid w:val="1BD70953"/>
    <w:rsid w:val="1BF87698"/>
    <w:rsid w:val="1C78144D"/>
    <w:rsid w:val="1CC84EC9"/>
    <w:rsid w:val="1E585AB7"/>
    <w:rsid w:val="1EB160C2"/>
    <w:rsid w:val="1FF145B9"/>
    <w:rsid w:val="20D366F7"/>
    <w:rsid w:val="218E30CF"/>
    <w:rsid w:val="2193546F"/>
    <w:rsid w:val="219A71E6"/>
    <w:rsid w:val="22205B04"/>
    <w:rsid w:val="22A675B1"/>
    <w:rsid w:val="23083986"/>
    <w:rsid w:val="23AF29A3"/>
    <w:rsid w:val="25DE0600"/>
    <w:rsid w:val="26123FD6"/>
    <w:rsid w:val="26F50BA9"/>
    <w:rsid w:val="289B57FE"/>
    <w:rsid w:val="29026D00"/>
    <w:rsid w:val="2A642791"/>
    <w:rsid w:val="2A8E74E5"/>
    <w:rsid w:val="2AF91830"/>
    <w:rsid w:val="2D9F0CB9"/>
    <w:rsid w:val="2EA644DF"/>
    <w:rsid w:val="2F1D51A8"/>
    <w:rsid w:val="2FB532A0"/>
    <w:rsid w:val="3143785A"/>
    <w:rsid w:val="319C4BEA"/>
    <w:rsid w:val="31E25F94"/>
    <w:rsid w:val="332D63E3"/>
    <w:rsid w:val="33DA2E89"/>
    <w:rsid w:val="34C829B2"/>
    <w:rsid w:val="35381804"/>
    <w:rsid w:val="3566158C"/>
    <w:rsid w:val="358D5871"/>
    <w:rsid w:val="36032504"/>
    <w:rsid w:val="386A3F56"/>
    <w:rsid w:val="3A810EF7"/>
    <w:rsid w:val="3C3802E9"/>
    <w:rsid w:val="3E0C1771"/>
    <w:rsid w:val="3E586AB8"/>
    <w:rsid w:val="3E5C1B1D"/>
    <w:rsid w:val="3EAE14E9"/>
    <w:rsid w:val="3FD261A6"/>
    <w:rsid w:val="416F7D1B"/>
    <w:rsid w:val="41855833"/>
    <w:rsid w:val="42EB2F9C"/>
    <w:rsid w:val="43315731"/>
    <w:rsid w:val="446F568C"/>
    <w:rsid w:val="45226963"/>
    <w:rsid w:val="469F5C49"/>
    <w:rsid w:val="48107AC1"/>
    <w:rsid w:val="4B4B6AB1"/>
    <w:rsid w:val="4C9E71F2"/>
    <w:rsid w:val="4D39606F"/>
    <w:rsid w:val="4F8E3D4D"/>
    <w:rsid w:val="4FA308F4"/>
    <w:rsid w:val="4FAB675E"/>
    <w:rsid w:val="50A23274"/>
    <w:rsid w:val="51277B26"/>
    <w:rsid w:val="52E41389"/>
    <w:rsid w:val="53B3493A"/>
    <w:rsid w:val="5537323C"/>
    <w:rsid w:val="553A5E9C"/>
    <w:rsid w:val="55855837"/>
    <w:rsid w:val="55AF07C6"/>
    <w:rsid w:val="563F00FA"/>
    <w:rsid w:val="56503211"/>
    <w:rsid w:val="57BD5DAE"/>
    <w:rsid w:val="58C7013F"/>
    <w:rsid w:val="598B567E"/>
    <w:rsid w:val="5B3B4B0D"/>
    <w:rsid w:val="5BA577EB"/>
    <w:rsid w:val="5C624734"/>
    <w:rsid w:val="5FE91ABC"/>
    <w:rsid w:val="60D42826"/>
    <w:rsid w:val="628E734C"/>
    <w:rsid w:val="64F65015"/>
    <w:rsid w:val="6554601A"/>
    <w:rsid w:val="6580603B"/>
    <w:rsid w:val="66F74258"/>
    <w:rsid w:val="68B96EA7"/>
    <w:rsid w:val="68C7223A"/>
    <w:rsid w:val="68EF6886"/>
    <w:rsid w:val="694A7300"/>
    <w:rsid w:val="699457CF"/>
    <w:rsid w:val="6C023400"/>
    <w:rsid w:val="6FDD1093"/>
    <w:rsid w:val="709C0126"/>
    <w:rsid w:val="71410E00"/>
    <w:rsid w:val="73EB7F47"/>
    <w:rsid w:val="74386113"/>
    <w:rsid w:val="74C5471A"/>
    <w:rsid w:val="76022652"/>
    <w:rsid w:val="768501BE"/>
    <w:rsid w:val="769C04D1"/>
    <w:rsid w:val="76C8601E"/>
    <w:rsid w:val="77D8309C"/>
    <w:rsid w:val="79814C74"/>
    <w:rsid w:val="7A3A1081"/>
    <w:rsid w:val="7C260791"/>
    <w:rsid w:val="7D665852"/>
    <w:rsid w:val="7D80556D"/>
    <w:rsid w:val="7D823128"/>
    <w:rsid w:val="7E455FDA"/>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1EEDD527-97BA-47F6-B37E-95B51416FA3B}">
  <ds:schemaRefs/>
</ds:datastoreItem>
</file>

<file path=customXml/itemProps11.xml><?xml version="1.0" encoding="utf-8"?>
<ds:datastoreItem xmlns:ds="http://schemas.openxmlformats.org/officeDocument/2006/customXml" ds:itemID="{79B37214-9E52-4241-8DD2-9E9CD9442006}">
  <ds:schemaRefs/>
</ds:datastoreItem>
</file>

<file path=customXml/itemProps12.xml><?xml version="1.0" encoding="utf-8"?>
<ds:datastoreItem xmlns:ds="http://schemas.openxmlformats.org/officeDocument/2006/customXml" ds:itemID="{7E5C9D84-6DB6-48FB-8632-D5279FC233C8}">
  <ds:schemaRefs/>
</ds:datastoreItem>
</file>

<file path=customXml/itemProps13.xml><?xml version="1.0" encoding="utf-8"?>
<ds:datastoreItem xmlns:ds="http://schemas.openxmlformats.org/officeDocument/2006/customXml" ds:itemID="{2108FF18-8EC8-4170-A536-1AA8E39CC797}">
  <ds:schemaRefs/>
</ds:datastoreItem>
</file>

<file path=customXml/itemProps14.xml><?xml version="1.0" encoding="utf-8"?>
<ds:datastoreItem xmlns:ds="http://schemas.openxmlformats.org/officeDocument/2006/customXml" ds:itemID="{E6D3D55C-3DD8-4C31-8069-E5508DD844FB}">
  <ds:schemaRefs/>
</ds:datastoreItem>
</file>

<file path=customXml/itemProps15.xml><?xml version="1.0" encoding="utf-8"?>
<ds:datastoreItem xmlns:ds="http://schemas.openxmlformats.org/officeDocument/2006/customXml" ds:itemID="{EC45DDBE-A426-47CA-BC62-D025DE29F1BC}">
  <ds:schemaRefs/>
</ds:datastoreItem>
</file>

<file path=customXml/itemProps16.xml><?xml version="1.0" encoding="utf-8"?>
<ds:datastoreItem xmlns:ds="http://schemas.openxmlformats.org/officeDocument/2006/customXml" ds:itemID="{BEEE0313-55EB-45FA-BBBD-C0232D367255}">
  <ds:schemaRefs/>
</ds:datastoreItem>
</file>

<file path=customXml/itemProps17.xml><?xml version="1.0" encoding="utf-8"?>
<ds:datastoreItem xmlns:ds="http://schemas.openxmlformats.org/officeDocument/2006/customXml" ds:itemID="{1A3BDF38-4832-4575-A8AB-7A1679738229}">
  <ds:schemaRefs/>
</ds:datastoreItem>
</file>

<file path=customXml/itemProps18.xml><?xml version="1.0" encoding="utf-8"?>
<ds:datastoreItem xmlns:ds="http://schemas.openxmlformats.org/officeDocument/2006/customXml" ds:itemID="{CF487381-D648-48A1-B1E4-A4540B0D3650}">
  <ds:schemaRefs/>
</ds:datastoreItem>
</file>

<file path=customXml/itemProps2.xml><?xml version="1.0" encoding="utf-8"?>
<ds:datastoreItem xmlns:ds="http://schemas.openxmlformats.org/officeDocument/2006/customXml" ds:itemID="{509BA638-9D3A-4AA3-A169-FF78BC0E4BE9}">
  <ds:schemaRefs/>
</ds:datastoreItem>
</file>

<file path=customXml/itemProps3.xml><?xml version="1.0" encoding="utf-8"?>
<ds:datastoreItem xmlns:ds="http://schemas.openxmlformats.org/officeDocument/2006/customXml" ds:itemID="{AC86F3EB-DB57-4B60-8A7E-BBB67A22EE0B}">
  <ds:schemaRefs/>
</ds:datastoreItem>
</file>

<file path=customXml/itemProps4.xml><?xml version="1.0" encoding="utf-8"?>
<ds:datastoreItem xmlns:ds="http://schemas.openxmlformats.org/officeDocument/2006/customXml" ds:itemID="{D902962D-C8CC-43BF-804A-CD60AE6D7475}">
  <ds:schemaRefs/>
</ds:datastoreItem>
</file>

<file path=customXml/itemProps5.xml><?xml version="1.0" encoding="utf-8"?>
<ds:datastoreItem xmlns:ds="http://schemas.openxmlformats.org/officeDocument/2006/customXml" ds:itemID="{0A7AA9EF-3B8C-4BAA-9155-A6E3E5337D3C}">
  <ds:schemaRefs/>
</ds:datastoreItem>
</file>

<file path=customXml/itemProps6.xml><?xml version="1.0" encoding="utf-8"?>
<ds:datastoreItem xmlns:ds="http://schemas.openxmlformats.org/officeDocument/2006/customXml" ds:itemID="{3A3C3A8D-C5E4-45AF-8B48-C3BF528808AD}">
  <ds:schemaRefs/>
</ds:datastoreItem>
</file>

<file path=customXml/itemProps7.xml><?xml version="1.0" encoding="utf-8"?>
<ds:datastoreItem xmlns:ds="http://schemas.openxmlformats.org/officeDocument/2006/customXml" ds:itemID="{A06CD169-7F5C-4082-81B2-6ECAA9AF6149}">
  <ds:schemaRefs/>
</ds:datastoreItem>
</file>

<file path=customXml/itemProps8.xml><?xml version="1.0" encoding="utf-8"?>
<ds:datastoreItem xmlns:ds="http://schemas.openxmlformats.org/officeDocument/2006/customXml" ds:itemID="{1990A2D8-324F-45D5-B9CD-07245ED2860B}">
  <ds:schemaRefs/>
</ds:datastoreItem>
</file>

<file path=customXml/itemProps9.xml><?xml version="1.0" encoding="utf-8"?>
<ds:datastoreItem xmlns:ds="http://schemas.openxmlformats.org/officeDocument/2006/customXml" ds:itemID="{9114D43D-ED98-4C7B-A3AE-26D78B80CA8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3557</Words>
  <Characters>20276</Characters>
  <Lines>168</Lines>
  <Paragraphs>47</Paragraphs>
  <TotalTime>29</TotalTime>
  <ScaleCrop>false</ScaleCrop>
  <LinksUpToDate>false</LinksUpToDate>
  <CharactersWithSpaces>23786</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2024-03-04T02:34:00Z</dcterms:created>
  <dc:creator>张淼雯</dc:creator>
  <cp:lastModifiedBy>cib</cp:lastModifiedBy>
  <cp:lastPrinted>2020-09-21T06:35:00Z</cp:lastPrinted>
  <dcterms:modified xsi:type="dcterms:W3CDTF">2025-08-19T08:36:52Z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0EC4E53844084BB8BF9E6D0327B3F36C</vt:lpwstr>
  </property>
</Properties>
</file>