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7201"/>
      </w:tblGrid>
      <w:tr w:rsidR="00404FEA" w14:paraId="3F1CE859" w14:textId="77777777">
        <w:trPr>
          <w:trHeight w:val="592"/>
        </w:trPr>
        <w:tc>
          <w:tcPr>
            <w:tcW w:w="10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C31CC" w14:textId="77777777" w:rsidR="00404FEA" w:rsidRDefault="00404FEA">
            <w:pPr>
              <w:pStyle w:val="Default"/>
              <w:spacing w:after="50" w:line="360" w:lineRule="auto"/>
              <w:ind w:left="630"/>
              <w:rPr>
                <w:rFonts w:ascii="仿宋_GB2312" w:eastAsia="仿宋_GB2312" w:hAnsi="黑体"/>
                <w:color w:val="auto"/>
                <w:kern w:val="2"/>
                <w:sz w:val="21"/>
              </w:rPr>
            </w:pPr>
          </w:p>
        </w:tc>
      </w:tr>
      <w:tr w:rsidR="00404FEA" w14:paraId="7865D27A" w14:textId="77777777">
        <w:trPr>
          <w:trHeight w:val="592"/>
        </w:trPr>
        <w:tc>
          <w:tcPr>
            <w:tcW w:w="1046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0CAC" w14:textId="77777777" w:rsidR="00404FEA" w:rsidRDefault="00C766B6">
            <w:pPr>
              <w:pStyle w:val="Default"/>
              <w:spacing w:after="50" w:line="360" w:lineRule="auto"/>
              <w:ind w:left="630"/>
              <w:jc w:val="center"/>
              <w:rPr>
                <w:rFonts w:ascii="仿宋_GB2312" w:eastAsia="仿宋_GB2312" w:hAnsi="黑体"/>
                <w:b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黑体" w:hint="eastAsia"/>
                <w:b/>
                <w:sz w:val="32"/>
                <w:szCs w:val="32"/>
              </w:rPr>
              <w:t>渝</w:t>
            </w:r>
            <w:proofErr w:type="gramEnd"/>
            <w:r>
              <w:rPr>
                <w:rFonts w:ascii="仿宋_GB2312" w:eastAsia="仿宋_GB2312" w:hAnsi="黑体" w:hint="eastAsia"/>
                <w:b/>
                <w:sz w:val="32"/>
                <w:szCs w:val="32"/>
              </w:rPr>
              <w:t>农商理财代理销售机构规范性评估调查表</w:t>
            </w:r>
          </w:p>
        </w:tc>
      </w:tr>
      <w:tr w:rsidR="00404FEA" w14:paraId="0A6C0884" w14:textId="77777777">
        <w:trPr>
          <w:trHeight w:val="803"/>
        </w:trPr>
        <w:tc>
          <w:tcPr>
            <w:tcW w:w="10462" w:type="dxa"/>
            <w:gridSpan w:val="3"/>
            <w:shd w:val="clear" w:color="auto" w:fill="E7E6E6" w:themeFill="background2"/>
            <w:vAlign w:val="center"/>
          </w:tcPr>
          <w:p w14:paraId="0BC8A367" w14:textId="77777777" w:rsidR="00404FEA" w:rsidRDefault="00C766B6">
            <w:pPr>
              <w:pStyle w:val="Default"/>
              <w:spacing w:after="50" w:line="360" w:lineRule="auto"/>
              <w:jc w:val="center"/>
              <w:rPr>
                <w:rFonts w:ascii="仿宋_GB2312" w:eastAsia="仿宋_GB2312" w:hAnsi="黑体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color w:val="auto"/>
                <w:kern w:val="2"/>
                <w:sz w:val="28"/>
                <w:szCs w:val="28"/>
              </w:rPr>
              <w:t>1、机构基本情况</w:t>
            </w:r>
          </w:p>
        </w:tc>
      </w:tr>
      <w:tr w:rsidR="00404FEA" w14:paraId="3AE91673" w14:textId="77777777">
        <w:trPr>
          <w:trHeight w:val="698"/>
        </w:trPr>
        <w:tc>
          <w:tcPr>
            <w:tcW w:w="1560" w:type="dxa"/>
            <w:shd w:val="clear" w:color="auto" w:fill="auto"/>
            <w:vAlign w:val="center"/>
          </w:tcPr>
          <w:p w14:paraId="751C7431" w14:textId="77777777" w:rsidR="00404FEA" w:rsidRDefault="00C766B6">
            <w:pPr>
              <w:spacing w:line="360" w:lineRule="auto"/>
              <w:jc w:val="center"/>
              <w:rPr>
                <w:rFonts w:ascii="仿宋_GB2312" w:eastAsia="仿宋_GB2312" w:hAnsi="黑体"/>
                <w:b/>
                <w:sz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</w:rPr>
              <w:t>机构名称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p w14:paraId="5CC6A5CC" w14:textId="43CC6A8B" w:rsidR="00404FEA" w:rsidRDefault="00A30792" w:rsidP="00A30792">
            <w:pPr>
              <w:pStyle w:val="Default"/>
              <w:spacing w:after="50" w:line="360" w:lineRule="auto"/>
              <w:jc w:val="center"/>
              <w:rPr>
                <w:rFonts w:ascii="仿宋_GB2312" w:eastAsia="仿宋_GB2312" w:hAnsi="黑体"/>
                <w:color w:val="auto"/>
                <w:kern w:val="2"/>
              </w:rPr>
            </w:pPr>
            <w:r w:rsidRPr="005F3818">
              <w:rPr>
                <w:rFonts w:ascii="仿宋_GB2312" w:eastAsia="仿宋_GB2312" w:hAnsi="黑体" w:hint="eastAsia"/>
                <w:color w:val="auto"/>
                <w:kern w:val="2"/>
              </w:rPr>
              <w:t>浙江桐乡农村商业银行股份有限公司</w:t>
            </w:r>
          </w:p>
        </w:tc>
      </w:tr>
      <w:tr w:rsidR="00404FEA" w14:paraId="1D41790C" w14:textId="77777777">
        <w:trPr>
          <w:trHeight w:val="698"/>
        </w:trPr>
        <w:tc>
          <w:tcPr>
            <w:tcW w:w="1560" w:type="dxa"/>
            <w:shd w:val="clear" w:color="auto" w:fill="auto"/>
            <w:vAlign w:val="center"/>
          </w:tcPr>
          <w:p w14:paraId="7C94BDF9" w14:textId="77777777" w:rsidR="00404FEA" w:rsidRDefault="00C766B6">
            <w:pPr>
              <w:spacing w:line="360" w:lineRule="auto"/>
              <w:jc w:val="center"/>
              <w:rPr>
                <w:rFonts w:ascii="仿宋_GB2312" w:eastAsia="仿宋_GB2312" w:hAnsi="黑体"/>
                <w:b/>
                <w:sz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</w:rPr>
              <w:t>机构类型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p w14:paraId="215149E5" w14:textId="6297EC3E" w:rsidR="00404FEA" w:rsidRDefault="00C766B6">
            <w:pPr>
              <w:pStyle w:val="Default"/>
              <w:spacing w:after="50" w:line="360" w:lineRule="auto"/>
              <w:jc w:val="center"/>
              <w:rPr>
                <w:rFonts w:ascii="仿宋_GB2312" w:eastAsia="仿宋_GB2312" w:hAnsi="黑体"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sym w:font="Wingdings 2" w:char="00A3"/>
            </w:r>
            <w:r>
              <w:rPr>
                <w:rFonts w:ascii="仿宋_GB2312" w:eastAsia="仿宋_GB2312" w:hAnsi="黑体" w:hint="eastAsia"/>
                <w:color w:val="auto"/>
                <w:kern w:val="2"/>
              </w:rPr>
              <w:t xml:space="preserve">股份制银行   □城市商业银行   </w:t>
            </w:r>
            <w:r w:rsidR="00A30792">
              <w:rPr>
                <w:rFonts w:ascii="仿宋_GB2312" w:eastAsia="仿宋_GB2312" w:hAnsi="黑体" w:hint="eastAsia"/>
                <w:color w:val="auto"/>
                <w:kern w:val="2"/>
              </w:rPr>
              <w:sym w:font="Wingdings 2" w:char="0052"/>
            </w:r>
            <w:r>
              <w:rPr>
                <w:rFonts w:ascii="仿宋_GB2312" w:eastAsia="仿宋_GB2312" w:hAnsi="黑体" w:hint="eastAsia"/>
                <w:color w:val="auto"/>
                <w:kern w:val="2"/>
              </w:rPr>
              <w:t>农村商业银行</w:t>
            </w:r>
          </w:p>
          <w:p w14:paraId="6D291C7A" w14:textId="77777777" w:rsidR="00404FEA" w:rsidRDefault="00C766B6">
            <w:pPr>
              <w:pStyle w:val="Default"/>
              <w:spacing w:after="50" w:line="360" w:lineRule="auto"/>
              <w:ind w:firstLineChars="400" w:firstLine="960"/>
              <w:rPr>
                <w:rFonts w:ascii="仿宋_GB2312" w:eastAsia="仿宋_GB2312" w:hAnsi="黑体"/>
                <w:b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t>□农信社      □民营银行      □其他</w:t>
            </w:r>
            <w:r>
              <w:rPr>
                <w:rFonts w:ascii="仿宋_GB2312" w:eastAsia="仿宋_GB2312" w:hAnsi="黑体" w:hint="eastAsia"/>
                <w:color w:val="auto"/>
                <w:kern w:val="2"/>
                <w:u w:val="single"/>
              </w:rPr>
              <w:t xml:space="preserve">           </w:t>
            </w:r>
          </w:p>
        </w:tc>
      </w:tr>
      <w:tr w:rsidR="00404FEA" w14:paraId="1A1822F8" w14:textId="77777777">
        <w:trPr>
          <w:trHeight w:val="978"/>
        </w:trPr>
        <w:tc>
          <w:tcPr>
            <w:tcW w:w="1560" w:type="dxa"/>
            <w:shd w:val="clear" w:color="auto" w:fill="auto"/>
            <w:vAlign w:val="center"/>
          </w:tcPr>
          <w:p w14:paraId="4E6432B3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b/>
              </w:rPr>
            </w:pPr>
            <w:r>
              <w:rPr>
                <w:rFonts w:ascii="仿宋_GB2312" w:eastAsia="仿宋_GB2312" w:hAnsi="黑体" w:hint="eastAsia"/>
                <w:b/>
              </w:rPr>
              <w:t>经营指标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tbl>
            <w:tblPr>
              <w:tblStyle w:val="af6"/>
              <w:tblW w:w="8359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23"/>
              <w:gridCol w:w="2155"/>
              <w:gridCol w:w="2268"/>
            </w:tblGrid>
            <w:tr w:rsidR="00404FEA" w14:paraId="3E81FE3C" w14:textId="77777777">
              <w:trPr>
                <w:trHeight w:val="415"/>
              </w:trPr>
              <w:tc>
                <w:tcPr>
                  <w:tcW w:w="1413" w:type="dxa"/>
                  <w:vAlign w:val="center"/>
                </w:tcPr>
                <w:p w14:paraId="3D4C1990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年份</w:t>
                  </w:r>
                </w:p>
              </w:tc>
              <w:tc>
                <w:tcPr>
                  <w:tcW w:w="2523" w:type="dxa"/>
                  <w:vAlign w:val="center"/>
                </w:tcPr>
                <w:p w14:paraId="0AE64C21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资产总额</w:t>
                  </w:r>
                </w:p>
                <w:p w14:paraId="7A10E4E0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（亿元）</w:t>
                  </w:r>
                </w:p>
              </w:tc>
              <w:tc>
                <w:tcPr>
                  <w:tcW w:w="2155" w:type="dxa"/>
                  <w:vAlign w:val="center"/>
                </w:tcPr>
                <w:p w14:paraId="617BFBC6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净资产</w:t>
                  </w:r>
                </w:p>
                <w:p w14:paraId="4D26EFA7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（亿元）</w:t>
                  </w:r>
                </w:p>
              </w:tc>
              <w:tc>
                <w:tcPr>
                  <w:tcW w:w="2268" w:type="dxa"/>
                  <w:vAlign w:val="center"/>
                </w:tcPr>
                <w:p w14:paraId="6DF2538B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净利润</w:t>
                  </w:r>
                </w:p>
                <w:p w14:paraId="1C19321C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（亿元）</w:t>
                  </w:r>
                </w:p>
              </w:tc>
            </w:tr>
            <w:tr w:rsidR="00404FEA" w14:paraId="75ED5327" w14:textId="77777777">
              <w:trPr>
                <w:trHeight w:val="415"/>
              </w:trPr>
              <w:tc>
                <w:tcPr>
                  <w:tcW w:w="1413" w:type="dxa"/>
                </w:tcPr>
                <w:p w14:paraId="12C20D81" w14:textId="77777777" w:rsidR="00404FEA" w:rsidRDefault="00C766B6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20</w:t>
                  </w:r>
                  <w:r>
                    <w:rPr>
                      <w:rFonts w:ascii="仿宋_GB2312" w:eastAsia="仿宋_GB2312" w:hAnsi="仿宋" w:cs="Times New Roman"/>
                      <w:sz w:val="24"/>
                    </w:rPr>
                    <w:t>2</w:t>
                  </w: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4年</w:t>
                  </w:r>
                </w:p>
              </w:tc>
              <w:tc>
                <w:tcPr>
                  <w:tcW w:w="2523" w:type="dxa"/>
                </w:tcPr>
                <w:p w14:paraId="2A4AEA50" w14:textId="2A7BC295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DF4874">
                    <w:rPr>
                      <w:rFonts w:ascii="仿宋_GB2312" w:eastAsia="仿宋_GB2312" w:hAnsi="仿宋" w:cs="Times New Roman"/>
                      <w:sz w:val="24"/>
                    </w:rPr>
                    <w:t>932.7</w:t>
                  </w:r>
                  <w:r>
                    <w:rPr>
                      <w:rFonts w:ascii="仿宋_GB2312" w:eastAsia="仿宋_GB2312" w:hAnsi="仿宋" w:cs="Times New Roman"/>
                      <w:sz w:val="24"/>
                    </w:rPr>
                    <w:t>3</w:t>
                  </w:r>
                </w:p>
              </w:tc>
              <w:tc>
                <w:tcPr>
                  <w:tcW w:w="2155" w:type="dxa"/>
                </w:tcPr>
                <w:p w14:paraId="5A1E15CF" w14:textId="1FDE111B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DF4874">
                    <w:rPr>
                      <w:rFonts w:ascii="仿宋_GB2312" w:eastAsia="仿宋_GB2312" w:hAnsi="仿宋" w:cs="Times New Roman"/>
                      <w:sz w:val="24"/>
                    </w:rPr>
                    <w:t>87.02</w:t>
                  </w:r>
                </w:p>
              </w:tc>
              <w:tc>
                <w:tcPr>
                  <w:tcW w:w="2268" w:type="dxa"/>
                </w:tcPr>
                <w:p w14:paraId="39EB527C" w14:textId="52A41EBA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DF4874">
                    <w:rPr>
                      <w:rFonts w:ascii="仿宋_GB2312" w:eastAsia="仿宋_GB2312" w:hAnsi="仿宋" w:cs="Times New Roman"/>
                      <w:sz w:val="24"/>
                    </w:rPr>
                    <w:t>7.37</w:t>
                  </w:r>
                </w:p>
              </w:tc>
            </w:tr>
            <w:tr w:rsidR="00A30792" w14:paraId="7FDC70CE" w14:textId="77777777">
              <w:trPr>
                <w:trHeight w:val="415"/>
              </w:trPr>
              <w:tc>
                <w:tcPr>
                  <w:tcW w:w="1413" w:type="dxa"/>
                </w:tcPr>
                <w:p w14:paraId="0D2E7FF0" w14:textId="77777777" w:rsidR="00A30792" w:rsidRDefault="00A30792" w:rsidP="00A30792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2023年</w:t>
                  </w:r>
                </w:p>
              </w:tc>
              <w:tc>
                <w:tcPr>
                  <w:tcW w:w="2523" w:type="dxa"/>
                </w:tcPr>
                <w:p w14:paraId="1DCFD4A8" w14:textId="0D0FEE66" w:rsidR="00A30792" w:rsidRDefault="00A30792" w:rsidP="00A30792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F876C2">
                    <w:rPr>
                      <w:rFonts w:ascii="仿宋_GB2312" w:eastAsia="仿宋_GB2312" w:hAnsi="仿宋" w:cs="Times New Roman"/>
                      <w:sz w:val="24"/>
                    </w:rPr>
                    <w:t>833.32</w:t>
                  </w:r>
                </w:p>
              </w:tc>
              <w:tc>
                <w:tcPr>
                  <w:tcW w:w="2155" w:type="dxa"/>
                </w:tcPr>
                <w:p w14:paraId="22CDB08A" w14:textId="3739851D" w:rsidR="00A30792" w:rsidRDefault="00A30792" w:rsidP="00A30792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7F49BD">
                    <w:rPr>
                      <w:rFonts w:ascii="仿宋_GB2312" w:eastAsia="仿宋_GB2312" w:hAnsi="仿宋" w:cs="Times New Roman"/>
                      <w:sz w:val="24"/>
                    </w:rPr>
                    <w:t>74.77</w:t>
                  </w:r>
                </w:p>
              </w:tc>
              <w:tc>
                <w:tcPr>
                  <w:tcW w:w="2268" w:type="dxa"/>
                </w:tcPr>
                <w:p w14:paraId="0706C50B" w14:textId="34B47D02" w:rsidR="00A30792" w:rsidRDefault="00A30792" w:rsidP="00A30792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 w:rsidRPr="00F876C2">
                    <w:rPr>
                      <w:rFonts w:ascii="仿宋_GB2312" w:eastAsia="仿宋_GB2312" w:hAnsi="仿宋" w:cs="Times New Roman"/>
                      <w:sz w:val="24"/>
                    </w:rPr>
                    <w:t>7.</w:t>
                  </w:r>
                  <w:r>
                    <w:rPr>
                      <w:rFonts w:ascii="仿宋_GB2312" w:eastAsia="仿宋_GB2312" w:hAnsi="仿宋" w:cs="Times New Roman"/>
                      <w:sz w:val="24"/>
                    </w:rPr>
                    <w:t>70</w:t>
                  </w:r>
                </w:p>
              </w:tc>
            </w:tr>
          </w:tbl>
          <w:p w14:paraId="2F82B803" w14:textId="77777777" w:rsidR="00404FEA" w:rsidRDefault="00404FEA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</w:p>
        </w:tc>
      </w:tr>
      <w:tr w:rsidR="00404FEA" w14:paraId="78E62BD2" w14:textId="77777777">
        <w:trPr>
          <w:trHeight w:val="1263"/>
        </w:trPr>
        <w:tc>
          <w:tcPr>
            <w:tcW w:w="1560" w:type="dxa"/>
            <w:shd w:val="clear" w:color="auto" w:fill="auto"/>
            <w:vAlign w:val="center"/>
          </w:tcPr>
          <w:p w14:paraId="3530CCBD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b/>
              </w:rPr>
            </w:pPr>
            <w:r>
              <w:rPr>
                <w:rFonts w:ascii="仿宋_GB2312" w:eastAsia="仿宋_GB2312" w:hAnsi="黑体" w:hint="eastAsia"/>
                <w:b/>
              </w:rPr>
              <w:t>监管指标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tbl>
            <w:tblPr>
              <w:tblStyle w:val="af6"/>
              <w:tblW w:w="8373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2535"/>
              <w:gridCol w:w="2160"/>
              <w:gridCol w:w="2265"/>
            </w:tblGrid>
            <w:tr w:rsidR="00404FEA" w14:paraId="228772D0" w14:textId="77777777">
              <w:trPr>
                <w:trHeight w:val="415"/>
              </w:trPr>
              <w:tc>
                <w:tcPr>
                  <w:tcW w:w="1413" w:type="dxa"/>
                  <w:vAlign w:val="center"/>
                </w:tcPr>
                <w:p w14:paraId="04EF527A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年份</w:t>
                  </w:r>
                </w:p>
              </w:tc>
              <w:tc>
                <w:tcPr>
                  <w:tcW w:w="2535" w:type="dxa"/>
                  <w:vAlign w:val="center"/>
                </w:tcPr>
                <w:p w14:paraId="24BB14DF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资本充足率（%）</w:t>
                  </w:r>
                </w:p>
              </w:tc>
              <w:tc>
                <w:tcPr>
                  <w:tcW w:w="2160" w:type="dxa"/>
                  <w:vAlign w:val="center"/>
                </w:tcPr>
                <w:p w14:paraId="01EEF3E3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不良贷款率（%）</w:t>
                  </w:r>
                </w:p>
              </w:tc>
              <w:tc>
                <w:tcPr>
                  <w:tcW w:w="2265" w:type="dxa"/>
                  <w:vAlign w:val="center"/>
                </w:tcPr>
                <w:p w14:paraId="0F3F9F61" w14:textId="77777777" w:rsidR="00404FEA" w:rsidRDefault="00C766B6">
                  <w:pPr>
                    <w:snapToGrid w:val="0"/>
                    <w:jc w:val="center"/>
                    <w:rPr>
                      <w:rFonts w:ascii="仿宋_GB2312" w:eastAsia="仿宋_GB2312" w:hAnsi="仿宋" w:cs="Times New Roman"/>
                      <w:b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b/>
                      <w:sz w:val="24"/>
                    </w:rPr>
                    <w:t>拨备覆盖率（%）</w:t>
                  </w:r>
                </w:p>
              </w:tc>
            </w:tr>
            <w:tr w:rsidR="00404FEA" w14:paraId="136A785E" w14:textId="77777777">
              <w:trPr>
                <w:trHeight w:val="415"/>
              </w:trPr>
              <w:tc>
                <w:tcPr>
                  <w:tcW w:w="1413" w:type="dxa"/>
                </w:tcPr>
                <w:p w14:paraId="466C41E4" w14:textId="77777777" w:rsidR="00404FEA" w:rsidRDefault="00C766B6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20</w:t>
                  </w:r>
                  <w:r>
                    <w:rPr>
                      <w:rFonts w:ascii="仿宋_GB2312" w:eastAsia="仿宋_GB2312" w:hAnsi="仿宋" w:cs="Times New Roman"/>
                      <w:sz w:val="24"/>
                    </w:rPr>
                    <w:t>2</w:t>
                  </w: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4年</w:t>
                  </w:r>
                </w:p>
              </w:tc>
              <w:tc>
                <w:tcPr>
                  <w:tcW w:w="2535" w:type="dxa"/>
                </w:tcPr>
                <w:p w14:paraId="2DEF5A2A" w14:textId="3CC84217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14.7</w:t>
                  </w:r>
                </w:p>
              </w:tc>
              <w:tc>
                <w:tcPr>
                  <w:tcW w:w="2160" w:type="dxa"/>
                </w:tcPr>
                <w:p w14:paraId="1C49D381" w14:textId="30E1EFAB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0.79</w:t>
                  </w:r>
                </w:p>
              </w:tc>
              <w:tc>
                <w:tcPr>
                  <w:tcW w:w="2265" w:type="dxa"/>
                </w:tcPr>
                <w:p w14:paraId="54E6BA50" w14:textId="3A0A9405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482.35</w:t>
                  </w:r>
                </w:p>
              </w:tc>
            </w:tr>
            <w:tr w:rsidR="00404FEA" w14:paraId="4D723A97" w14:textId="77777777">
              <w:trPr>
                <w:trHeight w:val="415"/>
              </w:trPr>
              <w:tc>
                <w:tcPr>
                  <w:tcW w:w="1413" w:type="dxa"/>
                </w:tcPr>
                <w:p w14:paraId="620E2BC7" w14:textId="77777777" w:rsidR="00404FEA" w:rsidRDefault="00C766B6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仿宋_GB2312" w:eastAsia="仿宋_GB2312" w:hAnsi="仿宋" w:cs="Times New Roman" w:hint="eastAsia"/>
                      <w:sz w:val="24"/>
                    </w:rPr>
                    <w:t>2023年</w:t>
                  </w:r>
                </w:p>
              </w:tc>
              <w:tc>
                <w:tcPr>
                  <w:tcW w:w="2535" w:type="dxa"/>
                </w:tcPr>
                <w:p w14:paraId="79CED76A" w14:textId="5C93A779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13.24</w:t>
                  </w:r>
                </w:p>
              </w:tc>
              <w:tc>
                <w:tcPr>
                  <w:tcW w:w="2160" w:type="dxa"/>
                </w:tcPr>
                <w:p w14:paraId="0ED237A3" w14:textId="5C39E39F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0.81</w:t>
                  </w:r>
                </w:p>
              </w:tc>
              <w:tc>
                <w:tcPr>
                  <w:tcW w:w="2265" w:type="dxa"/>
                </w:tcPr>
                <w:p w14:paraId="64BFF2FC" w14:textId="03668B2F" w:rsidR="00404FEA" w:rsidRDefault="00DF4874">
                  <w:pPr>
                    <w:jc w:val="left"/>
                    <w:rPr>
                      <w:rFonts w:ascii="仿宋_GB2312" w:eastAsia="仿宋_GB2312" w:hAnsi="仿宋" w:cs="Times New Roman"/>
                      <w:sz w:val="24"/>
                    </w:rPr>
                  </w:pPr>
                  <w:r>
                    <w:rPr>
                      <w:rFonts w:ascii="微软雅黑" w:eastAsia="微软雅黑" w:hAnsi="微软雅黑" w:hint="eastAsia"/>
                      <w:color w:val="333333"/>
                      <w:szCs w:val="21"/>
                      <w:shd w:val="clear" w:color="auto" w:fill="FFFFFF"/>
                    </w:rPr>
                    <w:t>437.07</w:t>
                  </w:r>
                </w:p>
              </w:tc>
            </w:tr>
          </w:tbl>
          <w:p w14:paraId="431E8376" w14:textId="77777777" w:rsidR="00404FEA" w:rsidRDefault="00404FEA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</w:p>
        </w:tc>
      </w:tr>
      <w:tr w:rsidR="00404FEA" w14:paraId="1FDED696" w14:textId="77777777">
        <w:trPr>
          <w:trHeight w:val="1263"/>
        </w:trPr>
        <w:tc>
          <w:tcPr>
            <w:tcW w:w="1560" w:type="dxa"/>
            <w:shd w:val="clear" w:color="auto" w:fill="auto"/>
            <w:vAlign w:val="center"/>
          </w:tcPr>
          <w:p w14:paraId="176C5D69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b/>
              </w:rPr>
            </w:pPr>
            <w:r>
              <w:rPr>
                <w:rFonts w:ascii="仿宋_GB2312" w:eastAsia="仿宋_GB2312" w:hAnsi="黑体" w:hint="eastAsia"/>
                <w:b/>
              </w:rPr>
              <w:t>控股股东</w:t>
            </w:r>
          </w:p>
          <w:p w14:paraId="3D7A4278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b/>
              </w:rPr>
            </w:pPr>
            <w:r>
              <w:rPr>
                <w:rFonts w:ascii="仿宋_GB2312" w:eastAsia="仿宋_GB2312" w:hAnsi="黑体" w:hint="eastAsia"/>
                <w:b/>
              </w:rPr>
              <w:t>介绍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p w14:paraId="376A8402" w14:textId="04DE32D0" w:rsidR="00404FEA" w:rsidRDefault="004E3F02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>
              <w:rPr>
                <w:rFonts w:ascii="仿宋_GB2312" w:eastAsia="仿宋_GB2312" w:hAnsi="黑体" w:hint="eastAsia"/>
              </w:rPr>
              <w:t>无</w:t>
            </w:r>
          </w:p>
        </w:tc>
      </w:tr>
      <w:tr w:rsidR="00404FEA" w14:paraId="2D3E3143" w14:textId="77777777">
        <w:trPr>
          <w:trHeight w:val="978"/>
        </w:trPr>
        <w:tc>
          <w:tcPr>
            <w:tcW w:w="1560" w:type="dxa"/>
            <w:shd w:val="clear" w:color="auto" w:fill="auto"/>
            <w:vAlign w:val="center"/>
          </w:tcPr>
          <w:p w14:paraId="7CDA6687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b/>
              </w:rPr>
            </w:pPr>
            <w:r>
              <w:rPr>
                <w:rFonts w:ascii="仿宋_GB2312" w:eastAsia="仿宋_GB2312" w:hAnsi="黑体" w:hint="eastAsia"/>
                <w:b/>
              </w:rPr>
              <w:t>股权结构</w:t>
            </w:r>
          </w:p>
        </w:tc>
        <w:tc>
          <w:tcPr>
            <w:tcW w:w="8902" w:type="dxa"/>
            <w:gridSpan w:val="2"/>
            <w:shd w:val="clear" w:color="auto" w:fill="auto"/>
            <w:vAlign w:val="center"/>
          </w:tcPr>
          <w:p w14:paraId="01EC7D26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股东名称</w:t>
            </w:r>
            <w:r w:rsidRPr="004E3F02">
              <w:rPr>
                <w:rFonts w:ascii="仿宋_GB2312" w:eastAsia="仿宋_GB2312" w:hAnsi="黑体" w:hint="eastAsia"/>
              </w:rPr>
              <w:tab/>
              <w:t>股份数（股）</w:t>
            </w:r>
            <w:r w:rsidRPr="004E3F02">
              <w:rPr>
                <w:rFonts w:ascii="仿宋_GB2312" w:eastAsia="仿宋_GB2312" w:hAnsi="黑体" w:hint="eastAsia"/>
              </w:rPr>
              <w:tab/>
              <w:t>持股比（%）</w:t>
            </w:r>
            <w:r w:rsidRPr="004E3F02">
              <w:rPr>
                <w:rFonts w:ascii="仿宋_GB2312" w:eastAsia="仿宋_GB2312" w:hAnsi="黑体" w:hint="eastAsia"/>
              </w:rPr>
              <w:tab/>
              <w:t>股东性质</w:t>
            </w:r>
          </w:p>
          <w:p w14:paraId="6889C06B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嘉兴市新都控股有限公司</w:t>
            </w:r>
            <w:r w:rsidRPr="004E3F02">
              <w:rPr>
                <w:rFonts w:ascii="仿宋_GB2312" w:eastAsia="仿宋_GB2312" w:hAnsi="黑体" w:hint="eastAsia"/>
              </w:rPr>
              <w:tab/>
              <w:t>47,659,073</w:t>
            </w:r>
            <w:r w:rsidRPr="004E3F02">
              <w:rPr>
                <w:rFonts w:ascii="仿宋_GB2312" w:eastAsia="仿宋_GB2312" w:hAnsi="黑体" w:hint="eastAsia"/>
              </w:rPr>
              <w:tab/>
              <w:t>5.16%</w:t>
            </w:r>
            <w:r w:rsidRPr="004E3F02">
              <w:rPr>
                <w:rFonts w:ascii="仿宋_GB2312" w:eastAsia="仿宋_GB2312" w:hAnsi="黑体" w:hint="eastAsia"/>
              </w:rPr>
              <w:tab/>
              <w:t>民营</w:t>
            </w:r>
          </w:p>
          <w:p w14:paraId="07A7A9C2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桐乡市大洋实业股份有限公司</w:t>
            </w:r>
            <w:r w:rsidRPr="004E3F02">
              <w:rPr>
                <w:rFonts w:ascii="仿宋_GB2312" w:eastAsia="仿宋_GB2312" w:hAnsi="黑体" w:hint="eastAsia"/>
              </w:rPr>
              <w:tab/>
              <w:t>46,216,107</w:t>
            </w:r>
            <w:r w:rsidRPr="004E3F02">
              <w:rPr>
                <w:rFonts w:ascii="仿宋_GB2312" w:eastAsia="仿宋_GB2312" w:hAnsi="黑体" w:hint="eastAsia"/>
              </w:rPr>
              <w:tab/>
              <w:t>5.00%</w:t>
            </w:r>
            <w:r w:rsidRPr="004E3F02">
              <w:rPr>
                <w:rFonts w:ascii="仿宋_GB2312" w:eastAsia="仿宋_GB2312" w:hAnsi="黑体" w:hint="eastAsia"/>
              </w:rPr>
              <w:tab/>
              <w:t>民营</w:t>
            </w:r>
          </w:p>
          <w:p w14:paraId="46283CA3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嘉兴市华益股份有限公司</w:t>
            </w:r>
            <w:r w:rsidRPr="004E3F02">
              <w:rPr>
                <w:rFonts w:ascii="仿宋_GB2312" w:eastAsia="仿宋_GB2312" w:hAnsi="黑体" w:hint="eastAsia"/>
              </w:rPr>
              <w:tab/>
              <w:t>46,216,107</w:t>
            </w:r>
            <w:r w:rsidRPr="004E3F02">
              <w:rPr>
                <w:rFonts w:ascii="仿宋_GB2312" w:eastAsia="仿宋_GB2312" w:hAnsi="黑体" w:hint="eastAsia"/>
              </w:rPr>
              <w:tab/>
              <w:t>5.00%</w:t>
            </w:r>
            <w:r w:rsidRPr="004E3F02">
              <w:rPr>
                <w:rFonts w:ascii="仿宋_GB2312" w:eastAsia="仿宋_GB2312" w:hAnsi="黑体" w:hint="eastAsia"/>
              </w:rPr>
              <w:tab/>
              <w:t>民营</w:t>
            </w:r>
          </w:p>
          <w:p w14:paraId="10AB05CB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浙江金鑫实业有限公司</w:t>
            </w:r>
            <w:r w:rsidRPr="004E3F02">
              <w:rPr>
                <w:rFonts w:ascii="仿宋_GB2312" w:eastAsia="仿宋_GB2312" w:hAnsi="黑体" w:hint="eastAsia"/>
              </w:rPr>
              <w:tab/>
              <w:t>6,706,276</w:t>
            </w:r>
            <w:r w:rsidRPr="004E3F02">
              <w:rPr>
                <w:rFonts w:ascii="仿宋_GB2312" w:eastAsia="仿宋_GB2312" w:hAnsi="黑体" w:hint="eastAsia"/>
              </w:rPr>
              <w:tab/>
              <w:t>0.73%</w:t>
            </w:r>
            <w:r w:rsidRPr="004E3F02">
              <w:rPr>
                <w:rFonts w:ascii="仿宋_GB2312" w:eastAsia="仿宋_GB2312" w:hAnsi="黑体" w:hint="eastAsia"/>
              </w:rPr>
              <w:tab/>
              <w:t>民营</w:t>
            </w:r>
          </w:p>
          <w:p w14:paraId="0C0A08A7" w14:textId="77777777" w:rsidR="004E3F02" w:rsidRPr="004E3F02" w:rsidRDefault="004E3F02" w:rsidP="004E3F02">
            <w:pPr>
              <w:pStyle w:val="Default"/>
              <w:widowControl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 w:rsidRPr="004E3F02">
              <w:rPr>
                <w:rFonts w:ascii="仿宋_GB2312" w:eastAsia="仿宋_GB2312" w:hAnsi="黑体" w:hint="eastAsia"/>
              </w:rPr>
              <w:t>桐乡市恒球皮草制品有限公司</w:t>
            </w:r>
            <w:r w:rsidRPr="004E3F02">
              <w:rPr>
                <w:rFonts w:ascii="仿宋_GB2312" w:eastAsia="仿宋_GB2312" w:hAnsi="黑体" w:hint="eastAsia"/>
              </w:rPr>
              <w:tab/>
              <w:t>4,792,029</w:t>
            </w:r>
            <w:r w:rsidRPr="004E3F02">
              <w:rPr>
                <w:rFonts w:ascii="仿宋_GB2312" w:eastAsia="仿宋_GB2312" w:hAnsi="黑体" w:hint="eastAsia"/>
              </w:rPr>
              <w:tab/>
              <w:t>0.52%</w:t>
            </w:r>
            <w:r w:rsidRPr="004E3F02">
              <w:rPr>
                <w:rFonts w:ascii="仿宋_GB2312" w:eastAsia="仿宋_GB2312" w:hAnsi="黑体" w:hint="eastAsia"/>
              </w:rPr>
              <w:tab/>
              <w:t>民营</w:t>
            </w:r>
          </w:p>
          <w:p w14:paraId="0D55069F" w14:textId="77777777" w:rsidR="00404FEA" w:rsidRPr="004E3F02" w:rsidRDefault="00404FEA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</w:p>
        </w:tc>
      </w:tr>
      <w:tr w:rsidR="00404FEA" w14:paraId="26EEE4F0" w14:textId="77777777">
        <w:trPr>
          <w:trHeight w:val="978"/>
        </w:trPr>
        <w:tc>
          <w:tcPr>
            <w:tcW w:w="10462" w:type="dxa"/>
            <w:gridSpan w:val="3"/>
            <w:shd w:val="clear" w:color="auto" w:fill="auto"/>
            <w:vAlign w:val="center"/>
          </w:tcPr>
          <w:p w14:paraId="43695CE0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>
              <w:rPr>
                <w:rFonts w:ascii="仿宋_GB2312" w:eastAsia="仿宋_GB2312" w:hAnsi="黑体"/>
                <w:b/>
                <w:color w:val="auto"/>
                <w:kern w:val="2"/>
                <w:sz w:val="28"/>
                <w:szCs w:val="28"/>
              </w:rPr>
              <w:t>2、</w:t>
            </w:r>
            <w:r>
              <w:rPr>
                <w:rFonts w:ascii="仿宋_GB2312" w:eastAsia="仿宋_GB2312" w:hAnsi="黑体" w:hint="eastAsia"/>
                <w:b/>
                <w:color w:val="auto"/>
                <w:kern w:val="2"/>
                <w:sz w:val="28"/>
                <w:szCs w:val="28"/>
              </w:rPr>
              <w:t>制度管理</w:t>
            </w:r>
          </w:p>
        </w:tc>
      </w:tr>
      <w:tr w:rsidR="00404FEA" w14:paraId="7B9FECF0" w14:textId="77777777">
        <w:trPr>
          <w:trHeight w:val="978"/>
        </w:trPr>
        <w:tc>
          <w:tcPr>
            <w:tcW w:w="10462" w:type="dxa"/>
            <w:gridSpan w:val="3"/>
            <w:shd w:val="clear" w:color="auto" w:fill="auto"/>
            <w:vAlign w:val="center"/>
          </w:tcPr>
          <w:p w14:paraId="39CC5199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>
              <w:rPr>
                <w:rFonts w:ascii="仿宋_GB2312" w:eastAsia="仿宋_GB2312" w:hAnsi="黑体" w:hint="eastAsia"/>
              </w:rPr>
              <w:t>本次规范性评估中，有关理财产品销售的内部管理制度、办法等是否有新增或修订？</w:t>
            </w:r>
          </w:p>
        </w:tc>
      </w:tr>
      <w:tr w:rsidR="00404FEA" w14:paraId="65CA43D1" w14:textId="77777777">
        <w:trPr>
          <w:trHeight w:val="978"/>
        </w:trPr>
        <w:tc>
          <w:tcPr>
            <w:tcW w:w="10462" w:type="dxa"/>
            <w:gridSpan w:val="3"/>
            <w:shd w:val="clear" w:color="auto" w:fill="auto"/>
            <w:vAlign w:val="center"/>
          </w:tcPr>
          <w:p w14:paraId="31D4E56A" w14:textId="794EF4E4" w:rsidR="00404FEA" w:rsidRDefault="00A30792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lastRenderedPageBreak/>
              <w:sym w:font="Wingdings 2" w:char="0052"/>
            </w:r>
            <w:r w:rsidR="00C766B6">
              <w:rPr>
                <w:rFonts w:ascii="仿宋_GB2312" w:eastAsia="仿宋_GB2312" w:hAnsi="黑体" w:hint="eastAsia"/>
              </w:rPr>
              <w:t>是 。如选是，请在此注明新增或修订内容，也可单独添加附件。</w:t>
            </w:r>
          </w:p>
          <w:p w14:paraId="044B3257" w14:textId="6515BE05" w:rsidR="00404FEA" w:rsidRDefault="00A30792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</w:rPr>
            </w:pPr>
            <w:r>
              <w:rPr>
                <w:rFonts w:ascii="仿宋_GB2312" w:eastAsia="仿宋_GB2312" w:hAnsi="黑体" w:hint="eastAsia"/>
              </w:rPr>
              <w:sym w:font="Wingdings 2" w:char="00A3"/>
            </w:r>
            <w:r w:rsidR="00C766B6">
              <w:rPr>
                <w:rFonts w:ascii="仿宋_GB2312" w:eastAsia="仿宋_GB2312" w:hAnsi="黑体" w:hint="eastAsia"/>
              </w:rPr>
              <w:t>否</w:t>
            </w:r>
          </w:p>
        </w:tc>
      </w:tr>
      <w:tr w:rsidR="00404FEA" w14:paraId="7CB5B12B" w14:textId="77777777">
        <w:trPr>
          <w:trHeight w:val="764"/>
        </w:trPr>
        <w:tc>
          <w:tcPr>
            <w:tcW w:w="10462" w:type="dxa"/>
            <w:gridSpan w:val="3"/>
            <w:shd w:val="clear" w:color="auto" w:fill="E7E6E6" w:themeFill="background2"/>
            <w:vAlign w:val="center"/>
          </w:tcPr>
          <w:p w14:paraId="656E5690" w14:textId="77777777" w:rsidR="00404FEA" w:rsidRDefault="00C766B6">
            <w:pPr>
              <w:pStyle w:val="Default"/>
              <w:spacing w:after="50" w:line="360" w:lineRule="auto"/>
              <w:jc w:val="center"/>
              <w:rPr>
                <w:rFonts w:ascii="仿宋_GB2312" w:eastAsia="仿宋_GB2312" w:hAnsi="黑体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color w:val="auto"/>
                <w:kern w:val="2"/>
                <w:sz w:val="28"/>
                <w:szCs w:val="28"/>
              </w:rPr>
              <w:t>3、销售活动</w:t>
            </w:r>
          </w:p>
        </w:tc>
      </w:tr>
      <w:tr w:rsidR="00404FEA" w14:paraId="7F82B759" w14:textId="77777777">
        <w:trPr>
          <w:trHeight w:val="1146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3A690C72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rPr>
                <w:rFonts w:ascii="仿宋_GB2312" w:eastAsia="仿宋_GB2312" w:hAnsi="黑体"/>
                <w:b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b/>
                <w:color w:val="auto"/>
                <w:kern w:val="2"/>
              </w:rPr>
              <w:t>是否具备监管要求的从事理财产品销售业务活动的相关条件，销售行为是否合</w:t>
            </w:r>
            <w:proofErr w:type="gramStart"/>
            <w:r>
              <w:rPr>
                <w:rFonts w:ascii="仿宋_GB2312" w:eastAsia="仿宋_GB2312" w:hAnsi="黑体" w:hint="eastAsia"/>
                <w:b/>
                <w:color w:val="auto"/>
                <w:kern w:val="2"/>
              </w:rPr>
              <w:t>规</w:t>
            </w:r>
            <w:proofErr w:type="gramEnd"/>
          </w:p>
        </w:tc>
        <w:tc>
          <w:tcPr>
            <w:tcW w:w="7201" w:type="dxa"/>
            <w:shd w:val="clear" w:color="auto" w:fill="auto"/>
            <w:vAlign w:val="center"/>
          </w:tcPr>
          <w:p w14:paraId="09D827AF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both"/>
              <w:rPr>
                <w:rFonts w:ascii="仿宋_GB2312" w:eastAsia="仿宋_GB2312" w:hAnsi="黑体"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sym w:font="Wingdings 2" w:char="0052"/>
            </w:r>
            <w:r>
              <w:rPr>
                <w:rFonts w:ascii="仿宋_GB2312" w:eastAsia="仿宋_GB2312" w:hAnsi="黑体" w:hint="eastAsia"/>
                <w:color w:val="auto"/>
                <w:kern w:val="2"/>
              </w:rPr>
              <w:t>是</w:t>
            </w:r>
          </w:p>
          <w:p w14:paraId="2197A6FC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both"/>
              <w:rPr>
                <w:rFonts w:ascii="仿宋_GB2312" w:eastAsia="仿宋_GB2312" w:hAnsi="黑体"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t>□否</w:t>
            </w:r>
          </w:p>
          <w:p w14:paraId="21926F67" w14:textId="77777777" w:rsidR="00404FEA" w:rsidRDefault="00C766B6">
            <w:pPr>
              <w:widowControl/>
              <w:spacing w:after="50" w:line="360" w:lineRule="auto"/>
              <w:rPr>
                <w:rFonts w:ascii="仿宋_GB2312" w:eastAsia="仿宋_GB2312" w:hAnsi="黑体" w:cs="宋体"/>
                <w:sz w:val="24"/>
              </w:rPr>
            </w:pPr>
            <w:r>
              <w:rPr>
                <w:rFonts w:ascii="仿宋_GB2312" w:eastAsia="仿宋_GB2312" w:hAnsi="黑体" w:hint="eastAsia"/>
              </w:rPr>
              <w:t>□ 其它：</w:t>
            </w:r>
            <w:r>
              <w:rPr>
                <w:rFonts w:ascii="仿宋_GB2312" w:eastAsia="仿宋_GB2312" w:hAnsi="黑体" w:hint="eastAsia"/>
                <w:u w:val="single"/>
              </w:rPr>
              <w:t xml:space="preserve">        </w:t>
            </w:r>
          </w:p>
        </w:tc>
      </w:tr>
      <w:tr w:rsidR="00404FEA" w14:paraId="1A1372BA" w14:textId="77777777">
        <w:trPr>
          <w:trHeight w:val="2009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27BEC50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rPr>
                <w:rFonts w:ascii="仿宋_GB2312" w:eastAsia="仿宋_GB2312" w:hAnsi="黑体"/>
                <w:b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b/>
                <w:color w:val="auto"/>
                <w:kern w:val="2"/>
              </w:rPr>
              <w:t>近一年是否</w:t>
            </w:r>
            <w:r>
              <w:rPr>
                <w:rFonts w:ascii="仿宋_GB2312" w:eastAsia="仿宋_GB2312" w:hAnsi="黑体"/>
                <w:b/>
                <w:color w:val="auto"/>
                <w:kern w:val="2"/>
              </w:rPr>
              <w:t>出现过</w:t>
            </w:r>
            <w:r>
              <w:rPr>
                <w:rFonts w:ascii="仿宋_GB2312" w:eastAsia="仿宋_GB2312" w:hAnsi="黑体" w:hint="eastAsia"/>
                <w:b/>
                <w:color w:val="auto"/>
                <w:kern w:val="2"/>
              </w:rPr>
              <w:t>关于理财</w:t>
            </w:r>
            <w:r>
              <w:rPr>
                <w:rFonts w:ascii="仿宋_GB2312" w:eastAsia="仿宋_GB2312" w:hAnsi="黑体"/>
                <w:b/>
                <w:color w:val="auto"/>
                <w:kern w:val="2"/>
              </w:rPr>
              <w:t>销售方面的</w:t>
            </w:r>
            <w:r>
              <w:rPr>
                <w:rFonts w:ascii="仿宋_GB2312" w:eastAsia="仿宋_GB2312" w:hAnsi="黑体" w:hint="eastAsia"/>
                <w:b/>
                <w:color w:val="auto"/>
                <w:kern w:val="2"/>
              </w:rPr>
              <w:t>监管机构处罚或重大风险事件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7D9FCAAD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jc w:val="center"/>
              <w:rPr>
                <w:rFonts w:ascii="仿宋_GB2312" w:eastAsia="仿宋_GB2312" w:hAnsi="黑体"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t xml:space="preserve">□是；     </w:t>
            </w:r>
            <w:r>
              <w:rPr>
                <w:rFonts w:ascii="仿宋_GB2312" w:eastAsia="仿宋_GB2312" w:hAnsi="黑体" w:hint="eastAsia"/>
                <w:color w:val="auto"/>
                <w:kern w:val="2"/>
              </w:rPr>
              <w:sym w:font="Wingdings 2" w:char="0052"/>
            </w:r>
            <w:proofErr w:type="gramStart"/>
            <w:r>
              <w:rPr>
                <w:rFonts w:ascii="仿宋_GB2312" w:eastAsia="仿宋_GB2312" w:hAnsi="黑体" w:hint="eastAsia"/>
                <w:color w:val="auto"/>
                <w:kern w:val="2"/>
              </w:rPr>
              <w:t>否</w:t>
            </w:r>
            <w:proofErr w:type="gramEnd"/>
          </w:p>
          <w:p w14:paraId="022A9CD7" w14:textId="77777777" w:rsidR="00404FEA" w:rsidRDefault="00C766B6">
            <w:pPr>
              <w:pStyle w:val="Default"/>
              <w:widowControl/>
              <w:adjustRightInd/>
              <w:spacing w:after="50" w:line="360" w:lineRule="auto"/>
              <w:ind w:firstLineChars="100" w:firstLine="240"/>
              <w:rPr>
                <w:rFonts w:ascii="仿宋_GB2312" w:eastAsia="仿宋_GB2312" w:hAnsi="黑体"/>
                <w:color w:val="auto"/>
                <w:kern w:val="2"/>
              </w:rPr>
            </w:pPr>
            <w:r>
              <w:rPr>
                <w:rFonts w:ascii="仿宋_GB2312" w:eastAsia="仿宋_GB2312" w:hAnsi="黑体" w:hint="eastAsia"/>
                <w:color w:val="auto"/>
                <w:kern w:val="2"/>
              </w:rPr>
              <w:t>说明（如有）：</w:t>
            </w:r>
            <w:r>
              <w:rPr>
                <w:rFonts w:ascii="仿宋_GB2312" w:eastAsia="仿宋_GB2312" w:hAnsi="黑体" w:hint="eastAsia"/>
                <w:color w:val="auto"/>
                <w:kern w:val="2"/>
                <w:u w:val="single"/>
              </w:rPr>
              <w:t xml:space="preserve">                   </w:t>
            </w:r>
          </w:p>
        </w:tc>
      </w:tr>
    </w:tbl>
    <w:p w14:paraId="06F422A0" w14:textId="77777777" w:rsidR="00404FEA" w:rsidRDefault="00404FEA">
      <w:pPr>
        <w:pStyle w:val="Style1"/>
        <w:widowControl/>
        <w:spacing w:line="560" w:lineRule="exact"/>
        <w:ind w:left="0" w:firstLineChars="0" w:firstLine="0"/>
        <w:jc w:val="left"/>
        <w:rPr>
          <w:rFonts w:ascii="仿宋_GB2312" w:eastAsia="仿宋_GB2312"/>
        </w:rPr>
      </w:pPr>
      <w:bookmarkStart w:id="0" w:name="page5"/>
      <w:bookmarkEnd w:id="0"/>
    </w:p>
    <w:p w14:paraId="6CB3F6F7" w14:textId="38B4ED9E" w:rsidR="00404FEA" w:rsidRDefault="00C766B6">
      <w:pPr>
        <w:pStyle w:val="Style1"/>
        <w:widowControl/>
        <w:spacing w:line="560" w:lineRule="exact"/>
        <w:ind w:left="0" w:firstLineChars="0" w:firstLine="0"/>
        <w:jc w:val="right"/>
        <w:rPr>
          <w:rFonts w:ascii="仿宋_GB2312" w:eastAsia="仿宋_GB2312"/>
        </w:rPr>
      </w:pPr>
      <w:r>
        <w:rPr>
          <w:rFonts w:ascii="仿宋_GB2312" w:eastAsia="仿宋_GB2312" w:hAnsi="黑体" w:cs="宋体" w:hint="eastAsia"/>
          <w:sz w:val="24"/>
          <w:szCs w:val="24"/>
        </w:rPr>
        <w:t>填写日期：</w:t>
      </w:r>
      <w:r w:rsidR="003D2C6D">
        <w:rPr>
          <w:rFonts w:ascii="仿宋_GB2312" w:eastAsia="仿宋_GB2312" w:hAnsi="黑体" w:cs="宋体"/>
          <w:sz w:val="24"/>
          <w:szCs w:val="24"/>
        </w:rPr>
        <w:t>2025</w:t>
      </w:r>
      <w:r>
        <w:rPr>
          <w:rFonts w:ascii="仿宋_GB2312" w:eastAsia="仿宋_GB2312" w:hAnsi="黑体" w:cs="宋体" w:hint="eastAsia"/>
          <w:sz w:val="24"/>
          <w:szCs w:val="24"/>
        </w:rPr>
        <w:t xml:space="preserve">年  </w:t>
      </w:r>
      <w:r w:rsidR="003D2C6D">
        <w:rPr>
          <w:rFonts w:ascii="仿宋_GB2312" w:eastAsia="仿宋_GB2312" w:hAnsi="黑体" w:cs="宋体"/>
          <w:sz w:val="24"/>
          <w:szCs w:val="24"/>
        </w:rPr>
        <w:t>8</w:t>
      </w:r>
      <w:r>
        <w:rPr>
          <w:rFonts w:ascii="仿宋_GB2312" w:eastAsia="仿宋_GB2312" w:hAnsi="黑体" w:cs="宋体" w:hint="eastAsia"/>
          <w:sz w:val="24"/>
          <w:szCs w:val="24"/>
        </w:rPr>
        <w:t xml:space="preserve">月 </w:t>
      </w:r>
      <w:r w:rsidR="003D2C6D">
        <w:rPr>
          <w:rFonts w:ascii="仿宋_GB2312" w:eastAsia="仿宋_GB2312" w:hAnsi="黑体" w:cs="宋体"/>
          <w:sz w:val="24"/>
          <w:szCs w:val="24"/>
        </w:rPr>
        <w:t>1</w:t>
      </w:r>
      <w:bookmarkStart w:id="1" w:name="_GoBack"/>
      <w:bookmarkEnd w:id="1"/>
      <w:r>
        <w:rPr>
          <w:rFonts w:ascii="仿宋_GB2312" w:eastAsia="仿宋_GB2312" w:hAnsi="黑体" w:cs="宋体" w:hint="eastAsia"/>
          <w:sz w:val="24"/>
          <w:szCs w:val="24"/>
        </w:rPr>
        <w:t>日</w:t>
      </w:r>
    </w:p>
    <w:p w14:paraId="106A371F" w14:textId="77777777" w:rsidR="00404FEA" w:rsidRDefault="00404FEA">
      <w:pPr>
        <w:pStyle w:val="Default"/>
        <w:widowControl/>
        <w:adjustRightInd/>
        <w:spacing w:after="50" w:line="360" w:lineRule="auto"/>
        <w:ind w:firstLineChars="2100" w:firstLine="5903"/>
        <w:rPr>
          <w:rFonts w:ascii="仿宋_GB2312" w:eastAsia="仿宋_GB2312" w:hAnsi="黑体"/>
          <w:b/>
          <w:color w:val="auto"/>
          <w:kern w:val="2"/>
          <w:sz w:val="28"/>
          <w:szCs w:val="28"/>
        </w:rPr>
      </w:pPr>
    </w:p>
    <w:p w14:paraId="46CA0642" w14:textId="77777777" w:rsidR="00404FEA" w:rsidRDefault="00404FEA"/>
    <w:sectPr w:rsidR="00404FE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0C617" w14:textId="77777777" w:rsidR="00A40090" w:rsidRDefault="00A40090">
      <w:r>
        <w:separator/>
      </w:r>
    </w:p>
  </w:endnote>
  <w:endnote w:type="continuationSeparator" w:id="0">
    <w:p w14:paraId="71B1B8DA" w14:textId="77777777" w:rsidR="00A40090" w:rsidRDefault="00A4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FCC84" w14:textId="77777777" w:rsidR="00404FEA" w:rsidRDefault="00C766B6">
    <w:pPr>
      <w:pStyle w:val="ad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BDE6284" w14:textId="77777777" w:rsidR="00404FEA" w:rsidRDefault="00404FE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80AEC" w14:textId="77777777" w:rsidR="00A40090" w:rsidRDefault="00A40090">
      <w:r>
        <w:separator/>
      </w:r>
    </w:p>
  </w:footnote>
  <w:footnote w:type="continuationSeparator" w:id="0">
    <w:p w14:paraId="2CEA0960" w14:textId="77777777" w:rsidR="00A40090" w:rsidRDefault="00A40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yZDQwNzVhYWUzODA0M2M0NWYzNDUwMTdhMjY3ZTcifQ=="/>
  </w:docVars>
  <w:rsids>
    <w:rsidRoot w:val="00830DE0"/>
    <w:rsid w:val="00000B3F"/>
    <w:rsid w:val="00026DE3"/>
    <w:rsid w:val="0004682B"/>
    <w:rsid w:val="000707D7"/>
    <w:rsid w:val="00074857"/>
    <w:rsid w:val="00092A6E"/>
    <w:rsid w:val="0009641D"/>
    <w:rsid w:val="000B2AF4"/>
    <w:rsid w:val="000B7B23"/>
    <w:rsid w:val="000F38A4"/>
    <w:rsid w:val="000F5193"/>
    <w:rsid w:val="001141A2"/>
    <w:rsid w:val="00114316"/>
    <w:rsid w:val="00123629"/>
    <w:rsid w:val="00171FA2"/>
    <w:rsid w:val="00183D26"/>
    <w:rsid w:val="001C1156"/>
    <w:rsid w:val="001E4694"/>
    <w:rsid w:val="001E6753"/>
    <w:rsid w:val="00216EA7"/>
    <w:rsid w:val="002239B5"/>
    <w:rsid w:val="00227548"/>
    <w:rsid w:val="00233233"/>
    <w:rsid w:val="0025558C"/>
    <w:rsid w:val="002621A2"/>
    <w:rsid w:val="00272454"/>
    <w:rsid w:val="00287291"/>
    <w:rsid w:val="002955F3"/>
    <w:rsid w:val="002B0509"/>
    <w:rsid w:val="002B7F59"/>
    <w:rsid w:val="002D266D"/>
    <w:rsid w:val="002E3511"/>
    <w:rsid w:val="002E4802"/>
    <w:rsid w:val="002F2150"/>
    <w:rsid w:val="002F7B1D"/>
    <w:rsid w:val="003006C4"/>
    <w:rsid w:val="00305462"/>
    <w:rsid w:val="00305A95"/>
    <w:rsid w:val="0031032C"/>
    <w:rsid w:val="00320D61"/>
    <w:rsid w:val="00325FC8"/>
    <w:rsid w:val="0033681C"/>
    <w:rsid w:val="0034020D"/>
    <w:rsid w:val="00341832"/>
    <w:rsid w:val="00352E69"/>
    <w:rsid w:val="003653AE"/>
    <w:rsid w:val="0036627E"/>
    <w:rsid w:val="0036654F"/>
    <w:rsid w:val="00372338"/>
    <w:rsid w:val="00384F68"/>
    <w:rsid w:val="003876B8"/>
    <w:rsid w:val="00393E08"/>
    <w:rsid w:val="00394DEB"/>
    <w:rsid w:val="003B73C1"/>
    <w:rsid w:val="003C1E80"/>
    <w:rsid w:val="003C4585"/>
    <w:rsid w:val="003D2C6D"/>
    <w:rsid w:val="003E0682"/>
    <w:rsid w:val="003E2752"/>
    <w:rsid w:val="003F3247"/>
    <w:rsid w:val="00404FEA"/>
    <w:rsid w:val="00411840"/>
    <w:rsid w:val="0042467C"/>
    <w:rsid w:val="0043424D"/>
    <w:rsid w:val="004A1A54"/>
    <w:rsid w:val="004A2781"/>
    <w:rsid w:val="004B164C"/>
    <w:rsid w:val="004B3705"/>
    <w:rsid w:val="004C39F9"/>
    <w:rsid w:val="004C58B6"/>
    <w:rsid w:val="004C6CEE"/>
    <w:rsid w:val="004D3220"/>
    <w:rsid w:val="004E3F02"/>
    <w:rsid w:val="00515801"/>
    <w:rsid w:val="00524784"/>
    <w:rsid w:val="00536096"/>
    <w:rsid w:val="0054042A"/>
    <w:rsid w:val="00543E69"/>
    <w:rsid w:val="00552654"/>
    <w:rsid w:val="005543F2"/>
    <w:rsid w:val="00563841"/>
    <w:rsid w:val="0058464C"/>
    <w:rsid w:val="00595311"/>
    <w:rsid w:val="005A630B"/>
    <w:rsid w:val="005A77FD"/>
    <w:rsid w:val="005C5693"/>
    <w:rsid w:val="005E2E0F"/>
    <w:rsid w:val="005E4991"/>
    <w:rsid w:val="005F2336"/>
    <w:rsid w:val="0060355C"/>
    <w:rsid w:val="00607EAA"/>
    <w:rsid w:val="00615C69"/>
    <w:rsid w:val="00635617"/>
    <w:rsid w:val="00642C2D"/>
    <w:rsid w:val="00653E51"/>
    <w:rsid w:val="00656F26"/>
    <w:rsid w:val="006817B0"/>
    <w:rsid w:val="00683127"/>
    <w:rsid w:val="00691684"/>
    <w:rsid w:val="00694720"/>
    <w:rsid w:val="006A04EF"/>
    <w:rsid w:val="006A770B"/>
    <w:rsid w:val="006B3230"/>
    <w:rsid w:val="00717D42"/>
    <w:rsid w:val="00720532"/>
    <w:rsid w:val="007225FE"/>
    <w:rsid w:val="00723DF0"/>
    <w:rsid w:val="00727FDC"/>
    <w:rsid w:val="00733BE5"/>
    <w:rsid w:val="00735793"/>
    <w:rsid w:val="007358F1"/>
    <w:rsid w:val="007437B2"/>
    <w:rsid w:val="007557E8"/>
    <w:rsid w:val="00777482"/>
    <w:rsid w:val="00784295"/>
    <w:rsid w:val="007A2E18"/>
    <w:rsid w:val="007C4D09"/>
    <w:rsid w:val="00805721"/>
    <w:rsid w:val="00830DE0"/>
    <w:rsid w:val="00831B19"/>
    <w:rsid w:val="00847AEF"/>
    <w:rsid w:val="008720F9"/>
    <w:rsid w:val="00890E07"/>
    <w:rsid w:val="008B1F42"/>
    <w:rsid w:val="008D752E"/>
    <w:rsid w:val="008E1A51"/>
    <w:rsid w:val="008E2D52"/>
    <w:rsid w:val="0091164F"/>
    <w:rsid w:val="009166DD"/>
    <w:rsid w:val="009244B1"/>
    <w:rsid w:val="00935C5A"/>
    <w:rsid w:val="00935F71"/>
    <w:rsid w:val="00942450"/>
    <w:rsid w:val="00954BF9"/>
    <w:rsid w:val="009574B2"/>
    <w:rsid w:val="00963136"/>
    <w:rsid w:val="00970087"/>
    <w:rsid w:val="00974F30"/>
    <w:rsid w:val="009756ED"/>
    <w:rsid w:val="00983508"/>
    <w:rsid w:val="00990D00"/>
    <w:rsid w:val="009A7055"/>
    <w:rsid w:val="009B6AC6"/>
    <w:rsid w:val="009C1756"/>
    <w:rsid w:val="009C5190"/>
    <w:rsid w:val="009C607C"/>
    <w:rsid w:val="009D10B5"/>
    <w:rsid w:val="009D7D98"/>
    <w:rsid w:val="009E7514"/>
    <w:rsid w:val="009E7B4B"/>
    <w:rsid w:val="009F48C6"/>
    <w:rsid w:val="00A0256C"/>
    <w:rsid w:val="00A05B45"/>
    <w:rsid w:val="00A30792"/>
    <w:rsid w:val="00A32B0D"/>
    <w:rsid w:val="00A36F72"/>
    <w:rsid w:val="00A40090"/>
    <w:rsid w:val="00A45441"/>
    <w:rsid w:val="00A60022"/>
    <w:rsid w:val="00A631D2"/>
    <w:rsid w:val="00A65E2F"/>
    <w:rsid w:val="00A81B7E"/>
    <w:rsid w:val="00A8494F"/>
    <w:rsid w:val="00A96A47"/>
    <w:rsid w:val="00AA48C8"/>
    <w:rsid w:val="00AB3103"/>
    <w:rsid w:val="00AC3197"/>
    <w:rsid w:val="00AC4B91"/>
    <w:rsid w:val="00AD4ADC"/>
    <w:rsid w:val="00B52422"/>
    <w:rsid w:val="00B57719"/>
    <w:rsid w:val="00B93CC5"/>
    <w:rsid w:val="00BC4ABB"/>
    <w:rsid w:val="00BD4D2D"/>
    <w:rsid w:val="00BF1B0C"/>
    <w:rsid w:val="00C034C3"/>
    <w:rsid w:val="00C31606"/>
    <w:rsid w:val="00C34ABB"/>
    <w:rsid w:val="00C66C0F"/>
    <w:rsid w:val="00C673BB"/>
    <w:rsid w:val="00C70CD4"/>
    <w:rsid w:val="00C766B6"/>
    <w:rsid w:val="00C83321"/>
    <w:rsid w:val="00C92F41"/>
    <w:rsid w:val="00CA0431"/>
    <w:rsid w:val="00CB0F60"/>
    <w:rsid w:val="00CB6B36"/>
    <w:rsid w:val="00CC0BCD"/>
    <w:rsid w:val="00CC164D"/>
    <w:rsid w:val="00CC5593"/>
    <w:rsid w:val="00CC7C5C"/>
    <w:rsid w:val="00CD6693"/>
    <w:rsid w:val="00CF6EB5"/>
    <w:rsid w:val="00D127C7"/>
    <w:rsid w:val="00D21C99"/>
    <w:rsid w:val="00D4515F"/>
    <w:rsid w:val="00D4575B"/>
    <w:rsid w:val="00D54986"/>
    <w:rsid w:val="00D81118"/>
    <w:rsid w:val="00DB15BE"/>
    <w:rsid w:val="00DB287D"/>
    <w:rsid w:val="00DC3736"/>
    <w:rsid w:val="00DC4345"/>
    <w:rsid w:val="00DC4B6A"/>
    <w:rsid w:val="00DF36A9"/>
    <w:rsid w:val="00DF3E08"/>
    <w:rsid w:val="00DF4874"/>
    <w:rsid w:val="00E07B8C"/>
    <w:rsid w:val="00E22393"/>
    <w:rsid w:val="00E62713"/>
    <w:rsid w:val="00E67019"/>
    <w:rsid w:val="00EA5BF3"/>
    <w:rsid w:val="00EB3155"/>
    <w:rsid w:val="00EB32BA"/>
    <w:rsid w:val="00EF11C1"/>
    <w:rsid w:val="00EF157F"/>
    <w:rsid w:val="00EF179B"/>
    <w:rsid w:val="00F041EE"/>
    <w:rsid w:val="00F1645C"/>
    <w:rsid w:val="00F17BED"/>
    <w:rsid w:val="00F2041B"/>
    <w:rsid w:val="00F2636A"/>
    <w:rsid w:val="00F30441"/>
    <w:rsid w:val="00F343AC"/>
    <w:rsid w:val="00F41360"/>
    <w:rsid w:val="00F51C19"/>
    <w:rsid w:val="00F54810"/>
    <w:rsid w:val="00F71305"/>
    <w:rsid w:val="00F74542"/>
    <w:rsid w:val="00F75CA7"/>
    <w:rsid w:val="00FA22C9"/>
    <w:rsid w:val="00FB5821"/>
    <w:rsid w:val="00FD7393"/>
    <w:rsid w:val="00FE3044"/>
    <w:rsid w:val="00FF0CBC"/>
    <w:rsid w:val="011473B7"/>
    <w:rsid w:val="02C17534"/>
    <w:rsid w:val="0C94770E"/>
    <w:rsid w:val="0C9B3CA4"/>
    <w:rsid w:val="0D7B27E6"/>
    <w:rsid w:val="0D957AD2"/>
    <w:rsid w:val="10A971AF"/>
    <w:rsid w:val="11004DCC"/>
    <w:rsid w:val="11E7150C"/>
    <w:rsid w:val="12634C27"/>
    <w:rsid w:val="137B0061"/>
    <w:rsid w:val="14BB6D51"/>
    <w:rsid w:val="150F6F21"/>
    <w:rsid w:val="15126BC9"/>
    <w:rsid w:val="178E792B"/>
    <w:rsid w:val="17B56A6D"/>
    <w:rsid w:val="180556E8"/>
    <w:rsid w:val="180A7BA7"/>
    <w:rsid w:val="19167E82"/>
    <w:rsid w:val="1A564145"/>
    <w:rsid w:val="1C6868DC"/>
    <w:rsid w:val="1ED7612E"/>
    <w:rsid w:val="1ED95739"/>
    <w:rsid w:val="20234AC9"/>
    <w:rsid w:val="21210B14"/>
    <w:rsid w:val="214E154F"/>
    <w:rsid w:val="2365593D"/>
    <w:rsid w:val="24620537"/>
    <w:rsid w:val="25AE5C9F"/>
    <w:rsid w:val="26E44547"/>
    <w:rsid w:val="294A19AD"/>
    <w:rsid w:val="2A9E4D57"/>
    <w:rsid w:val="2B5F671B"/>
    <w:rsid w:val="2EA119DB"/>
    <w:rsid w:val="30162A1C"/>
    <w:rsid w:val="31AB0C7F"/>
    <w:rsid w:val="34264510"/>
    <w:rsid w:val="35CF0205"/>
    <w:rsid w:val="3A3A669D"/>
    <w:rsid w:val="3BED7890"/>
    <w:rsid w:val="3E7B5325"/>
    <w:rsid w:val="3F0D4805"/>
    <w:rsid w:val="404756EB"/>
    <w:rsid w:val="41202C33"/>
    <w:rsid w:val="42005AC5"/>
    <w:rsid w:val="42013488"/>
    <w:rsid w:val="443D1AB3"/>
    <w:rsid w:val="455E478B"/>
    <w:rsid w:val="46924824"/>
    <w:rsid w:val="480F0CD4"/>
    <w:rsid w:val="486811DF"/>
    <w:rsid w:val="48FF6F5F"/>
    <w:rsid w:val="4AEB6FAF"/>
    <w:rsid w:val="4B095FC3"/>
    <w:rsid w:val="4E107E76"/>
    <w:rsid w:val="4F16073D"/>
    <w:rsid w:val="50932C7C"/>
    <w:rsid w:val="50CE2822"/>
    <w:rsid w:val="51DB4626"/>
    <w:rsid w:val="528A6EF9"/>
    <w:rsid w:val="52A20097"/>
    <w:rsid w:val="531B5950"/>
    <w:rsid w:val="54A108E1"/>
    <w:rsid w:val="56C430F6"/>
    <w:rsid w:val="57B61389"/>
    <w:rsid w:val="5AA74954"/>
    <w:rsid w:val="5BB814E0"/>
    <w:rsid w:val="5C1F1168"/>
    <w:rsid w:val="5EE7446E"/>
    <w:rsid w:val="5F8501DF"/>
    <w:rsid w:val="62E36C9D"/>
    <w:rsid w:val="64877E39"/>
    <w:rsid w:val="65766C11"/>
    <w:rsid w:val="662132DD"/>
    <w:rsid w:val="671F7ECA"/>
    <w:rsid w:val="676002E5"/>
    <w:rsid w:val="68E77748"/>
    <w:rsid w:val="68E96CB3"/>
    <w:rsid w:val="6B6E254A"/>
    <w:rsid w:val="6D68537E"/>
    <w:rsid w:val="6F103387"/>
    <w:rsid w:val="710B506B"/>
    <w:rsid w:val="739A7D73"/>
    <w:rsid w:val="75DA7058"/>
    <w:rsid w:val="76480CDA"/>
    <w:rsid w:val="78E23F4E"/>
    <w:rsid w:val="798D26BD"/>
    <w:rsid w:val="79C1605A"/>
    <w:rsid w:val="79C33D0A"/>
    <w:rsid w:val="7A253C4A"/>
    <w:rsid w:val="7A8A3D8E"/>
    <w:rsid w:val="7AB12282"/>
    <w:rsid w:val="7C5318D2"/>
    <w:rsid w:val="7F914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88E5"/>
  <w15:docId w15:val="{814245C2-E06E-426D-965F-AA72B676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adjustRightInd w:val="0"/>
      <w:snapToGrid w:val="0"/>
      <w:spacing w:before="260" w:after="260" w:line="560" w:lineRule="exact"/>
      <w:jc w:val="center"/>
      <w:outlineLvl w:val="1"/>
    </w:pPr>
    <w:rPr>
      <w:rFonts w:ascii="华文细黑" w:eastAsia="华文细黑" w:hAnsi="华文细黑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"/>
    <w:basedOn w:val="a"/>
    <w:link w:val="a8"/>
    <w:qFormat/>
    <w:pPr>
      <w:spacing w:after="120"/>
    </w:pPr>
  </w:style>
  <w:style w:type="paragraph" w:styleId="a9">
    <w:name w:val="Date"/>
    <w:basedOn w:val="a"/>
    <w:next w:val="a"/>
    <w:link w:val="aa"/>
    <w:qFormat/>
    <w:pPr>
      <w:ind w:leftChars="2500" w:left="100"/>
    </w:pPr>
  </w:style>
  <w:style w:type="paragraph" w:styleId="ab">
    <w:name w:val="Balloon Text"/>
    <w:basedOn w:val="a"/>
    <w:link w:val="ac"/>
    <w:uiPriority w:val="99"/>
    <w:qFormat/>
    <w:rPr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footnote text"/>
    <w:basedOn w:val="a"/>
    <w:link w:val="af2"/>
    <w:qFormat/>
    <w:pPr>
      <w:snapToGrid w:val="0"/>
      <w:jc w:val="left"/>
    </w:pPr>
    <w:rPr>
      <w:sz w:val="18"/>
      <w:szCs w:val="18"/>
    </w:rPr>
  </w:style>
  <w:style w:type="paragraph" w:styleId="af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f4">
    <w:name w:val="annotation subject"/>
    <w:basedOn w:val="a5"/>
    <w:next w:val="a5"/>
    <w:link w:val="af5"/>
    <w:unhideWhenUsed/>
    <w:qFormat/>
    <w:rPr>
      <w:b/>
      <w:bCs/>
    </w:rPr>
  </w:style>
  <w:style w:type="table" w:styleId="af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8">
    <w:name w:val="annotation reference"/>
    <w:basedOn w:val="a0"/>
    <w:unhideWhenUsed/>
    <w:qFormat/>
    <w:rPr>
      <w:sz w:val="21"/>
      <w:szCs w:val="21"/>
    </w:rPr>
  </w:style>
  <w:style w:type="character" w:styleId="af9">
    <w:name w:val="footnote reference"/>
    <w:basedOn w:val="a0"/>
    <w:qFormat/>
    <w:rPr>
      <w:vertAlign w:val="superscript"/>
    </w:rPr>
  </w:style>
  <w:style w:type="character" w:customStyle="1" w:styleId="10">
    <w:name w:val="标题 1 字符"/>
    <w:basedOn w:val="a0"/>
    <w:link w:val="1"/>
    <w:qFormat/>
    <w:rPr>
      <w:rFonts w:ascii="Times New Roman" w:eastAsia="黑体" w:hAnsi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qFormat/>
    <w:rPr>
      <w:rFonts w:ascii="华文细黑" w:eastAsia="华文细黑" w:hAnsi="华文细黑"/>
      <w:bCs/>
      <w:sz w:val="24"/>
      <w:szCs w:val="24"/>
    </w:rPr>
  </w:style>
  <w:style w:type="character" w:customStyle="1" w:styleId="a6">
    <w:name w:val="批注文字 字符"/>
    <w:basedOn w:val="a0"/>
    <w:link w:val="a5"/>
    <w:uiPriority w:val="99"/>
    <w:qFormat/>
    <w:rPr>
      <w:rFonts w:ascii="Times New Roman" w:hAnsi="Times New Roman"/>
      <w:szCs w:val="24"/>
    </w:rPr>
  </w:style>
  <w:style w:type="character" w:customStyle="1" w:styleId="af5">
    <w:name w:val="批注主题 字符"/>
    <w:basedOn w:val="a6"/>
    <w:link w:val="af4"/>
    <w:qFormat/>
    <w:rPr>
      <w:rFonts w:ascii="Times New Roman" w:hAnsi="Times New Roman"/>
      <w:b/>
      <w:bCs/>
      <w:szCs w:val="24"/>
    </w:rPr>
  </w:style>
  <w:style w:type="character" w:customStyle="1" w:styleId="a8">
    <w:name w:val="正文文本 字符"/>
    <w:basedOn w:val="a0"/>
    <w:link w:val="a7"/>
    <w:qFormat/>
    <w:rPr>
      <w:rFonts w:ascii="Times New Roman" w:hAnsi="Times New Roman"/>
      <w:szCs w:val="24"/>
    </w:rPr>
  </w:style>
  <w:style w:type="character" w:customStyle="1" w:styleId="ac">
    <w:name w:val="批注框文本 字符"/>
    <w:basedOn w:val="a0"/>
    <w:link w:val="ab"/>
    <w:uiPriority w:val="99"/>
    <w:qFormat/>
    <w:rPr>
      <w:rFonts w:ascii="Times New Roman" w:hAnsi="Times New Roman"/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rFonts w:ascii="Times New Roman" w:hAnsi="Times New Roman"/>
      <w:sz w:val="18"/>
      <w:szCs w:val="18"/>
    </w:rPr>
  </w:style>
  <w:style w:type="character" w:customStyle="1" w:styleId="af0">
    <w:name w:val="页眉 字符"/>
    <w:basedOn w:val="a0"/>
    <w:link w:val="af"/>
    <w:qFormat/>
    <w:rPr>
      <w:rFonts w:ascii="Times New Roman" w:hAnsi="Times New Roman"/>
      <w:sz w:val="18"/>
      <w:szCs w:val="18"/>
    </w:rPr>
  </w:style>
  <w:style w:type="character" w:customStyle="1" w:styleId="af2">
    <w:name w:val="脚注文本 字符"/>
    <w:basedOn w:val="a0"/>
    <w:link w:val="af1"/>
    <w:qFormat/>
    <w:rPr>
      <w:rFonts w:ascii="Times New Roman" w:hAnsi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Theme="minorEastAsia" w:cs="宋体"/>
      <w:color w:val="000000"/>
      <w:sz w:val="24"/>
      <w:szCs w:val="24"/>
    </w:rPr>
  </w:style>
  <w:style w:type="paragraph" w:customStyle="1" w:styleId="Normal1">
    <w:name w:val="Normal1"/>
    <w:basedOn w:val="a7"/>
    <w:qFormat/>
    <w:pPr>
      <w:widowControl/>
      <w:spacing w:after="360" w:line="320" w:lineRule="atLeast"/>
      <w:ind w:firstLineChars="200" w:firstLine="200"/>
    </w:pPr>
    <w:rPr>
      <w:sz w:val="24"/>
    </w:rPr>
  </w:style>
  <w:style w:type="paragraph" w:customStyle="1" w:styleId="Afa">
    <w:name w:val="正文 A"/>
    <w:qFormat/>
    <w:pPr>
      <w:widowControl w:val="0"/>
      <w:jc w:val="both"/>
    </w:pPr>
    <w:rPr>
      <w:rFonts w:eastAsia="Calibri" w:cs="Calibri"/>
      <w:color w:val="000000"/>
      <w:kern w:val="2"/>
      <w:sz w:val="21"/>
      <w:szCs w:val="21"/>
      <w:u w:color="000000"/>
    </w:rPr>
  </w:style>
  <w:style w:type="paragraph" w:customStyle="1" w:styleId="11">
    <w:name w:val="列出段落1"/>
    <w:basedOn w:val="a"/>
    <w:uiPriority w:val="34"/>
    <w:unhideWhenUsed/>
    <w:qFormat/>
    <w:pPr>
      <w:ind w:firstLineChars="200" w:firstLine="420"/>
    </w:pPr>
    <w:rPr>
      <w:rFonts w:eastAsia="宋体" w:cs="Times New Roman"/>
    </w:rPr>
  </w:style>
  <w:style w:type="character" w:customStyle="1" w:styleId="aa">
    <w:name w:val="日期 字符"/>
    <w:basedOn w:val="a0"/>
    <w:link w:val="a9"/>
    <w:qFormat/>
    <w:rPr>
      <w:rFonts w:ascii="Times New Roman" w:hAnsi="Times New Roman"/>
      <w:szCs w:val="24"/>
    </w:rPr>
  </w:style>
  <w:style w:type="paragraph" w:customStyle="1" w:styleId="110">
    <w:name w:val="列出段落1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Style1">
    <w:name w:val="_Style 1"/>
    <w:basedOn w:val="a"/>
    <w:qFormat/>
    <w:pPr>
      <w:ind w:left="357" w:firstLineChars="200" w:firstLine="420"/>
    </w:pPr>
    <w:rPr>
      <w:rFonts w:ascii="Calibri" w:eastAsia="宋体" w:hAnsi="Calibri" w:cs="Times New Roman"/>
      <w:szCs w:val="22"/>
    </w:rPr>
  </w:style>
  <w:style w:type="paragraph" w:customStyle="1" w:styleId="21">
    <w:name w:val="列出段落2"/>
    <w:basedOn w:val="a"/>
    <w:uiPriority w:val="99"/>
    <w:unhideWhenUsed/>
    <w:qFormat/>
    <w:pPr>
      <w:ind w:firstLineChars="200" w:firstLine="420"/>
    </w:pPr>
    <w:rPr>
      <w:rFonts w:asciiTheme="minorHAnsi" w:hAnsiTheme="minorHAnsi"/>
    </w:rPr>
  </w:style>
  <w:style w:type="paragraph" w:styleId="afb">
    <w:name w:val="List Paragraph"/>
    <w:basedOn w:val="a"/>
    <w:uiPriority w:val="34"/>
    <w:qFormat/>
    <w:pPr>
      <w:ind w:firstLineChars="200" w:firstLine="420"/>
    </w:pPr>
  </w:style>
  <w:style w:type="paragraph" w:customStyle="1" w:styleId="12">
    <w:name w:val="列表段落1"/>
    <w:basedOn w:val="a"/>
    <w:uiPriority w:val="99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13">
    <w:name w:val="修订1"/>
    <w:hidden/>
    <w:uiPriority w:val="99"/>
    <w:semiHidden/>
    <w:qFormat/>
    <w:rPr>
      <w:rFonts w:eastAsiaTheme="minorEastAsia" w:cstheme="minorBidi"/>
      <w:kern w:val="2"/>
      <w:sz w:val="21"/>
      <w:szCs w:val="24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7B82A-0072-4B17-A63C-5D88D011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110</Words>
  <Characters>632</Characters>
  <Application>Microsoft Office Word</Application>
  <DocSecurity>0</DocSecurity>
  <Lines>5</Lines>
  <Paragraphs>1</Paragraphs>
  <ScaleCrop>false</ScaleCrop>
  <Company>Lenovo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陈歆宇</dc:creator>
  <cp:lastModifiedBy>岳冬杰</cp:lastModifiedBy>
  <cp:revision>12</cp:revision>
  <cp:lastPrinted>2022-07-18T06:44:00Z</cp:lastPrinted>
  <dcterms:created xsi:type="dcterms:W3CDTF">2021-08-03T09:45:00Z</dcterms:created>
  <dcterms:modified xsi:type="dcterms:W3CDTF">2025-08-01T02:53:00Z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136CB872F42644DF9901FD42ED37D1B8_13</vt:lpwstr>
  </property>
  <property fmtid="{D5CDD505-2E9C-101B-9397-08002B2CF9AE}" pid="4" name="KSOTemplateDocerSaveRecord">
    <vt:lpwstr>eyJoZGlkIjoiMTZjNDdlNGU4ODYyMmFiZmIxMzFhOTQ0ZGYzNjZjZjkifQ==</vt:lpwstr>
  </property>
</Properties>
</file>