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【稳利恒盈封闭式</w:t>
      </w:r>
      <w:r>
        <w:rPr>
          <w:rStyle w:val="27"/>
          <w:rFonts w:hint="eastAsia" w:ascii="黑体" w:hAnsi="黑体" w:eastAsia="黑体"/>
          <w:sz w:val="44"/>
          <w:szCs w:val="44"/>
        </w:rPr>
        <w:t>固收类</w:t>
      </w:r>
      <w:r>
        <w:rPr>
          <w:rFonts w:hint="eastAsia" w:ascii="黑体" w:hAnsi="黑体" w:eastAsia="黑体"/>
          <w:b/>
          <w:sz w:val="44"/>
          <w:szCs w:val="44"/>
        </w:rPr>
        <w:t>】</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【稳利恒盈封闭式固收类】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【稳利恒盈封闭式固收类】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【稳利恒盈封闭式固收类】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【稳利恒盈封闭式固收类】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【稳利恒盈封闭式固收类】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Style w:val="27"/>
          <w:rFonts w:hint="eastAsia" w:ascii="黑体" w:hAnsi="黑体" w:eastAsia="黑体"/>
          <w:sz w:val="44"/>
          <w:szCs w:val="44"/>
        </w:rPr>
        <w:t>稳利恒盈封闭式固收类</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39992301"/>
      <w:bookmarkStart w:id="2" w:name="_Toc123701383"/>
      <w:bookmarkStart w:id="3" w:name="_Toc123112224"/>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39991727"/>
      <w:bookmarkStart w:id="7" w:name="_Toc123701384"/>
      <w:bookmarkStart w:id="8" w:name="_Toc123112225"/>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9</w:t>
      </w:r>
      <w:bookmarkStart w:id="66" w:name="_GoBack"/>
      <w:bookmarkEnd w:id="66"/>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4" w:edGrp="everyone"/>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29"/>
      <w:bookmarkStart w:id="15" w:name="_Toc4966"/>
      <w:bookmarkStart w:id="16" w:name="_Toc141703880"/>
      <w:bookmarkStart w:id="17" w:name="_Toc6306"/>
      <w:bookmarkStart w:id="18" w:name="_Toc123701389"/>
      <w:bookmarkStart w:id="19" w:name="_Toc29629"/>
      <w:bookmarkStart w:id="20" w:name="_Toc15517"/>
      <w:bookmarkStart w:id="21" w:name="_Toc32639"/>
      <w:bookmarkStart w:id="22" w:name="_Toc8727"/>
      <w:bookmarkStart w:id="23" w:name="_Toc123112268"/>
      <w:bookmarkStart w:id="24" w:name="_Toc23386"/>
      <w:bookmarkStart w:id="25" w:name="_Toc26897"/>
      <w:bookmarkStart w:id="26" w:name="_Toc4867"/>
      <w:bookmarkStart w:id="27" w:name="_Toc139991730"/>
      <w:bookmarkStart w:id="28" w:name="_Toc30935"/>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22864"/>
      <w:bookmarkStart w:id="34" w:name="_Toc13020"/>
      <w:bookmarkStart w:id="35" w:name="_Toc21301"/>
      <w:bookmarkStart w:id="36" w:name="_Toc15067"/>
      <w:bookmarkStart w:id="37" w:name="_Toc819"/>
      <w:bookmarkStart w:id="38" w:name="_Toc2465"/>
      <w:bookmarkStart w:id="39" w:name="_Toc3224"/>
      <w:bookmarkStart w:id="40" w:name="_Toc24860"/>
      <w:bookmarkStart w:id="41" w:name="_Toc258829399"/>
      <w:bookmarkStart w:id="42" w:name="_Toc19592"/>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6149"/>
      <w:bookmarkStart w:id="49" w:name="_Toc18631"/>
      <w:bookmarkStart w:id="50" w:name="_Toc545"/>
      <w:bookmarkStart w:id="51" w:name="_Toc733"/>
      <w:bookmarkStart w:id="52" w:name="_Toc13288"/>
      <w:bookmarkStart w:id="53" w:name="_Toc74065740"/>
      <w:bookmarkStart w:id="54" w:name="_Toc6683"/>
      <w:bookmarkStart w:id="55" w:name="_Toc20318"/>
      <w:bookmarkStart w:id="56" w:name="_Toc20627"/>
      <w:bookmarkStart w:id="57" w:name="_Toc22708"/>
      <w:bookmarkStart w:id="58" w:name="_Toc258829400"/>
      <w:bookmarkStart w:id="59" w:name="_Toc233456272"/>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7628C9"/>
    <w:rsid w:val="0474299C"/>
    <w:rsid w:val="05F13238"/>
    <w:rsid w:val="08F06232"/>
    <w:rsid w:val="096B5DA4"/>
    <w:rsid w:val="13AE4B09"/>
    <w:rsid w:val="149E474A"/>
    <w:rsid w:val="15A1625B"/>
    <w:rsid w:val="18D640E4"/>
    <w:rsid w:val="19212E29"/>
    <w:rsid w:val="24840948"/>
    <w:rsid w:val="35C863A1"/>
    <w:rsid w:val="3C083D9F"/>
    <w:rsid w:val="3F364688"/>
    <w:rsid w:val="4069171A"/>
    <w:rsid w:val="431859F2"/>
    <w:rsid w:val="487A428F"/>
    <w:rsid w:val="4A8653FB"/>
    <w:rsid w:val="4F9B33E8"/>
    <w:rsid w:val="56C22B29"/>
    <w:rsid w:val="57532E2E"/>
    <w:rsid w:val="5FD3017B"/>
    <w:rsid w:val="63AC657E"/>
    <w:rsid w:val="64DE20E9"/>
    <w:rsid w:val="657411FF"/>
    <w:rsid w:val="694621E7"/>
    <w:rsid w:val="6B364EF9"/>
    <w:rsid w:val="6D4C2C38"/>
    <w:rsid w:val="7E400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1519</Words>
  <Characters>8662</Characters>
  <Lines>72</Lines>
  <Paragraphs>20</Paragraphs>
  <TotalTime>1</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2025-09-02T08:19:39Z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