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浙江桐乡农村商业银行股份有限公司</w:t>
      </w:r>
    </w:p>
    <w:p>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ascii="方正小标宋简体" w:hAnsi="方正小标宋简体" w:eastAsia="方正小标宋简体" w:cs="方正小标宋简体"/>
          <w:sz w:val="44"/>
          <w:szCs w:val="44"/>
          <w:highlight w:val="none"/>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val="en-US" w:eastAsia="zh-CN"/>
        </w:rPr>
        <w:t>三季</w:t>
      </w:r>
      <w:r>
        <w:rPr>
          <w:rFonts w:hint="eastAsia" w:ascii="方正小标宋简体" w:hAnsi="方正小标宋简体" w:eastAsia="方正小标宋简体" w:cs="方正小标宋简体"/>
          <w:sz w:val="44"/>
          <w:szCs w:val="44"/>
          <w:highlight w:val="none"/>
        </w:rPr>
        <w:t>度第三支柱信息披露报告</w:t>
      </w:r>
    </w:p>
    <w:p>
      <w:pPr>
        <w:widowControl/>
        <w:adjustRightInd w:val="0"/>
        <w:snapToGrid w:val="0"/>
        <w:spacing w:line="560" w:lineRule="exact"/>
        <w:ind w:firstLine="640" w:firstLineChars="200"/>
        <w:rPr>
          <w:rFonts w:ascii="Times New Roman" w:hAnsi="Times New Roman" w:eastAsia="仿宋_GB2312" w:cs="Times New Roman"/>
          <w:kern w:val="0"/>
          <w:sz w:val="32"/>
          <w:szCs w:val="32"/>
          <w:highlight w:val="none"/>
        </w:rPr>
      </w:pPr>
    </w:p>
    <w:p>
      <w:pPr>
        <w:widowControl/>
        <w:adjustRightInd w:val="0"/>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本行为非国内系统重要性银行，根据《商业银行资本管理办法》（以下简称“办法”）附件22《商业银行信息披露内容和要求》的规定，</w:t>
      </w:r>
      <w:r>
        <w:rPr>
          <w:rFonts w:hint="eastAsia" w:ascii="仿宋_GB2312" w:hAnsi="仿宋_GB2312" w:eastAsia="仿宋_GB2312" w:cs="仿宋_GB2312"/>
          <w:kern w:val="0"/>
          <w:sz w:val="32"/>
          <w:szCs w:val="32"/>
          <w:highlight w:val="none"/>
        </w:rPr>
        <w:t>经本行高级管理层确认</w:t>
      </w:r>
      <w:r>
        <w:rPr>
          <w:rFonts w:ascii="Times New Roman" w:hAnsi="Times New Roman" w:eastAsia="仿宋_GB2312" w:cs="Times New Roman"/>
          <w:kern w:val="0"/>
          <w:sz w:val="32"/>
          <w:szCs w:val="32"/>
          <w:highlight w:val="none"/>
        </w:rPr>
        <w:t>，现对2025年</w:t>
      </w:r>
      <w:r>
        <w:rPr>
          <w:rFonts w:hint="eastAsia" w:ascii="Times New Roman" w:hAnsi="Times New Roman" w:eastAsia="仿宋_GB2312" w:cs="Times New Roman"/>
          <w:kern w:val="0"/>
          <w:sz w:val="32"/>
          <w:szCs w:val="32"/>
          <w:highlight w:val="none"/>
          <w:lang w:val="en-US" w:eastAsia="zh-CN"/>
        </w:rPr>
        <w:t>三季</w:t>
      </w:r>
      <w:r>
        <w:rPr>
          <w:rFonts w:hint="eastAsia" w:ascii="Times New Roman" w:hAnsi="Times New Roman" w:eastAsia="仿宋_GB2312" w:cs="Times New Roman"/>
          <w:kern w:val="0"/>
          <w:sz w:val="32"/>
          <w:szCs w:val="32"/>
          <w:highlight w:val="none"/>
        </w:rPr>
        <w:t>度</w:t>
      </w:r>
      <w:r>
        <w:rPr>
          <w:rFonts w:ascii="Times New Roman" w:hAnsi="Times New Roman" w:eastAsia="仿宋_GB2312" w:cs="Times New Roman"/>
          <w:kern w:val="0"/>
          <w:sz w:val="32"/>
          <w:szCs w:val="32"/>
          <w:highlight w:val="none"/>
        </w:rPr>
        <w:t>资本充足情况进行披露。</w:t>
      </w:r>
    </w:p>
    <w:p>
      <w:pPr>
        <w:widowControl/>
        <w:adjustRightInd w:val="0"/>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根据</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办法</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三季</w:t>
      </w:r>
      <w:r>
        <w:rPr>
          <w:rFonts w:hint="eastAsia" w:ascii="Times New Roman" w:hAnsi="Times New Roman" w:eastAsia="仿宋_GB2312" w:cs="Times New Roman"/>
          <w:kern w:val="0"/>
          <w:sz w:val="32"/>
          <w:szCs w:val="32"/>
          <w:highlight w:val="none"/>
        </w:rPr>
        <w:t>度</w:t>
      </w:r>
      <w:r>
        <w:rPr>
          <w:rFonts w:ascii="Times New Roman" w:hAnsi="Times New Roman" w:eastAsia="仿宋_GB2312" w:cs="Times New Roman"/>
          <w:kern w:val="0"/>
          <w:sz w:val="32"/>
          <w:szCs w:val="32"/>
          <w:highlight w:val="none"/>
        </w:rPr>
        <w:t>需披露报表如下：</w:t>
      </w:r>
    </w:p>
    <w:p>
      <w:pPr>
        <w:ind w:firstLine="643"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附表一：</w:t>
      </w:r>
      <w:r>
        <w:rPr>
          <w:rFonts w:ascii="仿宋_GB2312" w:hAnsi="仿宋_GB2312" w:eastAsia="仿宋_GB2312" w:cs="仿宋_GB2312"/>
          <w:b/>
          <w:kern w:val="0"/>
          <w:sz w:val="32"/>
          <w:szCs w:val="32"/>
          <w:highlight w:val="none"/>
        </w:rPr>
        <w:t>KM1监管并表关键审慎监管指标</w:t>
      </w:r>
    </w:p>
    <w:p>
      <w:pPr>
        <w:widowControl/>
        <w:spacing w:line="193" w:lineRule="atLeast"/>
        <w:ind w:firstLine="206"/>
        <w:jc w:val="righ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单位：人民币万元</w:t>
      </w:r>
      <w:r>
        <w:rPr>
          <w:rFonts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rPr>
        <w:t>%</w:t>
      </w:r>
    </w:p>
    <w:tbl>
      <w:tblPr>
        <w:tblStyle w:val="7"/>
        <w:tblW w:w="10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79"/>
        <w:gridCol w:w="1579"/>
        <w:gridCol w:w="1579"/>
        <w:gridCol w:w="1580"/>
        <w:gridCol w:w="158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04" w:type="dxa"/>
            <w:gridSpan w:val="2"/>
            <w:vMerge w:val="restart"/>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　</w:t>
            </w:r>
          </w:p>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　</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a</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b</w:t>
            </w: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c</w:t>
            </w: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d</w:t>
            </w: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04" w:type="dxa"/>
            <w:gridSpan w:val="2"/>
            <w:vMerge w:val="continue"/>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T</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T-1</w:t>
            </w: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T-2</w:t>
            </w: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T-3</w:t>
            </w: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b/>
                <w:bCs/>
                <w:color w:val="000000" w:themeColor="text1"/>
                <w:sz w:val="24"/>
                <w:szCs w:val="24"/>
                <w:highlight w:val="none"/>
                <w14:textFill>
                  <w14:solidFill>
                    <w14:schemeClr w14:val="tx1"/>
                  </w14:solidFill>
                </w14:textFill>
              </w:rPr>
              <w:t>可用资本（数额）</w:t>
            </w:r>
          </w:p>
        </w:tc>
        <w:tc>
          <w:tcPr>
            <w:tcW w:w="1579"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核心一级资本净额</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869759.07</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889825.75</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hAnsi="仿宋" w:eastAsia="仿宋_GB2312" w:cs="Arial Unicode MS"/>
                <w:color w:val="000000" w:themeColor="text1"/>
                <w:sz w:val="24"/>
                <w:szCs w:val="24"/>
                <w:highlight w:val="none"/>
                <w14:textFill>
                  <w14:solidFill>
                    <w14:schemeClr w14:val="tx1"/>
                  </w14:solidFill>
                </w14:textFill>
              </w:rPr>
              <w:t>857827.21</w:t>
            </w:r>
          </w:p>
        </w:tc>
        <w:tc>
          <w:tcPr>
            <w:tcW w:w="1580" w:type="dxa"/>
            <w:vAlign w:val="center"/>
          </w:tcPr>
          <w:p>
            <w:pPr>
              <w:snapToGrid w:val="0"/>
              <w:jc w:val="center"/>
              <w:rPr>
                <w:rFonts w:ascii="仿宋_GB2312" w:hAnsi="仿宋" w:eastAsia="仿宋_GB2312" w:cs="Arial Unicode MS"/>
                <w:sz w:val="24"/>
                <w:szCs w:val="24"/>
                <w:highlight w:val="none"/>
              </w:rPr>
            </w:pPr>
            <w:r>
              <w:rPr>
                <w:rFonts w:hint="eastAsia" w:ascii="仿宋_GB2312" w:hAnsi="仿宋" w:eastAsia="仿宋_GB2312" w:cs="Arial Unicode MS"/>
                <w:sz w:val="24"/>
                <w:szCs w:val="24"/>
                <w:highlight w:val="none"/>
              </w:rPr>
              <w:t>863427.74</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8</w:t>
            </w:r>
            <w:r>
              <w:rPr>
                <w:rFonts w:ascii="仿宋_GB2312" w:eastAsia="仿宋_GB2312" w:cs="仿宋_GB2312"/>
                <w:sz w:val="24"/>
                <w:szCs w:val="24"/>
                <w:highlight w:val="none"/>
              </w:rPr>
              <w:t>25177.69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2</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一级资本净额</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869759.07</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889825.75</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hAnsi="仿宋" w:eastAsia="仿宋_GB2312" w:cs="Arial Unicode MS"/>
                <w:color w:val="000000" w:themeColor="text1"/>
                <w:sz w:val="24"/>
                <w:szCs w:val="24"/>
                <w:highlight w:val="none"/>
                <w14:textFill>
                  <w14:solidFill>
                    <w14:schemeClr w14:val="tx1"/>
                  </w14:solidFill>
                </w14:textFill>
              </w:rPr>
              <w:t>857827.21</w:t>
            </w:r>
          </w:p>
        </w:tc>
        <w:tc>
          <w:tcPr>
            <w:tcW w:w="1580" w:type="dxa"/>
            <w:vAlign w:val="center"/>
          </w:tcPr>
          <w:p>
            <w:pPr>
              <w:snapToGrid w:val="0"/>
              <w:jc w:val="center"/>
              <w:rPr>
                <w:rFonts w:ascii="仿宋_GB2312" w:hAnsi="仿宋" w:eastAsia="仿宋_GB2312" w:cs="Arial Unicode MS"/>
                <w:sz w:val="24"/>
                <w:szCs w:val="24"/>
                <w:highlight w:val="none"/>
              </w:rPr>
            </w:pPr>
            <w:r>
              <w:rPr>
                <w:rFonts w:hint="eastAsia" w:ascii="仿宋_GB2312" w:hAnsi="仿宋" w:eastAsia="仿宋_GB2312" w:cs="Arial Unicode MS"/>
                <w:sz w:val="24"/>
                <w:szCs w:val="24"/>
                <w:highlight w:val="none"/>
              </w:rPr>
              <w:t>863427.74</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825177.69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3</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资本净额</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946278.55</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966429.12</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hAnsi="仿宋" w:eastAsia="仿宋_GB2312" w:cs="Arial Unicode MS"/>
                <w:color w:val="000000" w:themeColor="text1"/>
                <w:sz w:val="24"/>
                <w:szCs w:val="24"/>
                <w:highlight w:val="none"/>
                <w14:textFill>
                  <w14:solidFill>
                    <w14:schemeClr w14:val="tx1"/>
                  </w14:solidFill>
                </w14:textFill>
              </w:rPr>
              <w:t>934279.02</w:t>
            </w:r>
          </w:p>
        </w:tc>
        <w:tc>
          <w:tcPr>
            <w:tcW w:w="1580" w:type="dxa"/>
            <w:vAlign w:val="center"/>
          </w:tcPr>
          <w:p>
            <w:pPr>
              <w:snapToGrid w:val="0"/>
              <w:jc w:val="center"/>
              <w:rPr>
                <w:rFonts w:ascii="仿宋_GB2312" w:hAnsi="仿宋" w:eastAsia="仿宋_GB2312" w:cs="Arial Unicode MS"/>
                <w:sz w:val="24"/>
                <w:szCs w:val="24"/>
                <w:highlight w:val="none"/>
              </w:rPr>
            </w:pPr>
            <w:r>
              <w:rPr>
                <w:rFonts w:hint="eastAsia" w:ascii="仿宋_GB2312" w:hAnsi="仿宋" w:eastAsia="仿宋_GB2312" w:cs="Arial Unicode MS"/>
                <w:sz w:val="24"/>
                <w:szCs w:val="24"/>
                <w:highlight w:val="none"/>
              </w:rPr>
              <w:t>937743.83</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8</w:t>
            </w:r>
            <w:r>
              <w:rPr>
                <w:rFonts w:ascii="仿宋_GB2312" w:eastAsia="仿宋_GB2312" w:cs="仿宋_GB2312"/>
                <w:sz w:val="24"/>
                <w:szCs w:val="24"/>
                <w:highlight w:val="none"/>
              </w:rPr>
              <w:t>98014.01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b/>
                <w:bCs/>
                <w:color w:val="000000" w:themeColor="text1"/>
                <w:sz w:val="24"/>
                <w:szCs w:val="24"/>
                <w:highlight w:val="none"/>
                <w14:textFill>
                  <w14:solidFill>
                    <w14:schemeClr w14:val="tx1"/>
                  </w14:solidFill>
                </w14:textFill>
              </w:rPr>
              <w:t>风险加权资产（数额）</w:t>
            </w:r>
          </w:p>
        </w:tc>
        <w:tc>
          <w:tcPr>
            <w:tcW w:w="1579"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sz w:val="24"/>
                <w:szCs w:val="24"/>
                <w:highlight w:val="none"/>
              </w:rPr>
            </w:pPr>
          </w:p>
        </w:tc>
        <w:tc>
          <w:tcPr>
            <w:tcW w:w="1580" w:type="dxa"/>
            <w:shd w:val="clear" w:color="000000" w:fill="D9D9D9"/>
          </w:tcPr>
          <w:p>
            <w:pPr>
              <w:snapToGrid w:val="0"/>
              <w:rPr>
                <w:rFonts w:ascii="仿宋_GB2312" w:hAnsi="仿宋" w:eastAsia="仿宋_GB2312" w:cs="Arial Unicode MS"/>
                <w:sz w:val="24"/>
                <w:szCs w:val="24"/>
                <w:highlight w:val="none"/>
              </w:rPr>
            </w:pPr>
          </w:p>
        </w:tc>
        <w:tc>
          <w:tcPr>
            <w:tcW w:w="1580" w:type="dxa"/>
            <w:shd w:val="clear" w:color="000000" w:fill="D9D9D9"/>
          </w:tcPr>
          <w:p>
            <w:pPr>
              <w:snapToGrid w:val="0"/>
              <w:rPr>
                <w:rFonts w:ascii="仿宋_GB2312" w:hAnsi="仿宋" w:eastAsia="仿宋_GB2312" w:cs="Arial Unicode MS"/>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4</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风险加权资产</w:t>
            </w:r>
          </w:p>
        </w:tc>
        <w:tc>
          <w:tcPr>
            <w:tcW w:w="1579" w:type="dxa"/>
            <w:vAlign w:val="center"/>
          </w:tcPr>
          <w:p>
            <w:pPr>
              <w:snapToGrid w:val="0"/>
              <w:jc w:val="center"/>
              <w:rPr>
                <w:rFonts w:ascii="仿宋_GB2312" w:eastAsia="仿宋_GB2312" w:cs="仿宋_GB2312"/>
                <w:color w:val="000000" w:themeColor="text1"/>
                <w:sz w:val="24"/>
                <w:szCs w:val="24"/>
                <w:highlight w:val="none"/>
                <w14:textFill>
                  <w14:solidFill>
                    <w14:schemeClr w14:val="tx1"/>
                  </w14:solidFill>
                </w14:textFill>
              </w:rPr>
            </w:pPr>
            <w:r>
              <w:rPr>
                <w:rFonts w:hint="eastAsia" w:ascii="仿宋_GB2312" w:eastAsia="仿宋_GB2312" w:cs="仿宋_GB2312"/>
                <w:color w:val="000000" w:themeColor="text1"/>
                <w:sz w:val="24"/>
                <w:szCs w:val="24"/>
                <w:highlight w:val="none"/>
                <w14:textFill>
                  <w14:solidFill>
                    <w14:schemeClr w14:val="tx1"/>
                  </w14:solidFill>
                </w14:textFill>
              </w:rPr>
              <w:t>6645340.93</w:t>
            </w:r>
          </w:p>
        </w:tc>
        <w:tc>
          <w:tcPr>
            <w:tcW w:w="1579" w:type="dxa"/>
            <w:vAlign w:val="center"/>
          </w:tcPr>
          <w:p>
            <w:pPr>
              <w:snapToGrid w:val="0"/>
              <w:jc w:val="center"/>
              <w:rPr>
                <w:rFonts w:ascii="仿宋_GB2312" w:eastAsia="仿宋_GB2312" w:cs="仿宋_GB2312"/>
                <w:color w:val="000000" w:themeColor="text1"/>
                <w:sz w:val="24"/>
                <w:szCs w:val="24"/>
                <w:highlight w:val="none"/>
                <w14:textFill>
                  <w14:solidFill>
                    <w14:schemeClr w14:val="tx1"/>
                  </w14:solidFill>
                </w14:textFill>
              </w:rPr>
            </w:pPr>
            <w:r>
              <w:rPr>
                <w:rFonts w:hint="eastAsia" w:ascii="仿宋_GB2312" w:eastAsia="仿宋_GB2312" w:cs="仿宋_GB2312"/>
                <w:color w:val="000000" w:themeColor="text1"/>
                <w:sz w:val="24"/>
                <w:szCs w:val="24"/>
                <w:highlight w:val="none"/>
                <w14:textFill>
                  <w14:solidFill>
                    <w14:schemeClr w14:val="tx1"/>
                  </w14:solidFill>
                </w14:textFill>
              </w:rPr>
              <w:t>6593152.75</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color w:val="000000" w:themeColor="text1"/>
                <w:sz w:val="24"/>
                <w:szCs w:val="24"/>
                <w:highlight w:val="none"/>
                <w14:textFill>
                  <w14:solidFill>
                    <w14:schemeClr w14:val="tx1"/>
                  </w14:solidFill>
                </w14:textFill>
              </w:rPr>
              <w:t>6558021.76</w:t>
            </w:r>
          </w:p>
        </w:tc>
        <w:tc>
          <w:tcPr>
            <w:tcW w:w="1580" w:type="dxa"/>
            <w:vAlign w:val="center"/>
          </w:tcPr>
          <w:p>
            <w:pPr>
              <w:snapToGrid w:val="0"/>
              <w:jc w:val="center"/>
              <w:rPr>
                <w:rFonts w:ascii="仿宋_GB2312" w:hAnsi="仿宋" w:eastAsia="仿宋_GB2312" w:cs="Arial Unicode MS"/>
                <w:sz w:val="24"/>
                <w:szCs w:val="24"/>
                <w:highlight w:val="none"/>
              </w:rPr>
            </w:pPr>
            <w:r>
              <w:rPr>
                <w:rFonts w:hint="eastAsia" w:ascii="仿宋_GB2312" w:eastAsia="仿宋_GB2312" w:cs="仿宋_GB2312"/>
                <w:sz w:val="24"/>
                <w:szCs w:val="24"/>
                <w:highlight w:val="none"/>
              </w:rPr>
              <w:t>6380817.86</w:t>
            </w:r>
          </w:p>
        </w:tc>
        <w:tc>
          <w:tcPr>
            <w:tcW w:w="1580" w:type="dxa"/>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6</w:t>
            </w:r>
            <w:r>
              <w:rPr>
                <w:rFonts w:ascii="仿宋_GB2312" w:eastAsia="仿宋_GB2312" w:cs="仿宋_GB2312"/>
                <w:sz w:val="24"/>
                <w:szCs w:val="24"/>
                <w:highlight w:val="none"/>
              </w:rPr>
              <w:t>238672.09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b/>
                <w:bCs/>
                <w:color w:val="000000" w:themeColor="text1"/>
                <w:sz w:val="24"/>
                <w:szCs w:val="24"/>
                <w:highlight w:val="none"/>
                <w14:textFill>
                  <w14:solidFill>
                    <w14:schemeClr w14:val="tx1"/>
                  </w14:solidFill>
                </w14:textFill>
              </w:rPr>
              <w:t>资本充足率</w:t>
            </w:r>
          </w:p>
        </w:tc>
        <w:tc>
          <w:tcPr>
            <w:tcW w:w="1579"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b/>
                <w:bCs/>
                <w:sz w:val="24"/>
                <w:szCs w:val="24"/>
                <w:highlight w:val="none"/>
              </w:rPr>
            </w:pPr>
          </w:p>
        </w:tc>
        <w:tc>
          <w:tcPr>
            <w:tcW w:w="1580" w:type="dxa"/>
            <w:shd w:val="clear" w:color="000000" w:fill="D9D9D9"/>
            <w:vAlign w:val="center"/>
          </w:tcPr>
          <w:p>
            <w:pPr>
              <w:snapToGrid w:val="0"/>
              <w:rPr>
                <w:rFonts w:ascii="仿宋_GB2312" w:hAnsi="仿宋" w:eastAsia="仿宋_GB2312" w:cs="Arial Unicode MS"/>
                <w:b/>
                <w:bCs/>
                <w:sz w:val="24"/>
                <w:szCs w:val="24"/>
                <w:highlight w:val="none"/>
              </w:rPr>
            </w:pPr>
          </w:p>
        </w:tc>
        <w:tc>
          <w:tcPr>
            <w:tcW w:w="1580" w:type="dxa"/>
            <w:shd w:val="clear" w:color="000000" w:fill="D9D9D9"/>
            <w:vAlign w:val="center"/>
          </w:tcPr>
          <w:p>
            <w:pPr>
              <w:snapToGrid w:val="0"/>
              <w:rPr>
                <w:rFonts w:ascii="仿宋_GB2312" w:hAnsi="仿宋" w:eastAsia="仿宋_GB2312" w:cs="Arial Unicode MS"/>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5</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核心一级资本充足率（</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13.09</w:t>
            </w:r>
          </w:p>
        </w:tc>
        <w:tc>
          <w:tcPr>
            <w:tcW w:w="1579" w:type="dxa"/>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highlight w:val="none"/>
              </w:rPr>
              <w:t>13.50</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13.08</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13.53</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6</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一级资本充足率（</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13.09</w:t>
            </w:r>
          </w:p>
        </w:tc>
        <w:tc>
          <w:tcPr>
            <w:tcW w:w="1579" w:type="dxa"/>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13.50</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13.08</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13.53</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7</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资本充足率（</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14.24</w:t>
            </w:r>
          </w:p>
        </w:tc>
        <w:tc>
          <w:tcPr>
            <w:tcW w:w="1579" w:type="dxa"/>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highlight w:val="none"/>
              </w:rPr>
              <w:t>14.66</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14.70</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其他各级资本要求</w:t>
            </w:r>
          </w:p>
        </w:tc>
        <w:tc>
          <w:tcPr>
            <w:tcW w:w="1579" w:type="dxa"/>
            <w:shd w:val="clear" w:color="000000" w:fill="D9D9D9"/>
            <w:vAlign w:val="center"/>
          </w:tcPr>
          <w:p>
            <w:pPr>
              <w:snapToGrid w:val="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hint="eastAsia" w:ascii="仿宋_GB2312" w:hAnsi="仿宋_GB2312" w:eastAsia="仿宋_GB2312" w:cs="仿宋_GB2312"/>
                <w:b/>
                <w:bCs/>
                <w:sz w:val="24"/>
                <w:szCs w:val="24"/>
                <w:highlight w:val="none"/>
              </w:rPr>
            </w:pPr>
          </w:p>
        </w:tc>
        <w:tc>
          <w:tcPr>
            <w:tcW w:w="1580" w:type="dxa"/>
            <w:shd w:val="clear" w:color="000000" w:fill="D9D9D9"/>
            <w:vAlign w:val="center"/>
          </w:tcPr>
          <w:p>
            <w:pPr>
              <w:snapToGrid w:val="0"/>
              <w:rPr>
                <w:rFonts w:hint="eastAsia" w:ascii="仿宋_GB2312" w:hAnsi="仿宋_GB2312" w:eastAsia="仿宋_GB2312" w:cs="仿宋_GB2312"/>
                <w:b/>
                <w:bCs/>
                <w:sz w:val="24"/>
                <w:szCs w:val="24"/>
                <w:highlight w:val="none"/>
              </w:rPr>
            </w:pPr>
          </w:p>
        </w:tc>
        <w:tc>
          <w:tcPr>
            <w:tcW w:w="1580" w:type="dxa"/>
            <w:shd w:val="clear" w:color="000000" w:fill="D9D9D9"/>
            <w:vAlign w:val="center"/>
          </w:tcPr>
          <w:p>
            <w:pPr>
              <w:snapToGrid w:val="0"/>
              <w:rPr>
                <w:rFonts w:hint="eastAsia" w:ascii="仿宋_GB2312" w:hAnsi="仿宋_GB2312" w:eastAsia="仿宋_GB2312" w:cs="仿宋_GB2312"/>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8</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储备资本要求</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2.5</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9</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逆周期资本要求（</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shd w:val="clear" w:color="auto" w:fill="auto"/>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10</w:t>
            </w:r>
          </w:p>
        </w:tc>
        <w:tc>
          <w:tcPr>
            <w:tcW w:w="1579" w:type="dxa"/>
            <w:shd w:val="clear" w:color="auto" w:fill="auto"/>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shd w:val="clear" w:color="auto" w:fill="BEBEBE"/>
            <w:vAlign w:val="center"/>
          </w:tcPr>
          <w:p>
            <w:pPr>
              <w:snapToGrid w:val="0"/>
              <w:jc w:val="center"/>
              <w:rPr>
                <w:rFonts w:hint="eastAsia" w:ascii="仿宋_GB2312" w:hAnsi="仿宋_GB2312" w:eastAsia="仿宋_GB2312" w:cs="仿宋_GB2312"/>
                <w:sz w:val="24"/>
                <w:szCs w:val="24"/>
                <w:highlight w:val="none"/>
              </w:rPr>
            </w:pPr>
          </w:p>
        </w:tc>
        <w:tc>
          <w:tcPr>
            <w:tcW w:w="1579" w:type="dxa"/>
            <w:shd w:val="clear" w:color="auto" w:fill="BEBEBE"/>
            <w:vAlign w:val="center"/>
          </w:tcPr>
          <w:p>
            <w:pPr>
              <w:snapToGrid w:val="0"/>
              <w:jc w:val="center"/>
              <w:rPr>
                <w:rFonts w:hint="eastAsia" w:ascii="仿宋_GB2312" w:hAnsi="仿宋_GB2312" w:eastAsia="仿宋_GB2312" w:cs="仿宋_GB2312"/>
                <w:sz w:val="24"/>
                <w:szCs w:val="24"/>
                <w:highlight w:val="none"/>
              </w:rPr>
            </w:pPr>
          </w:p>
        </w:tc>
        <w:tc>
          <w:tcPr>
            <w:tcW w:w="1580" w:type="dxa"/>
            <w:shd w:val="clear" w:color="auto" w:fill="BEBEBE"/>
          </w:tcPr>
          <w:p>
            <w:pPr>
              <w:snapToGrid w:val="0"/>
              <w:jc w:val="center"/>
              <w:rPr>
                <w:rFonts w:hint="eastAsia" w:ascii="仿宋_GB2312" w:hAnsi="仿宋_GB2312" w:eastAsia="仿宋_GB2312" w:cs="仿宋_GB2312"/>
                <w:sz w:val="24"/>
                <w:szCs w:val="24"/>
                <w:highlight w:val="none"/>
              </w:rPr>
            </w:pPr>
          </w:p>
        </w:tc>
        <w:tc>
          <w:tcPr>
            <w:tcW w:w="1580" w:type="dxa"/>
            <w:shd w:val="clear" w:color="auto" w:fill="BEBEBE"/>
            <w:vAlign w:val="center"/>
          </w:tcPr>
          <w:p>
            <w:pPr>
              <w:snapToGrid w:val="0"/>
              <w:jc w:val="center"/>
              <w:rPr>
                <w:rFonts w:hint="eastAsia" w:ascii="仿宋_GB2312" w:hAnsi="仿宋_GB2312" w:eastAsia="仿宋_GB2312" w:cs="仿宋_GB2312"/>
                <w:sz w:val="24"/>
                <w:szCs w:val="24"/>
                <w:highlight w:val="none"/>
              </w:rPr>
            </w:pPr>
          </w:p>
        </w:tc>
        <w:tc>
          <w:tcPr>
            <w:tcW w:w="1580" w:type="dxa"/>
            <w:shd w:val="clear" w:color="auto" w:fill="BEBEBE"/>
            <w:vAlign w:val="center"/>
          </w:tcPr>
          <w:p>
            <w:pPr>
              <w:snapToGrid w:val="0"/>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11</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其他各级资本要求（</w:t>
            </w:r>
            <w:r>
              <w:rPr>
                <w:rFonts w:ascii="仿宋_GB2312" w:hAnsi="仿宋" w:eastAsia="仿宋_GB2312" w:cs="Arial Unicode MS"/>
                <w:color w:val="000000" w:themeColor="text1"/>
                <w:sz w:val="24"/>
                <w:szCs w:val="24"/>
                <w:highlight w:val="none"/>
                <w14:textFill>
                  <w14:solidFill>
                    <w14:schemeClr w14:val="tx1"/>
                  </w14:solidFill>
                </w14:textFill>
              </w:rPr>
              <w:t>%）（8+9+10）</w:t>
            </w:r>
          </w:p>
        </w:tc>
        <w:tc>
          <w:tcPr>
            <w:tcW w:w="1579" w:type="dxa"/>
            <w:vAlign w:val="center"/>
          </w:tcPr>
          <w:p>
            <w:pPr>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2.5</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12</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6.24</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6.66</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6.70</w:t>
            </w:r>
          </w:p>
        </w:tc>
        <w:tc>
          <w:tcPr>
            <w:tcW w:w="1580" w:type="dxa"/>
            <w:vAlign w:val="center"/>
          </w:tcPr>
          <w:p>
            <w:pPr>
              <w:snapToGrid w:val="0"/>
              <w:jc w:val="center"/>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sz w:val="24"/>
                <w:szCs w:val="24"/>
                <w:highlight w:val="none"/>
              </w:rP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杠杆率</w:t>
            </w:r>
          </w:p>
        </w:tc>
        <w:tc>
          <w:tcPr>
            <w:tcW w:w="1579" w:type="dxa"/>
            <w:shd w:val="clear" w:color="000000" w:fill="D9D9D9"/>
            <w:vAlign w:val="center"/>
          </w:tcPr>
          <w:p>
            <w:pPr>
              <w:snapToGrid w:val="0"/>
              <w:rPr>
                <w:rFonts w:hint="eastAsia" w:ascii="仿宋_GB2312" w:hAnsi="仿宋_GB2312" w:eastAsia="仿宋_GB2312" w:cs="仿宋_GB2312"/>
                <w:b/>
                <w:bCs/>
                <w:sz w:val="24"/>
                <w:szCs w:val="24"/>
                <w:highlight w:val="none"/>
              </w:rPr>
            </w:pPr>
          </w:p>
        </w:tc>
        <w:tc>
          <w:tcPr>
            <w:tcW w:w="1580" w:type="dxa"/>
            <w:shd w:val="clear" w:color="000000" w:fill="D9D9D9"/>
          </w:tcPr>
          <w:p>
            <w:pPr>
              <w:snapToGrid w:val="0"/>
              <w:rPr>
                <w:rFonts w:hint="eastAsia" w:ascii="仿宋_GB2312" w:hAnsi="仿宋_GB2312" w:eastAsia="仿宋_GB2312" w:cs="仿宋_GB2312"/>
                <w:b/>
                <w:bCs/>
                <w:sz w:val="24"/>
                <w:szCs w:val="24"/>
                <w:highlight w:val="none"/>
              </w:rPr>
            </w:pPr>
          </w:p>
        </w:tc>
        <w:tc>
          <w:tcPr>
            <w:tcW w:w="1580" w:type="dxa"/>
            <w:shd w:val="clear" w:color="000000" w:fill="D9D9D9"/>
            <w:vAlign w:val="center"/>
          </w:tcPr>
          <w:p>
            <w:pPr>
              <w:snapToGrid w:val="0"/>
              <w:rPr>
                <w:rFonts w:hint="eastAsia" w:ascii="仿宋_GB2312" w:hAnsi="仿宋_GB2312" w:eastAsia="仿宋_GB2312" w:cs="仿宋_GB2312"/>
                <w:b/>
                <w:bCs/>
                <w:sz w:val="24"/>
                <w:szCs w:val="24"/>
                <w:highlight w:val="none"/>
              </w:rPr>
            </w:pPr>
          </w:p>
        </w:tc>
        <w:tc>
          <w:tcPr>
            <w:tcW w:w="1580" w:type="dxa"/>
            <w:shd w:val="clear" w:color="000000" w:fill="D9D9D9"/>
            <w:vAlign w:val="center"/>
          </w:tcPr>
          <w:p>
            <w:pPr>
              <w:snapToGrid w:val="0"/>
              <w:rPr>
                <w:rFonts w:hint="eastAsia" w:ascii="仿宋_GB2312" w:hAnsi="仿宋_GB2312" w:eastAsia="仿宋_GB2312" w:cs="仿宋_GB2312"/>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13</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调整后表内外资产余额</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10349663.52</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10265531.19</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10157398.85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9734943.44</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9349343.10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14</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杠杆率</w:t>
            </w:r>
            <w:r>
              <w:rPr>
                <w:rFonts w:hint="eastAsia" w:ascii="仿宋_GB2312" w:hAnsi="仿宋" w:eastAsia="仿宋_GB2312" w:cs="Arial Unicode MS"/>
                <w:color w:val="000000" w:themeColor="text1"/>
                <w:sz w:val="24"/>
                <w:szCs w:val="24"/>
                <w:highlight w:val="none"/>
                <w14:textFill>
                  <w14:solidFill>
                    <w14:schemeClr w14:val="tx1"/>
                  </w14:solidFill>
                </w14:textFill>
              </w:rPr>
              <w:t>（</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8.40</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8.67</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8.87</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1</w:t>
            </w:r>
            <w:r>
              <w:rPr>
                <w:rFonts w:ascii="仿宋_GB2312" w:hAnsi="仿宋" w:eastAsia="仿宋_GB2312" w:cs="Arial Unicode MS"/>
                <w:color w:val="000000" w:themeColor="text1"/>
                <w:sz w:val="24"/>
                <w:szCs w:val="24"/>
                <w:highlight w:val="none"/>
                <w14:textFill>
                  <w14:solidFill>
                    <w14:schemeClr w14:val="tx1"/>
                  </w14:solidFill>
                </w14:textFill>
              </w:rPr>
              <w:t>4</w:t>
            </w:r>
            <w:r>
              <w:rPr>
                <w:rFonts w:hint="eastAsia" w:ascii="仿宋_GB2312" w:hAnsi="仿宋" w:eastAsia="仿宋_GB2312" w:cs="Arial Unicode MS"/>
                <w:color w:val="000000" w:themeColor="text1"/>
                <w:sz w:val="24"/>
                <w:szCs w:val="24"/>
                <w:highlight w:val="none"/>
                <w14:textFill>
                  <w14:solidFill>
                    <w14:schemeClr w14:val="tx1"/>
                  </w14:solidFill>
                </w14:textFill>
              </w:rPr>
              <w:t>a</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杠杆率a</w:t>
            </w:r>
            <w:r>
              <w:rPr>
                <w:rFonts w:hint="eastAsia" w:ascii="仿宋_GB2312" w:hAnsi="仿宋" w:eastAsia="仿宋_GB2312" w:cs="Arial Unicode MS"/>
                <w:color w:val="000000" w:themeColor="text1"/>
                <w:sz w:val="24"/>
                <w:szCs w:val="24"/>
                <w:highlight w:val="none"/>
                <w14:textFill>
                  <w14:solidFill>
                    <w14:schemeClr w14:val="tx1"/>
                  </w14:solidFill>
                </w14:textFill>
              </w:rPr>
              <w:t>（</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8.40</w:t>
            </w:r>
          </w:p>
        </w:tc>
        <w:tc>
          <w:tcPr>
            <w:tcW w:w="1579"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8.67</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8.45</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8.87</w:t>
            </w:r>
          </w:p>
        </w:tc>
        <w:tc>
          <w:tcPr>
            <w:tcW w:w="1580" w:type="dxa"/>
            <w:vAlign w:val="center"/>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b/>
                <w:bCs/>
                <w:color w:val="000000" w:themeColor="text1"/>
                <w:sz w:val="24"/>
                <w:szCs w:val="24"/>
                <w:highlight w:val="none"/>
                <w14:textFill>
                  <w14:solidFill>
                    <w14:schemeClr w14:val="tx1"/>
                  </w14:solidFill>
                </w14:textFill>
              </w:rPr>
              <w:t>流动性覆盖率</w:t>
            </w:r>
          </w:p>
        </w:tc>
        <w:tc>
          <w:tcPr>
            <w:tcW w:w="1579"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15</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合格优质流动性资产</w:t>
            </w:r>
          </w:p>
        </w:tc>
        <w:tc>
          <w:tcPr>
            <w:tcW w:w="1579" w:type="dxa"/>
            <w:vAlign w:val="center"/>
          </w:tcPr>
          <w:p>
            <w:pPr>
              <w:snapToGrid w:val="0"/>
              <w:jc w:val="center"/>
              <w:rPr>
                <w:rFonts w:ascii="仿宋_GB2312" w:hAnsi="仿宋" w:eastAsia="仿宋_GB2312" w:cs="Arial Unicode MS"/>
                <w:color w:val="FF0000"/>
                <w:sz w:val="24"/>
                <w:szCs w:val="24"/>
                <w:highlight w:val="none"/>
              </w:rPr>
            </w:pPr>
          </w:p>
        </w:tc>
        <w:tc>
          <w:tcPr>
            <w:tcW w:w="1579" w:type="dxa"/>
            <w:vAlign w:val="center"/>
          </w:tcPr>
          <w:p>
            <w:pPr>
              <w:snapToGrid w:val="0"/>
              <w:jc w:val="center"/>
              <w:rPr>
                <w:rFonts w:ascii="仿宋_GB2312" w:hAnsi="仿宋" w:eastAsia="仿宋_GB2312" w:cs="Arial Unicode MS"/>
                <w:color w:val="FF0000"/>
                <w:sz w:val="24"/>
                <w:szCs w:val="24"/>
                <w:highlight w:val="none"/>
              </w:rPr>
            </w:pPr>
          </w:p>
        </w:tc>
        <w:tc>
          <w:tcPr>
            <w:tcW w:w="1580" w:type="dxa"/>
          </w:tcPr>
          <w:p>
            <w:pPr>
              <w:snapToGrid w:val="0"/>
              <w:jc w:val="center"/>
              <w:rPr>
                <w:rFonts w:ascii="仿宋_GB2312" w:hAnsi="仿宋" w:eastAsia="仿宋_GB2312" w:cs="Arial Unicode MS"/>
                <w:color w:val="FF0000"/>
                <w:sz w:val="24"/>
                <w:szCs w:val="24"/>
                <w:highlight w:val="none"/>
              </w:rPr>
            </w:pPr>
          </w:p>
        </w:tc>
        <w:tc>
          <w:tcPr>
            <w:tcW w:w="1580" w:type="dxa"/>
            <w:vAlign w:val="center"/>
          </w:tcPr>
          <w:p>
            <w:pPr>
              <w:snapToGrid w:val="0"/>
              <w:jc w:val="center"/>
              <w:rPr>
                <w:rFonts w:ascii="仿宋_GB2312" w:hAnsi="仿宋" w:eastAsia="仿宋_GB2312" w:cs="Arial Unicode MS"/>
                <w:color w:val="FF0000"/>
                <w:sz w:val="24"/>
                <w:szCs w:val="24"/>
                <w:highlight w:val="none"/>
              </w:rPr>
            </w:pPr>
          </w:p>
        </w:tc>
        <w:tc>
          <w:tcPr>
            <w:tcW w:w="1580" w:type="dxa"/>
            <w:vAlign w:val="center"/>
          </w:tcPr>
          <w:p>
            <w:pPr>
              <w:snapToGrid w:val="0"/>
              <w:jc w:val="center"/>
              <w:rPr>
                <w:rFonts w:ascii="仿宋_GB2312" w:hAnsi="仿宋" w:eastAsia="仿宋_GB2312" w:cs="Arial Unicode MS"/>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16</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现金净流出量</w:t>
            </w:r>
          </w:p>
        </w:tc>
        <w:tc>
          <w:tcPr>
            <w:tcW w:w="1579" w:type="dxa"/>
            <w:vAlign w:val="center"/>
          </w:tcPr>
          <w:p>
            <w:pPr>
              <w:snapToGrid w:val="0"/>
              <w:jc w:val="center"/>
              <w:rPr>
                <w:rFonts w:ascii="仿宋_GB2312" w:hAnsi="仿宋" w:eastAsia="仿宋_GB2312" w:cs="Arial Unicode MS"/>
                <w:color w:val="FF0000"/>
                <w:sz w:val="24"/>
                <w:szCs w:val="24"/>
                <w:highlight w:val="none"/>
              </w:rPr>
            </w:pPr>
          </w:p>
        </w:tc>
        <w:tc>
          <w:tcPr>
            <w:tcW w:w="1579" w:type="dxa"/>
            <w:vAlign w:val="center"/>
          </w:tcPr>
          <w:p>
            <w:pPr>
              <w:snapToGrid w:val="0"/>
              <w:jc w:val="center"/>
              <w:rPr>
                <w:rFonts w:ascii="仿宋_GB2312" w:hAnsi="仿宋" w:eastAsia="仿宋_GB2312" w:cs="Arial Unicode MS"/>
                <w:color w:val="FF0000"/>
                <w:sz w:val="24"/>
                <w:szCs w:val="24"/>
                <w:highlight w:val="none"/>
              </w:rPr>
            </w:pPr>
          </w:p>
        </w:tc>
        <w:tc>
          <w:tcPr>
            <w:tcW w:w="1580" w:type="dxa"/>
          </w:tcPr>
          <w:p>
            <w:pPr>
              <w:snapToGrid w:val="0"/>
              <w:jc w:val="center"/>
              <w:rPr>
                <w:rFonts w:ascii="仿宋_GB2312" w:hAnsi="仿宋" w:eastAsia="仿宋_GB2312" w:cs="Arial Unicode MS"/>
                <w:color w:val="FF0000"/>
                <w:sz w:val="24"/>
                <w:szCs w:val="24"/>
                <w:highlight w:val="none"/>
              </w:rPr>
            </w:pPr>
          </w:p>
        </w:tc>
        <w:tc>
          <w:tcPr>
            <w:tcW w:w="1580" w:type="dxa"/>
            <w:vAlign w:val="center"/>
          </w:tcPr>
          <w:p>
            <w:pPr>
              <w:snapToGrid w:val="0"/>
              <w:jc w:val="center"/>
              <w:rPr>
                <w:rFonts w:ascii="仿宋_GB2312" w:hAnsi="仿宋" w:eastAsia="仿宋_GB2312" w:cs="Arial Unicode MS"/>
                <w:color w:val="FF0000"/>
                <w:sz w:val="24"/>
                <w:szCs w:val="24"/>
                <w:highlight w:val="none"/>
              </w:rPr>
            </w:pPr>
          </w:p>
        </w:tc>
        <w:tc>
          <w:tcPr>
            <w:tcW w:w="1580" w:type="dxa"/>
            <w:vAlign w:val="center"/>
          </w:tcPr>
          <w:p>
            <w:pPr>
              <w:snapToGrid w:val="0"/>
              <w:jc w:val="center"/>
              <w:rPr>
                <w:rFonts w:ascii="仿宋_GB2312" w:hAnsi="仿宋" w:eastAsia="仿宋_GB2312" w:cs="Arial Unicode MS"/>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17</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流动性覆盖率（</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ascii="仿宋_GB2312" w:hAnsi="仿宋" w:eastAsia="仿宋_GB2312" w:cs="Arial Unicode MS"/>
                <w:color w:val="FF0000"/>
                <w:sz w:val="24"/>
                <w:szCs w:val="24"/>
                <w:highlight w:val="none"/>
              </w:rPr>
            </w:pPr>
          </w:p>
        </w:tc>
        <w:tc>
          <w:tcPr>
            <w:tcW w:w="1579" w:type="dxa"/>
            <w:vAlign w:val="center"/>
          </w:tcPr>
          <w:p>
            <w:pPr>
              <w:snapToGrid w:val="0"/>
              <w:jc w:val="center"/>
              <w:rPr>
                <w:rFonts w:ascii="仿宋_GB2312" w:hAnsi="仿宋" w:eastAsia="仿宋_GB2312" w:cs="Arial Unicode MS"/>
                <w:color w:val="FF0000"/>
                <w:sz w:val="24"/>
                <w:szCs w:val="24"/>
                <w:highlight w:val="none"/>
              </w:rPr>
            </w:pPr>
          </w:p>
        </w:tc>
        <w:tc>
          <w:tcPr>
            <w:tcW w:w="1580" w:type="dxa"/>
          </w:tcPr>
          <w:p>
            <w:pPr>
              <w:snapToGrid w:val="0"/>
              <w:jc w:val="center"/>
              <w:rPr>
                <w:rFonts w:ascii="仿宋_GB2312" w:hAnsi="仿宋" w:eastAsia="仿宋_GB2312" w:cs="Arial Unicode MS"/>
                <w:color w:val="FF0000"/>
                <w:sz w:val="24"/>
                <w:szCs w:val="24"/>
                <w:highlight w:val="none"/>
              </w:rPr>
            </w:pPr>
          </w:p>
        </w:tc>
        <w:tc>
          <w:tcPr>
            <w:tcW w:w="1580" w:type="dxa"/>
            <w:vAlign w:val="center"/>
          </w:tcPr>
          <w:p>
            <w:pPr>
              <w:snapToGrid w:val="0"/>
              <w:jc w:val="center"/>
              <w:rPr>
                <w:rFonts w:ascii="仿宋_GB2312" w:hAnsi="仿宋" w:eastAsia="仿宋_GB2312" w:cs="Arial Unicode MS"/>
                <w:color w:val="FF0000"/>
                <w:sz w:val="24"/>
                <w:szCs w:val="24"/>
                <w:highlight w:val="none"/>
              </w:rPr>
            </w:pPr>
          </w:p>
        </w:tc>
        <w:tc>
          <w:tcPr>
            <w:tcW w:w="1580" w:type="dxa"/>
            <w:vAlign w:val="center"/>
          </w:tcPr>
          <w:p>
            <w:pPr>
              <w:snapToGrid w:val="0"/>
              <w:jc w:val="center"/>
              <w:rPr>
                <w:rFonts w:ascii="仿宋_GB2312" w:hAnsi="仿宋" w:eastAsia="仿宋_GB2312" w:cs="Arial Unicode MS"/>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000000" w:fill="D9D9D9"/>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b/>
                <w:bCs/>
                <w:color w:val="000000" w:themeColor="text1"/>
                <w:sz w:val="24"/>
                <w:szCs w:val="24"/>
                <w:highlight w:val="none"/>
                <w14:textFill>
                  <w14:solidFill>
                    <w14:schemeClr w14:val="tx1"/>
                  </w14:solidFill>
                </w14:textFill>
              </w:rPr>
              <w:t>净稳定资金比例</w:t>
            </w:r>
          </w:p>
        </w:tc>
        <w:tc>
          <w:tcPr>
            <w:tcW w:w="1579"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000000" w:fill="D9D9D9"/>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18</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可用稳定资金合计</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19</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所需稳定资金合计</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20</w:t>
            </w:r>
          </w:p>
        </w:tc>
        <w:tc>
          <w:tcPr>
            <w:tcW w:w="1579" w:type="dxa"/>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净稳定资金比例（</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79"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c>
          <w:tcPr>
            <w:tcW w:w="1580" w:type="dxa"/>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83" w:type="dxa"/>
            <w:gridSpan w:val="3"/>
            <w:shd w:val="clear" w:color="auto" w:fill="D8D8D8"/>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b/>
                <w:bCs/>
                <w:color w:val="000000" w:themeColor="text1"/>
                <w:sz w:val="24"/>
                <w:szCs w:val="24"/>
                <w:highlight w:val="none"/>
                <w14:textFill>
                  <w14:solidFill>
                    <w14:schemeClr w14:val="tx1"/>
                  </w14:solidFill>
                </w14:textFill>
              </w:rPr>
              <w:t>流动性比例</w:t>
            </w:r>
          </w:p>
        </w:tc>
        <w:tc>
          <w:tcPr>
            <w:tcW w:w="1579" w:type="dxa"/>
            <w:shd w:val="clear" w:color="auto" w:fill="D8D8D8"/>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auto" w:fill="D8D8D8"/>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auto" w:fill="D8D8D8"/>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c>
          <w:tcPr>
            <w:tcW w:w="1580" w:type="dxa"/>
            <w:shd w:val="clear" w:color="auto" w:fill="D8D8D8"/>
            <w:vAlign w:val="center"/>
          </w:tcPr>
          <w:p>
            <w:pPr>
              <w:snapToGrid w:val="0"/>
              <w:rPr>
                <w:rFonts w:ascii="仿宋_GB2312" w:hAnsi="仿宋" w:eastAsia="仿宋_GB2312" w:cs="Arial Unicode MS"/>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5" w:type="dxa"/>
            <w:shd w:val="clear" w:color="auto" w:fill="FFFFFF"/>
            <w:vAlign w:val="center"/>
          </w:tcPr>
          <w:p>
            <w:pPr>
              <w:snapToGrid w:val="0"/>
              <w:jc w:val="center"/>
              <w:rPr>
                <w:rFonts w:ascii="仿宋_GB2312" w:hAnsi="仿宋" w:eastAsia="仿宋_GB2312" w:cs="Arial Unicode MS"/>
                <w:color w:val="000000" w:themeColor="text1"/>
                <w:sz w:val="24"/>
                <w:szCs w:val="24"/>
                <w:highlight w:val="none"/>
                <w14:textFill>
                  <w14:solidFill>
                    <w14:schemeClr w14:val="tx1"/>
                  </w14:solidFill>
                </w14:textFill>
              </w:rPr>
            </w:pPr>
            <w:r>
              <w:rPr>
                <w:rFonts w:ascii="仿宋_GB2312" w:hAnsi="仿宋" w:eastAsia="仿宋_GB2312" w:cs="Arial Unicode MS"/>
                <w:color w:val="000000" w:themeColor="text1"/>
                <w:sz w:val="24"/>
                <w:szCs w:val="24"/>
                <w:highlight w:val="none"/>
                <w14:textFill>
                  <w14:solidFill>
                    <w14:schemeClr w14:val="tx1"/>
                  </w14:solidFill>
                </w14:textFill>
              </w:rPr>
              <w:t>21</w:t>
            </w:r>
          </w:p>
        </w:tc>
        <w:tc>
          <w:tcPr>
            <w:tcW w:w="1579" w:type="dxa"/>
            <w:shd w:val="clear" w:color="auto" w:fill="FFFFFF"/>
            <w:vAlign w:val="center"/>
          </w:tcPr>
          <w:p>
            <w:pPr>
              <w:snapToGrid w:val="0"/>
              <w:rPr>
                <w:rFonts w:ascii="仿宋_GB2312" w:hAnsi="仿宋" w:eastAsia="仿宋_GB2312" w:cs="Arial Unicode MS"/>
                <w:color w:val="000000" w:themeColor="text1"/>
                <w:sz w:val="24"/>
                <w:szCs w:val="24"/>
                <w:highlight w:val="none"/>
                <w14:textFill>
                  <w14:solidFill>
                    <w14:schemeClr w14:val="tx1"/>
                  </w14:solidFill>
                </w14:textFill>
              </w:rPr>
            </w:pPr>
            <w:r>
              <w:rPr>
                <w:rFonts w:hint="eastAsia" w:ascii="仿宋_GB2312" w:hAnsi="仿宋" w:eastAsia="仿宋_GB2312" w:cs="Arial Unicode MS"/>
                <w:color w:val="000000" w:themeColor="text1"/>
                <w:sz w:val="24"/>
                <w:szCs w:val="24"/>
                <w:highlight w:val="none"/>
                <w14:textFill>
                  <w14:solidFill>
                    <w14:schemeClr w14:val="tx1"/>
                  </w14:solidFill>
                </w14:textFill>
              </w:rPr>
              <w:t>流动性比例（</w:t>
            </w:r>
            <w:r>
              <w:rPr>
                <w:rFonts w:ascii="仿宋_GB2312" w:hAnsi="仿宋" w:eastAsia="仿宋_GB2312" w:cs="Arial Unicode MS"/>
                <w:color w:val="000000" w:themeColor="text1"/>
                <w:sz w:val="24"/>
                <w:szCs w:val="24"/>
                <w:highlight w:val="none"/>
                <w14:textFill>
                  <w14:solidFill>
                    <w14:schemeClr w14:val="tx1"/>
                  </w14:solidFill>
                </w14:textFill>
              </w:rPr>
              <w:t>%）</w:t>
            </w:r>
          </w:p>
        </w:tc>
        <w:tc>
          <w:tcPr>
            <w:tcW w:w="1579" w:type="dxa"/>
            <w:shd w:val="clear" w:color="auto" w:fill="FFFFFF"/>
            <w:vAlign w:val="center"/>
          </w:tcPr>
          <w:p>
            <w:pPr>
              <w:snapToGrid w:val="0"/>
              <w:jc w:val="center"/>
              <w:rPr>
                <w:rFonts w:hint="default" w:ascii="仿宋_GB2312" w:eastAsia="仿宋_GB2312" w:cs="仿宋_GB2312"/>
                <w:sz w:val="24"/>
                <w:szCs w:val="24"/>
                <w:highlight w:val="none"/>
                <w:lang w:val="en-US" w:eastAsia="zh-CN"/>
              </w:rPr>
            </w:pPr>
            <w:r>
              <w:rPr>
                <w:rFonts w:hint="eastAsia" w:ascii="仿宋_GB2312" w:eastAsia="仿宋_GB2312" w:cs="仿宋_GB2312"/>
                <w:sz w:val="24"/>
                <w:szCs w:val="24"/>
                <w:highlight w:val="none"/>
                <w:lang w:val="en-US" w:eastAsia="zh-CN"/>
              </w:rPr>
              <w:t>48.18</w:t>
            </w:r>
          </w:p>
        </w:tc>
        <w:tc>
          <w:tcPr>
            <w:tcW w:w="1579" w:type="dxa"/>
            <w:shd w:val="clear" w:color="auto" w:fill="FFFFFF"/>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56.41</w:t>
            </w:r>
          </w:p>
        </w:tc>
        <w:tc>
          <w:tcPr>
            <w:tcW w:w="1580" w:type="dxa"/>
            <w:shd w:val="clear" w:color="auto" w:fill="FFFFFF"/>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48.71</w:t>
            </w:r>
          </w:p>
        </w:tc>
        <w:tc>
          <w:tcPr>
            <w:tcW w:w="1580" w:type="dxa"/>
            <w:shd w:val="clear" w:color="auto" w:fill="FFFFFF"/>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62.48</w:t>
            </w:r>
          </w:p>
        </w:tc>
        <w:tc>
          <w:tcPr>
            <w:tcW w:w="1580" w:type="dxa"/>
            <w:shd w:val="clear" w:color="auto" w:fill="FFFFFF"/>
            <w:vAlign w:val="center"/>
          </w:tcPr>
          <w:p>
            <w:pPr>
              <w:snapToGrid w:val="0"/>
              <w:jc w:val="center"/>
              <w:rPr>
                <w:rFonts w:ascii="仿宋_GB2312" w:eastAsia="仿宋_GB2312" w:cs="仿宋_GB2312"/>
                <w:sz w:val="24"/>
                <w:szCs w:val="24"/>
                <w:highlight w:val="none"/>
              </w:rPr>
            </w:pPr>
            <w:r>
              <w:rPr>
                <w:rFonts w:hint="eastAsia" w:ascii="仿宋_GB2312" w:eastAsia="仿宋_GB2312" w:cs="仿宋_GB2312"/>
                <w:sz w:val="24"/>
                <w:szCs w:val="24"/>
                <w:highlight w:val="none"/>
              </w:rPr>
              <w:t>45.26</w:t>
            </w:r>
          </w:p>
        </w:tc>
      </w:tr>
    </w:tbl>
    <w:p>
      <w:pPr>
        <w:widowControl/>
        <w:adjustRightInd w:val="0"/>
        <w:snapToGrid w:val="0"/>
        <w:spacing w:line="560" w:lineRule="atLeast"/>
        <w:ind w:firstLine="640" w:firstLineChars="200"/>
        <w:jc w:val="righ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浙江桐乡农村商业银行股份有限公司</w:t>
      </w:r>
    </w:p>
    <w:p>
      <w:pPr>
        <w:widowControl/>
        <w:adjustRightInd w:val="0"/>
        <w:snapToGrid w:val="0"/>
        <w:spacing w:line="560" w:lineRule="atLeast"/>
        <w:ind w:firstLine="640" w:firstLineChars="200"/>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 xml:space="preserve">                   </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10</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28</w:t>
      </w:r>
      <w:r>
        <w:rPr>
          <w:rFonts w:ascii="Times New Roman" w:hAnsi="Times New Roman" w:eastAsia="仿宋_GB2312" w:cs="Times New Roman"/>
          <w:kern w:val="0"/>
          <w:sz w:val="32"/>
          <w:szCs w:val="32"/>
          <w:highlight w:val="none"/>
        </w:rPr>
        <w:t>日</w:t>
      </w:r>
      <w:bookmarkStart w:id="0" w:name="_GoBack"/>
      <w:bookmarkEnd w:id="0"/>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mMWU3ODIyY2Y3YjNiZTgxMjFhMzY4ZTNmZjc4ZGMifQ=="/>
  </w:docVars>
  <w:rsids>
    <w:rsidRoot w:val="00D77C3B"/>
    <w:rsid w:val="00020448"/>
    <w:rsid w:val="002B07D9"/>
    <w:rsid w:val="00347C85"/>
    <w:rsid w:val="003731D1"/>
    <w:rsid w:val="003B5003"/>
    <w:rsid w:val="003C7B1F"/>
    <w:rsid w:val="00596C3B"/>
    <w:rsid w:val="00634024"/>
    <w:rsid w:val="00804633"/>
    <w:rsid w:val="00832555"/>
    <w:rsid w:val="00903794"/>
    <w:rsid w:val="00C61098"/>
    <w:rsid w:val="00C64EA4"/>
    <w:rsid w:val="00C80D0C"/>
    <w:rsid w:val="00D77C3B"/>
    <w:rsid w:val="00E17000"/>
    <w:rsid w:val="077E597C"/>
    <w:rsid w:val="0CD1414B"/>
    <w:rsid w:val="12683B8C"/>
    <w:rsid w:val="18642773"/>
    <w:rsid w:val="19324331"/>
    <w:rsid w:val="1C3E427F"/>
    <w:rsid w:val="239948B5"/>
    <w:rsid w:val="2A87418A"/>
    <w:rsid w:val="2AFE7384"/>
    <w:rsid w:val="2F422379"/>
    <w:rsid w:val="30AE0EB9"/>
    <w:rsid w:val="3E905AF2"/>
    <w:rsid w:val="42143396"/>
    <w:rsid w:val="436C5D05"/>
    <w:rsid w:val="476E53AD"/>
    <w:rsid w:val="48D20795"/>
    <w:rsid w:val="49286852"/>
    <w:rsid w:val="4A2D571F"/>
    <w:rsid w:val="4D0D1096"/>
    <w:rsid w:val="5030563D"/>
    <w:rsid w:val="5215706D"/>
    <w:rsid w:val="52D55E01"/>
    <w:rsid w:val="5FC560D5"/>
    <w:rsid w:val="605A08B9"/>
    <w:rsid w:val="61C517A1"/>
    <w:rsid w:val="625E0004"/>
    <w:rsid w:val="64F0383B"/>
    <w:rsid w:val="69CA0FB0"/>
    <w:rsid w:val="6A4F385C"/>
    <w:rsid w:val="6E147404"/>
    <w:rsid w:val="6E831AF5"/>
    <w:rsid w:val="72070409"/>
    <w:rsid w:val="743027AC"/>
    <w:rsid w:val="76997EDE"/>
    <w:rsid w:val="78E662FF"/>
    <w:rsid w:val="79E1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jc w:val="center"/>
    </w:pPr>
    <w:rPr>
      <w:rFonts w:ascii="Times New Roman" w:hAnsi="Times New Roman"/>
      <w:b/>
      <w:sz w:val="30"/>
      <w:szCs w:val="20"/>
      <w:u w:val="single"/>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rPr>
  </w:style>
  <w:style w:type="character" w:customStyle="1" w:styleId="8">
    <w:name w:val="lb"/>
    <w:basedOn w:val="5"/>
    <w:qFormat/>
    <w:uiPriority w:val="0"/>
  </w:style>
  <w:style w:type="character" w:customStyle="1" w:styleId="9">
    <w:name w:val="页眉 字符"/>
    <w:basedOn w:val="5"/>
    <w:link w:val="4"/>
    <w:uiPriority w:val="99"/>
    <w:rPr>
      <w:rFonts w:asciiTheme="minorHAnsi" w:hAnsiTheme="minorHAnsi" w:eastAsiaTheme="minorEastAsia" w:cstheme="minorBidi"/>
      <w:kern w:val="2"/>
      <w:sz w:val="18"/>
      <w:szCs w:val="18"/>
    </w:rPr>
  </w:style>
  <w:style w:type="character" w:customStyle="1" w:styleId="10">
    <w:name w:val="页脚 字符"/>
    <w:basedOn w:val="5"/>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494</Words>
  <Characters>2820</Characters>
  <Lines>23</Lines>
  <Paragraphs>6</Paragraphs>
  <TotalTime>130</TotalTime>
  <ScaleCrop>false</ScaleCrop>
  <LinksUpToDate>false</LinksUpToDate>
  <CharactersWithSpaces>3308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2025-04-02T02:17:00Z</dcterms:created>
  <dc:creator>txnsh</dc:creator>
  <cp:lastModifiedBy>朱筱琪</cp:lastModifiedBy>
  <dcterms:modified xsi:type="dcterms:W3CDTF">2025-10-28T02:06:03Z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B4E529E3780F4B17A7373CC966079C78</vt:lpwstr>
  </property>
</Properties>
</file>