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3A954C8">
      <w:pPr>
        <w:shd w:val="clear" w:color="auto" w:fill="FFFFFF"/>
        <w:spacing w:line="300" w:lineRule="exact"/>
        <w:ind w:firstLine="482" w:firstLineChars="200"/>
        <w:jc w:val="both"/>
        <w:outlineLvl w:val="1"/>
        <w:rPr>
          <w:rFonts w:ascii="楷体_GB2312" w:hAnsi="Arial" w:eastAsia="楷体_GB2312" w:cs="楷体_GB2312"/>
          <w:b/>
          <w:bCs/>
        </w:rPr>
      </w:pPr>
      <w:r>
        <w:rPr>
          <w:rFonts w:hint="eastAsia" w:ascii="楷体_GB2312" w:hAnsi="Arial" w:eastAsia="楷体_GB2312" w:cs="楷体_GB2312"/>
          <w:b/>
          <w:bCs/>
        </w:rPr>
        <w:t>本人</w:t>
      </w:r>
      <w:r>
        <w:rPr>
          <w:rFonts w:ascii="楷体_GB2312" w:hAnsi="Arial" w:eastAsia="楷体_GB2312" w:cs="楷体_GB2312"/>
          <w:b/>
          <w:bCs/>
        </w:rPr>
        <w:t>/本单位确认，自愿同意并授权管理人代本人/本单位按照理财产品说明书中的约定，</w:t>
      </w:r>
      <w:r>
        <w:rPr>
          <w:rFonts w:ascii="楷体_GB2312" w:hAnsi="Arial" w:eastAsia="楷体_GB2312" w:cs="楷体_GB2312"/>
          <w:b/>
          <w:bCs/>
          <w:color w:val="FF0000"/>
        </w:rPr>
        <w:t>在本产品到期日或提前终止日时，按照产品年化收益超过业绩比较基准</w:t>
      </w:r>
      <w:r>
        <w:rPr>
          <w:rFonts w:hint="eastAsia" w:ascii="楷体_GB2312" w:hAnsi="Arial" w:eastAsia="楷体_GB2312" w:cs="楷体_GB2312"/>
          <w:b/>
          <w:bCs/>
          <w:color w:val="FF0000"/>
          <w:lang w:val="en-US" w:eastAsia="zh-CN"/>
        </w:rPr>
        <w:t>中枢</w:t>
      </w:r>
      <w:r>
        <w:rPr>
          <w:rFonts w:ascii="楷体_GB2312" w:hAnsi="Arial" w:eastAsia="楷体_GB2312" w:cs="楷体_GB2312"/>
          <w:b/>
          <w:bCs/>
          <w:color w:val="FF0000"/>
        </w:rPr>
        <w:t>部分的【</w:t>
      </w:r>
      <w:r>
        <w:rPr>
          <w:rFonts w:hint="eastAsia" w:ascii="楷体_GB2312" w:hAnsi="Arial" w:eastAsia="楷体_GB2312" w:cs="楷体_GB2312"/>
          <w:b/>
          <w:bCs/>
          <w:color w:val="FF0000"/>
          <w:lang w:val="en-US" w:eastAsia="zh-CN"/>
        </w:rPr>
        <w:t>50</w:t>
      </w:r>
      <w:r>
        <w:rPr>
          <w:rFonts w:ascii="楷体_GB2312" w:hAnsi="Arial" w:eastAsia="楷体_GB2312" w:cs="楷体_GB2312"/>
          <w:b/>
          <w:bCs/>
          <w:color w:val="FF0000"/>
        </w:rPr>
        <w:t>%】进行捐赠</w:t>
      </w:r>
      <w:r>
        <w:rPr>
          <w:rFonts w:ascii="楷体_GB2312" w:hAnsi="Arial" w:eastAsia="楷体_GB2312" w:cs="楷体_GB2312"/>
          <w:b/>
          <w:bCs/>
        </w:rPr>
        <w:t>。在产品到期清算过程中，</w:t>
      </w:r>
      <w:r>
        <w:rPr>
          <w:rFonts w:ascii="楷体_GB2312" w:hAnsi="Arial" w:eastAsia="楷体_GB2312" w:cs="楷体_GB2312"/>
          <w:b/>
          <w:bCs/>
          <w:color w:val="FF0000"/>
        </w:rPr>
        <w:t>如产品年化收益率超过业绩比较基准</w:t>
      </w:r>
      <w:r>
        <w:rPr>
          <w:rFonts w:hint="eastAsia" w:ascii="楷体_GB2312" w:hAnsi="Arial" w:eastAsia="楷体_GB2312" w:cs="楷体_GB2312"/>
          <w:b/>
          <w:bCs/>
          <w:color w:val="FF0000"/>
          <w:lang w:val="en-US" w:eastAsia="zh-CN"/>
        </w:rPr>
        <w:t>中枢</w:t>
      </w:r>
      <w:r>
        <w:rPr>
          <w:rFonts w:ascii="楷体_GB2312" w:hAnsi="Arial" w:eastAsia="楷体_GB2312" w:cs="楷体_GB2312"/>
          <w:b/>
          <w:bCs/>
          <w:color w:val="FF0000"/>
        </w:rPr>
        <w:t>，则按照超过业绩比较基准</w:t>
      </w:r>
      <w:r>
        <w:rPr>
          <w:rFonts w:hint="eastAsia" w:ascii="楷体_GB2312" w:hAnsi="Arial" w:eastAsia="楷体_GB2312" w:cs="楷体_GB2312"/>
          <w:b/>
          <w:bCs/>
          <w:color w:val="FF0000"/>
          <w:lang w:val="en-US" w:eastAsia="zh-CN"/>
        </w:rPr>
        <w:t>中枢</w:t>
      </w:r>
      <w:r>
        <w:rPr>
          <w:rFonts w:ascii="楷体_GB2312" w:hAnsi="Arial" w:eastAsia="楷体_GB2312" w:cs="楷体_GB2312"/>
          <w:b/>
          <w:bCs/>
          <w:color w:val="FF0000"/>
        </w:rPr>
        <w:t>部分的【</w:t>
      </w:r>
      <w:r>
        <w:rPr>
          <w:rFonts w:hint="eastAsia" w:ascii="楷体_GB2312" w:hAnsi="Arial" w:eastAsia="楷体_GB2312" w:cs="楷体_GB2312"/>
          <w:b/>
          <w:bCs/>
          <w:color w:val="FF0000"/>
          <w:lang w:val="en-US" w:eastAsia="zh-CN"/>
        </w:rPr>
        <w:t>50</w:t>
      </w:r>
      <w:r>
        <w:rPr>
          <w:rFonts w:ascii="楷体_GB2312" w:hAnsi="Arial" w:eastAsia="楷体_GB2312" w:cs="楷体_GB2312"/>
          <w:b/>
          <w:bCs/>
          <w:color w:val="FF0000"/>
        </w:rPr>
        <w:t>%】进行捐赠。管理人将代投资者直接将捐赠金额以投资者名义捐赠至【</w:t>
      </w:r>
      <w:r>
        <w:rPr>
          <w:rFonts w:hint="eastAsia" w:ascii="楷体_GB2312" w:hAnsi="Arial" w:eastAsia="楷体_GB2312" w:cs="楷体_GB2312"/>
          <w:b/>
          <w:bCs/>
          <w:color w:val="FF0000"/>
        </w:rPr>
        <w:t>浙江省慈善联合总会</w:t>
      </w:r>
      <w:r>
        <w:rPr>
          <w:rFonts w:ascii="楷体_GB2312" w:hAnsi="Arial" w:eastAsia="楷体_GB2312" w:cs="楷体_GB2312"/>
          <w:b/>
          <w:bCs/>
          <w:color w:val="FF0000"/>
        </w:rPr>
        <w:t>】（网址</w:t>
      </w:r>
      <w:r>
        <w:rPr>
          <w:rFonts w:hint="eastAsia" w:ascii="楷体_GB2312" w:hAnsi="Arial" w:eastAsia="楷体_GB2312" w:cs="楷体_GB2312"/>
          <w:b/>
          <w:bCs/>
          <w:color w:val="FF0000"/>
        </w:rPr>
        <w:t>https://www.zcf.org.cn，地方性公募基金会</w:t>
      </w:r>
      <w:r>
        <w:rPr>
          <w:rFonts w:ascii="楷体_GB2312" w:hAnsi="Arial" w:eastAsia="楷体_GB2312" w:cs="楷体_GB2312"/>
          <w:b/>
          <w:bCs/>
          <w:color w:val="FF0000"/>
        </w:rPr>
        <w:t>）</w:t>
      </w:r>
      <w:r>
        <w:rPr>
          <w:rFonts w:ascii="楷体_GB2312" w:hAnsi="Arial" w:eastAsia="楷体_GB2312" w:cs="楷体_GB2312"/>
          <w:b/>
          <w:bCs/>
        </w:rPr>
        <w:t>，产品到期后，投资者可通过产品销售机构或产品销售机构认可的其他方式申请办理相关捐赠证明，具体可详询【中信银行24小时客户服务热线95558】【信银理财客户服务热线950950，工作时间为工作日8：30-20：30】。</w:t>
      </w:r>
      <w:r>
        <w:rPr>
          <w:rFonts w:ascii="楷体_GB2312" w:hAnsi="Arial" w:eastAsia="楷体_GB2312" w:cs="楷体_GB2312"/>
          <w:b/>
          <w:bCs/>
          <w:color w:val="FF0000"/>
        </w:rPr>
        <w:t>投资者同意将捐赠金额的【</w:t>
      </w:r>
      <w:r>
        <w:rPr>
          <w:rFonts w:hint="eastAsia" w:ascii="楷体_GB2312" w:hAnsi="Arial" w:eastAsia="楷体_GB2312" w:cs="楷体_GB2312"/>
          <w:b/>
          <w:bCs/>
          <w:color w:val="FF0000"/>
          <w:lang w:val="en-US" w:eastAsia="zh-CN"/>
        </w:rPr>
        <w:t>10</w:t>
      </w:r>
      <w:r>
        <w:rPr>
          <w:rFonts w:ascii="楷体_GB2312" w:hAnsi="Arial" w:eastAsia="楷体_GB2312" w:cs="楷体_GB2312"/>
          <w:b/>
          <w:bCs/>
          <w:color w:val="FF0000"/>
        </w:rPr>
        <w:t>%】用于【</w:t>
      </w:r>
      <w:r>
        <w:rPr>
          <w:rFonts w:hint="eastAsia" w:ascii="楷体_GB2312" w:hAnsi="Arial" w:eastAsia="楷体_GB2312" w:cs="楷体_GB2312"/>
          <w:b/>
          <w:bCs/>
          <w:color w:val="FF0000"/>
        </w:rPr>
        <w:t>浙江省慈善联合总会</w:t>
      </w:r>
      <w:r>
        <w:rPr>
          <w:rFonts w:ascii="楷体_GB2312" w:hAnsi="Arial" w:eastAsia="楷体_GB2312" w:cs="楷体_GB2312"/>
          <w:b/>
          <w:bCs/>
          <w:color w:val="FF0000"/>
        </w:rPr>
        <w:t>】管理费用</w:t>
      </w:r>
      <w:r>
        <w:rPr>
          <w:rFonts w:ascii="楷体_GB2312" w:hAnsi="Arial" w:eastAsia="楷体_GB2312" w:cs="楷体_GB2312"/>
          <w:b/>
          <w:bCs/>
        </w:rPr>
        <w:t>，【</w:t>
      </w:r>
      <w:r>
        <w:rPr>
          <w:rFonts w:hint="eastAsia" w:ascii="楷体_GB2312" w:hAnsi="Arial" w:eastAsia="楷体_GB2312" w:cs="楷体_GB2312"/>
          <w:b/>
          <w:bCs/>
          <w:color w:val="FF0000"/>
        </w:rPr>
        <w:t>浙江省慈善联合总会</w:t>
      </w:r>
      <w:r>
        <w:rPr>
          <w:rFonts w:ascii="楷体_GB2312" w:hAnsi="Arial" w:eastAsia="楷体_GB2312" w:cs="楷体_GB2312"/>
          <w:b/>
          <w:bCs/>
        </w:rPr>
        <w:t>】有权按照相关法律法规的要求，合理使用捐赠款项，但不得擅自改变捐赠款项用途。投资者知晓并同意本次慈善捐赠为不可撤销的赠与，投资者无权要求信银理财或【</w:t>
      </w:r>
      <w:r>
        <w:rPr>
          <w:rFonts w:hint="eastAsia" w:ascii="楷体_GB2312" w:hAnsi="Arial" w:eastAsia="楷体_GB2312" w:cs="楷体_GB2312"/>
          <w:b/>
          <w:bCs/>
          <w:color w:val="FF0000"/>
        </w:rPr>
        <w:t>浙江省慈善联合总会</w:t>
      </w:r>
      <w:r>
        <w:rPr>
          <w:rFonts w:ascii="楷体_GB2312" w:hAnsi="Arial" w:eastAsia="楷体_GB2312" w:cs="楷体_GB2312"/>
          <w:b/>
          <w:bCs/>
        </w:rPr>
        <w:t>】返还捐赠款项。投资者同意并授权信银理财向【</w:t>
      </w:r>
      <w:r>
        <w:rPr>
          <w:rFonts w:hint="eastAsia" w:ascii="楷体_GB2312" w:hAnsi="Arial" w:eastAsia="楷体_GB2312" w:cs="楷体_GB2312"/>
          <w:b/>
          <w:bCs/>
          <w:color w:val="FF0000"/>
        </w:rPr>
        <w:t>浙江省慈善联合总会</w:t>
      </w:r>
      <w:r>
        <w:rPr>
          <w:rFonts w:ascii="楷体_GB2312" w:hAnsi="Arial" w:eastAsia="楷体_GB2312" w:cs="楷体_GB2312"/>
          <w:b/>
          <w:bCs/>
        </w:rPr>
        <w:t>】提供【投资者姓名、身份证号、持有的理财产品份额、手机号码、邮箱地址】等信息以用于开具捐赠证明或捐赠票据。</w:t>
      </w:r>
    </w:p>
    <w:p w14:paraId="111D2E83">
      <w:pPr>
        <w:shd w:val="clear" w:color="auto" w:fill="FFFFFF"/>
        <w:spacing w:line="300" w:lineRule="exact"/>
        <w:jc w:val="center"/>
        <w:outlineLvl w:val="1"/>
        <w:rPr>
          <w:rFonts w:ascii="Times New Roman" w:hAnsi="Times New Roman" w:eastAsia="黑体" w:cs="Times New Roman"/>
          <w:sz w:val="22"/>
        </w:rPr>
      </w:pPr>
    </w:p>
    <w:p w14:paraId="4BD2FCBE">
      <w:pPr>
        <w:shd w:val="clear" w:color="auto" w:fill="FFFFFF"/>
        <w:spacing w:line="300" w:lineRule="exact"/>
        <w:jc w:val="center"/>
        <w:outlineLvl w:val="1"/>
        <w:rPr>
          <w:rFonts w:ascii="Times New Roman" w:hAnsi="Times New Roman" w:eastAsia="黑体" w:cs="Times New Roman"/>
          <w:sz w:val="22"/>
        </w:rPr>
      </w:pPr>
      <w:r>
        <w:rPr>
          <w:rFonts w:hint="eastAsia" w:ascii="Times New Roman" w:hAnsi="Times New Roman" w:eastAsia="黑体" w:cs="Times New Roman"/>
          <w:sz w:val="22"/>
        </w:rPr>
        <w:t>信银理财理财产品投资协</w:t>
      </w:r>
      <w:bookmarkStart w:id="0" w:name="_GoBack"/>
      <w:bookmarkEnd w:id="0"/>
      <w:r>
        <w:rPr>
          <w:rFonts w:hint="eastAsia" w:ascii="Times New Roman" w:hAnsi="Times New Roman" w:eastAsia="黑体" w:cs="Times New Roman"/>
          <w:sz w:val="22"/>
        </w:rPr>
        <w:t>议书</w:t>
      </w:r>
    </w:p>
    <w:p w14:paraId="5953FC3E">
      <w:pPr>
        <w:spacing w:line="300" w:lineRule="exact"/>
        <w:ind w:firstLine="480"/>
        <w:rPr>
          <w:rFonts w:ascii="Times New Roman" w:hAnsi="Times New Roman" w:eastAsia="楷体_GB2312" w:cs="Times New Roman"/>
          <w:sz w:val="20"/>
          <w:szCs w:val="20"/>
        </w:rPr>
      </w:pPr>
    </w:p>
    <w:p w14:paraId="22A439CC">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甲方：投资者（投资者信息详见签署页）</w:t>
      </w:r>
    </w:p>
    <w:p w14:paraId="7858B33B">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乙方：信银理财有限责任公司</w:t>
      </w:r>
    </w:p>
    <w:p w14:paraId="41D0A60F">
      <w:pPr>
        <w:spacing w:line="300" w:lineRule="exact"/>
        <w:ind w:firstLine="480"/>
        <w:rPr>
          <w:rFonts w:ascii="Times New Roman" w:hAnsi="Times New Roman" w:eastAsia="楷体_GB2312" w:cs="Times New Roman"/>
          <w:sz w:val="20"/>
          <w:szCs w:val="20"/>
        </w:rPr>
      </w:pPr>
    </w:p>
    <w:p w14:paraId="18779E83">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经甲方和乙方平等协商，就甲方认购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申购乙方发行的理财产品（以下简称</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理财产品</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），达成本协议如下：</w:t>
      </w:r>
    </w:p>
    <w:p w14:paraId="318CD2C3">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一、适用范围</w:t>
      </w:r>
    </w:p>
    <w:p w14:paraId="36A1020E">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甲方在认购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申购乙方发行的理财产品之前应签署本协议。本协议生效后，甲方认购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申购乙方发行的理财产品的，均适用本协议。</w:t>
      </w:r>
    </w:p>
    <w:p w14:paraId="37F1FF57">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本协议为规范甲乙双方在理财业务中权利与义务的法律文件，与甲方认购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申购理财产品对应的《信银理财理财产品产品说明书》《信银理财理财产品风险揭示书》等相关文件与本协议共同构成理财产品合同的有效组成部分，与本协议具有同等法律效力。甲方认购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申购乙方多支理财产品时，不同理财产品对应的《信银理财理财产品产品说明书》《信银理财理财产品风险揭示书》组成的理财产品合同互相独立。</w:t>
      </w:r>
    </w:p>
    <w:p w14:paraId="206C7C08">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本协议不作为甲方认购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申购或持有理财产品的凭证。</w:t>
      </w:r>
    </w:p>
    <w:p w14:paraId="4B445A2A">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二、风险提示</w:t>
      </w:r>
    </w:p>
    <w:p w14:paraId="061B1F90">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本产品为【固定收益类】产品，具体投资对象投资比例如下：</w:t>
      </w:r>
    </w:p>
    <w:tbl>
      <w:tblPr>
        <w:tblStyle w:val="8"/>
        <w:tblW w:w="3503" w:type="pct"/>
        <w:tblInd w:w="127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224"/>
        <w:gridCol w:w="1747"/>
      </w:tblGrid>
      <w:tr w14:paraId="52E79C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537" w:type="pct"/>
            <w:vAlign w:val="center"/>
          </w:tcPr>
          <w:p w14:paraId="10489510">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资产种类</w:t>
            </w:r>
          </w:p>
        </w:tc>
        <w:tc>
          <w:tcPr>
            <w:tcW w:w="1463" w:type="pct"/>
            <w:vAlign w:val="center"/>
          </w:tcPr>
          <w:p w14:paraId="3C478227">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投资比例</w:t>
            </w:r>
          </w:p>
        </w:tc>
      </w:tr>
      <w:tr w14:paraId="3721BC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463F4D90">
            <w:pPr>
              <w:ind w:right="29" w:rightChars="12"/>
              <w:jc w:val="center"/>
              <w:rPr>
                <w:rFonts w:ascii="楷体" w:hAnsi="楷体" w:eastAsia="楷体"/>
                <w:color w:val="000000"/>
                <w:sz w:val="20"/>
                <w:szCs w:val="20"/>
              </w:rPr>
            </w:pPr>
            <w:r>
              <w:rPr>
                <w:rFonts w:hint="eastAsia" w:ascii="楷体" w:hAnsi="楷体" w:eastAsia="楷体"/>
                <w:color w:val="000000"/>
                <w:sz w:val="20"/>
                <w:szCs w:val="20"/>
              </w:rPr>
              <w:t>债权类资产</w:t>
            </w:r>
          </w:p>
        </w:tc>
        <w:tc>
          <w:tcPr>
            <w:tcW w:w="1463" w:type="pct"/>
            <w:vAlign w:val="center"/>
          </w:tcPr>
          <w:p w14:paraId="2BC58047">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80%-100%</w:t>
            </w:r>
            <w:r>
              <w:rPr>
                <w:rFonts w:hint="eastAsia" w:ascii="楷体" w:hAnsi="楷体" w:eastAsia="楷体"/>
                <w:sz w:val="20"/>
                <w:szCs w:val="20"/>
              </w:rPr>
              <w:t>】</w:t>
            </w:r>
          </w:p>
        </w:tc>
      </w:tr>
      <w:tr w14:paraId="34277F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553B522E">
            <w:pPr>
              <w:ind w:right="29" w:rightChars="12"/>
              <w:jc w:val="center"/>
              <w:rPr>
                <w:rFonts w:ascii="楷体" w:hAnsi="楷体" w:eastAsia="楷体"/>
                <w:color w:val="000000"/>
                <w:sz w:val="20"/>
                <w:szCs w:val="20"/>
              </w:rPr>
            </w:pPr>
            <w:r>
              <w:rPr>
                <w:rFonts w:hint="eastAsia" w:ascii="楷体" w:hAnsi="楷体" w:eastAsia="楷体"/>
                <w:color w:val="000000"/>
                <w:sz w:val="20"/>
                <w:szCs w:val="20"/>
              </w:rPr>
              <w:t>其中</w:t>
            </w:r>
            <w:r>
              <w:rPr>
                <w:rFonts w:ascii="楷体" w:hAnsi="楷体" w:eastAsia="楷体"/>
                <w:color w:val="000000"/>
                <w:sz w:val="20"/>
                <w:szCs w:val="20"/>
              </w:rPr>
              <w:t>，非标准化债权类资产</w:t>
            </w:r>
          </w:p>
        </w:tc>
        <w:tc>
          <w:tcPr>
            <w:tcW w:w="1463" w:type="pct"/>
            <w:vAlign w:val="center"/>
          </w:tcPr>
          <w:p w14:paraId="28757BA4">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0%-49%】</w:t>
            </w:r>
          </w:p>
        </w:tc>
      </w:tr>
      <w:tr w14:paraId="0D3A18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2BCF4755">
            <w:pPr>
              <w:ind w:right="29" w:rightChars="12"/>
              <w:jc w:val="center"/>
              <w:rPr>
                <w:rFonts w:ascii="楷体" w:hAnsi="楷体" w:eastAsia="楷体"/>
                <w:color w:val="000000"/>
                <w:sz w:val="20"/>
                <w:szCs w:val="20"/>
              </w:rPr>
            </w:pPr>
            <w:r>
              <w:rPr>
                <w:rFonts w:hint="eastAsia" w:ascii="楷体" w:hAnsi="楷体" w:eastAsia="楷体"/>
                <w:color w:val="000000"/>
                <w:sz w:val="20"/>
                <w:szCs w:val="20"/>
              </w:rPr>
              <w:t>权益类资产</w:t>
            </w:r>
          </w:p>
        </w:tc>
        <w:tc>
          <w:tcPr>
            <w:tcW w:w="1463" w:type="pct"/>
            <w:vAlign w:val="center"/>
          </w:tcPr>
          <w:p w14:paraId="3EDB91B4">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0%</w:t>
            </w:r>
            <w:r>
              <w:rPr>
                <w:rFonts w:hint="eastAsia" w:ascii="楷体" w:hAnsi="楷体" w:eastAsia="楷体"/>
                <w:sz w:val="20"/>
                <w:szCs w:val="20"/>
              </w:rPr>
              <w:t>】</w:t>
            </w:r>
          </w:p>
        </w:tc>
      </w:tr>
      <w:tr w14:paraId="6C7F99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40C939C7">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资产：持仓合约价值</w:t>
            </w:r>
          </w:p>
        </w:tc>
        <w:tc>
          <w:tcPr>
            <w:tcW w:w="1463" w:type="pct"/>
            <w:vAlign w:val="center"/>
          </w:tcPr>
          <w:p w14:paraId="1D65C01C">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0%-20%</w:t>
            </w:r>
            <w:r>
              <w:rPr>
                <w:rFonts w:hint="eastAsia" w:ascii="楷体" w:hAnsi="楷体" w:eastAsia="楷体"/>
                <w:sz w:val="20"/>
                <w:szCs w:val="20"/>
              </w:rPr>
              <w:t>】</w:t>
            </w:r>
          </w:p>
        </w:tc>
      </w:tr>
      <w:tr w14:paraId="465262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 w:hRule="atLeast"/>
        </w:trPr>
        <w:tc>
          <w:tcPr>
            <w:tcW w:w="3537" w:type="pct"/>
            <w:vAlign w:val="center"/>
          </w:tcPr>
          <w:p w14:paraId="5669F89D">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资产：衍生品账户权益</w:t>
            </w:r>
          </w:p>
        </w:tc>
        <w:tc>
          <w:tcPr>
            <w:tcW w:w="1463" w:type="pct"/>
            <w:vAlign w:val="center"/>
          </w:tcPr>
          <w:p w14:paraId="7E36A647">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0%-20%</w:t>
            </w:r>
            <w:r>
              <w:rPr>
                <w:rFonts w:hint="eastAsia" w:ascii="楷体" w:hAnsi="楷体" w:eastAsia="楷体"/>
                <w:sz w:val="20"/>
                <w:szCs w:val="20"/>
              </w:rPr>
              <w:t>】</w:t>
            </w:r>
          </w:p>
        </w:tc>
      </w:tr>
    </w:tbl>
    <w:p w14:paraId="5F9FBEA5">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投资者投资本产品可能面临的特定风险主要包括（但不限于）</w:t>
      </w:r>
    </w:p>
    <w:p w14:paraId="36F596A3">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1</w:t>
      </w:r>
      <w:r>
        <w:rPr>
          <w:rFonts w:hint="eastAsia" w:ascii="Times New Roman" w:hAnsi="Times New Roman" w:eastAsia="楷体_GB2312" w:cs="Times New Roman"/>
          <w:b/>
          <w:bCs/>
          <w:sz w:val="20"/>
          <w:szCs w:val="20"/>
        </w:rPr>
        <w:t>）投资债权类资产的风险</w:t>
      </w:r>
    </w:p>
    <w:p w14:paraId="2B7E958B">
      <w:pPr>
        <w:spacing w:line="300" w:lineRule="exact"/>
        <w:ind w:firstLine="480"/>
        <w:rPr>
          <w:rFonts w:ascii="Times New Roman" w:hAnsi="Times New Roman" w:eastAsia="楷体_GB2312" w:cs="Times New Roman"/>
          <w:b/>
          <w:bCs/>
          <w:sz w:val="20"/>
          <w:szCs w:val="20"/>
        </w:rPr>
      </w:pPr>
      <w:r>
        <w:rPr>
          <w:rFonts w:ascii="Times New Roman" w:hAnsi="Times New Roman" w:eastAsia="楷体_GB2312" w:cs="Times New Roman"/>
          <w:b/>
          <w:bCs/>
          <w:sz w:val="20"/>
          <w:szCs w:val="20"/>
        </w:rPr>
        <w:t>1</w:t>
      </w:r>
      <w:r>
        <w:rPr>
          <w:rFonts w:hint="eastAsia" w:ascii="Times New Roman" w:hAnsi="Times New Roman" w:eastAsia="楷体_GB2312" w:cs="Times New Roman"/>
          <w:b/>
          <w:bCs/>
          <w:sz w:val="20"/>
          <w:szCs w:val="20"/>
        </w:rPr>
        <w:t>）投资标准化债权类资产的风险</w:t>
      </w:r>
    </w:p>
    <w:p w14:paraId="1FCAD57A">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56C80311">
      <w:pPr>
        <w:spacing w:line="300" w:lineRule="exact"/>
        <w:ind w:firstLine="480"/>
        <w:rPr>
          <w:rFonts w:ascii="Times New Roman" w:hAnsi="Times New Roman" w:eastAsia="楷体_GB2312" w:cs="Times New Roman"/>
          <w:b/>
          <w:bCs/>
          <w:sz w:val="20"/>
          <w:szCs w:val="20"/>
        </w:rPr>
      </w:pP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）投资非标准化债权类资产的风险</w:t>
      </w:r>
    </w:p>
    <w:p w14:paraId="31C8AABF">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本产品投资非标债权类资产时可能面临以下风险：由于融资主体</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增信主体</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14:paraId="5E2D31D1">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）投资权益类资产的风险</w:t>
      </w:r>
    </w:p>
    <w:p w14:paraId="166071C4">
      <w:pPr>
        <w:spacing w:line="300" w:lineRule="exact"/>
        <w:ind w:firstLine="480"/>
        <w:rPr>
          <w:rFonts w:ascii="Times New Roman" w:hAnsi="Times New Roman" w:eastAsia="楷体_GB2312" w:cs="Times New Roman"/>
          <w:b/>
          <w:bCs/>
          <w:sz w:val="20"/>
          <w:szCs w:val="20"/>
        </w:rPr>
      </w:pPr>
      <w:r>
        <w:rPr>
          <w:rFonts w:ascii="Times New Roman" w:hAnsi="Times New Roman" w:eastAsia="楷体_GB2312" w:cs="Times New Roman"/>
          <w:b/>
          <w:bCs/>
          <w:sz w:val="20"/>
          <w:szCs w:val="20"/>
        </w:rPr>
        <w:t>1</w:t>
      </w:r>
      <w:r>
        <w:rPr>
          <w:rFonts w:hint="eastAsia" w:ascii="Times New Roman" w:hAnsi="Times New Roman" w:eastAsia="楷体_GB2312" w:cs="Times New Roman"/>
          <w:b/>
          <w:bCs/>
          <w:sz w:val="20"/>
          <w:szCs w:val="20"/>
        </w:rPr>
        <w:t>）投资普通股票可能面临的风险</w:t>
      </w:r>
    </w:p>
    <w:p w14:paraId="44FDDAE7">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普通股票时可能面临以下风险：国家政策、经济周期、利率、汇率、股票发行人经营情况等因素可能发生变化导致的市场风险；因市场、技术、竞争、管理、财务等导致公司盈利发生变化，其股票价格可能下跌，影响投资者收益；股票定向增发等可能的流通和转让限制导致的流动性风险等。</w:t>
      </w:r>
      <w:r>
        <w:rPr>
          <w:rFonts w:ascii="Times New Roman" w:hAnsi="Times New Roman" w:eastAsia="楷体_GB2312" w:cs="Times New Roman"/>
          <w:b/>
          <w:bCs/>
          <w:sz w:val="20"/>
          <w:szCs w:val="20"/>
        </w:rPr>
        <w:t xml:space="preserve"> </w:t>
      </w:r>
    </w:p>
    <w:p w14:paraId="15D90AB0">
      <w:pPr>
        <w:spacing w:line="300" w:lineRule="exact"/>
        <w:ind w:firstLine="480"/>
        <w:rPr>
          <w:rFonts w:ascii="Times New Roman" w:hAnsi="Times New Roman" w:eastAsia="楷体_GB2312" w:cs="Times New Roman"/>
          <w:b/>
          <w:bCs/>
          <w:sz w:val="20"/>
          <w:szCs w:val="20"/>
        </w:rPr>
      </w:pP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）投资优先股可能面临的风险</w:t>
      </w:r>
    </w:p>
    <w:p w14:paraId="58B0176D">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优先股时可能面临的以下风险：国家政策、经济周期、利率、汇率、股票发行人经营情况等因素可能发生变化导致的市场风险；因公司基本面改变导致影响优先股的股利支付、在触发事件发生时优先股可能被强制转换为普通股的信用风险；向特定对象发行的优先股只能挂牌转让等优先股可能的流通和转让限制导致的流动性风险等。</w:t>
      </w:r>
    </w:p>
    <w:p w14:paraId="05E14E92">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3</w:t>
      </w:r>
      <w:r>
        <w:rPr>
          <w:rFonts w:hint="eastAsia" w:ascii="Times New Roman" w:hAnsi="Times New Roman" w:eastAsia="楷体_GB2312" w:cs="Times New Roman"/>
          <w:b/>
          <w:bCs/>
          <w:sz w:val="20"/>
          <w:szCs w:val="20"/>
        </w:rPr>
        <w:t>）投资商品及金融衍生品类资产的风险</w:t>
      </w:r>
    </w:p>
    <w:p w14:paraId="33F0683A">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商品及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1A8CAAEF">
      <w:pPr>
        <w:spacing w:line="300" w:lineRule="exact"/>
        <w:ind w:firstLine="480"/>
        <w:rPr>
          <w:rFonts w:ascii="Times New Roman" w:hAnsi="Times New Roman" w:eastAsia="楷体_GB2312" w:cs="Times New Roman"/>
          <w:b/>
          <w:bCs/>
          <w:sz w:val="20"/>
          <w:szCs w:val="20"/>
        </w:rPr>
      </w:pPr>
    </w:p>
    <w:p w14:paraId="3F5CC611">
      <w:pPr>
        <w:spacing w:line="300" w:lineRule="exact"/>
        <w:ind w:firstLine="480"/>
        <w:rPr>
          <w:rFonts w:ascii="Times New Roman" w:hAnsi="Times New Roman" w:eastAsia="楷体_GB2312" w:cs="Times New Roman"/>
          <w:b/>
          <w:bCs/>
          <w:i/>
          <w:szCs w:val="20"/>
          <w:u w:val="single"/>
        </w:rPr>
      </w:pPr>
      <w:r>
        <w:rPr>
          <w:rFonts w:hint="eastAsia" w:ascii="Times New Roman" w:hAnsi="Times New Roman" w:eastAsia="楷体_GB2312" w:cs="Times New Roman"/>
          <w:b/>
          <w:bCs/>
          <w:i/>
          <w:szCs w:val="20"/>
          <w:u w:val="single"/>
        </w:rPr>
        <w:t>注：以上特定风险仅为列举性质，未能详尽列明投资本产品可能面临的全部风险和可能导致投资者投资本金及收益损失的所有因素。</w:t>
      </w:r>
    </w:p>
    <w:p w14:paraId="15760E64">
      <w:pPr>
        <w:spacing w:line="300" w:lineRule="exact"/>
        <w:ind w:firstLine="480"/>
        <w:rPr>
          <w:rFonts w:ascii="Times New Roman" w:hAnsi="Times New Roman" w:eastAsia="楷体_GB2312" w:cs="Times New Roman"/>
          <w:b/>
          <w:bCs/>
          <w:sz w:val="20"/>
          <w:szCs w:val="20"/>
        </w:rPr>
      </w:pPr>
    </w:p>
    <w:p w14:paraId="524E6CEB">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理财非存款、产品有风险、投资须谨慎，理财产品过往业绩不代表其未来表现，不等于理财产品实际收益。投资者投资理财产品的，请关注产品各类投资对象的投资比例及相应投资风险，基于所投资的不同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请甲方仔细阅读认购</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申购的理财产品的《信银理财理财产品产品说明书》和《信银理财理财产品风险揭示书》中的相应条款。</w:t>
      </w:r>
    </w:p>
    <w:p w14:paraId="492E99AF">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三、投资条款</w:t>
      </w:r>
    </w:p>
    <w:p w14:paraId="621523A1">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Cs/>
          <w:sz w:val="20"/>
          <w:szCs w:val="20"/>
        </w:rPr>
        <w:t>甲方认购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申购理财产品的具体认购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申购条件、流程、金额、份额、费用以及其他投资条款，由甲方实际认购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申购的理财产品的《信银理财理财产品产品说明书》具体约定。</w:t>
      </w:r>
    </w:p>
    <w:p w14:paraId="409690B5">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四、甲方的权利与义务</w:t>
      </w:r>
    </w:p>
    <w:p w14:paraId="5059D784">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（一）甲方具有完全民事行为能力，有完全适当的资格与能力订立并履行理财产品销售文件，不存在法律、行政法规有关规定禁止或限制投资理财产品的情形（适用于个人投资者）；</w:t>
      </w:r>
    </w:p>
    <w:p w14:paraId="08313CD4">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销售文件所需的一切有关批准、许可、备案或者登记。（适用于机构投资者）；</w:t>
      </w:r>
    </w:p>
    <w:p w14:paraId="3AF3B31B">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（二）甲方保证以真实身份投资本理财产品，保证提供给产品管理人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代销机构的信息和资料均真实、准确、完整、合法。如甲方的信息和</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或资料发生变更，应当及时书面告知产品管理人或代销机构；</w:t>
      </w:r>
    </w:p>
    <w:p w14:paraId="18EA0946">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（三）甲方声明熟悉理财产品类型特征及不同销售渠道的法律法规规定；</w:t>
      </w:r>
    </w:p>
    <w:p w14:paraId="40F66AC5">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（四）甲方承诺：如委托他人购买本产品，代理人须出具具有法律效力的授权委托书；</w:t>
      </w:r>
    </w:p>
    <w:p w14:paraId="6D74A4E9">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（五）甲方保证理财投资资金来源和用途合法，保证可向产品管理人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代销机构提供合法筹集的证明文件；</w:t>
      </w:r>
    </w:p>
    <w:p w14:paraId="37AF352A">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（六）甲方不得利用理财业务及理财产品销售文件项下理财产品从事违法活动；</w:t>
      </w:r>
    </w:p>
    <w:p w14:paraId="644A6C63">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（七）甲方保证遵守国家反洗钱法律、法规及相关政策要求，不从事涉及洗钱、恐怖融资、逃税、逃废债务、套取现金等违法违规活动，积极配合管理人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代销机构开展投资者身份识别、交易记录保存、投资者身份及交易背景尽职调查、大额和可疑交易报告等各项反洗钱工作，并按要求提供相关证明材料；</w:t>
      </w:r>
    </w:p>
    <w:p w14:paraId="7041F269">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（八）甲方不属于联合国、欧盟或美国等制裁名单，及中国政府部门或有权机关发布的涉恐及反洗钱相关风险名单内的企业或个人；不位于被联合国、欧盟或美国等制裁的国家和地区；</w:t>
      </w:r>
    </w:p>
    <w:p w14:paraId="6A09D2FF">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14:paraId="43D4BF2C">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五、乙方的权利与义务</w:t>
      </w:r>
    </w:p>
    <w:p w14:paraId="27301E61">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（一）乙方具有开办理财业务的经营资质，保证以诚实守信、勤勉尽职的原则管理和运用理财资金；</w:t>
      </w:r>
    </w:p>
    <w:p w14:paraId="33628D63">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（二）乙方具有完全适当的资格和能力订立与履行理财产品合同。</w:t>
      </w:r>
    </w:p>
    <w:p w14:paraId="19250F60">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六、违约责任</w:t>
      </w:r>
    </w:p>
    <w:p w14:paraId="10C5C45E">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双方因违反本协议约定而给对方造成损失的，违约方应赔偿因此给对方造成的直接损失。</w:t>
      </w:r>
    </w:p>
    <w:p w14:paraId="6D5532AE">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七、免责内容</w:t>
      </w:r>
    </w:p>
    <w:p w14:paraId="7308C579">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因法律法规或监管政策变化、自然灾害、意外事故、战争、系统故障、通讯故障等信银理财客观不能预见、不能避免、不能克服的不可抗力事件或意外事件，导致信银理财无法或延后履行本协议及《信银理财理财产品产品说明书》有关义务的，信银理财不承担责任，但因信银理财故意或重大过失造成的系统故障、通讯故障的除外。前述约定不免除因信银理财过错导致依法应由产品管理人承担的责任。乙方应在条件允许的情况下，采取必要的补救措施以减少不可抗力造成的损失。</w:t>
      </w:r>
    </w:p>
    <w:p w14:paraId="7D507970">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八、争议解决</w:t>
      </w:r>
    </w:p>
    <w:p w14:paraId="0DAA8C07">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sz w:val="20"/>
          <w:szCs w:val="20"/>
        </w:rPr>
        <w:t>（一）本协议及其他理财产品合同适用中华人民共和国法律（为履行理财产品合同之目的，不包括中国香港特别行政区、澳门特别行政区及台湾地区法律）。</w:t>
      </w:r>
    </w:p>
    <w:p w14:paraId="6F2D3F04">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w:t>
      </w:r>
      <w:r>
        <w:rPr>
          <w:rFonts w:hint="eastAsia" w:ascii="Times New Roman" w:hAnsi="Times New Roman" w:eastAsia="楷体_GB2312" w:cs="Times New Roman"/>
          <w:b/>
          <w:sz w:val="20"/>
          <w:szCs w:val="20"/>
        </w:rPr>
        <w:t>本协议</w:t>
      </w:r>
      <w:r>
        <w:rPr>
          <w:rFonts w:ascii="Times New Roman" w:hAnsi="Times New Roman" w:eastAsia="楷体_GB2312" w:cs="Times New Roman"/>
          <w:b/>
          <w:sz w:val="20"/>
          <w:szCs w:val="20"/>
        </w:rPr>
        <w:t>/</w:t>
      </w:r>
      <w:r>
        <w:rPr>
          <w:rFonts w:hint="eastAsia" w:ascii="Times New Roman" w:hAnsi="Times New Roman" w:eastAsia="楷体_GB2312" w:cs="Times New Roman"/>
          <w:b/>
          <w:bCs/>
          <w:sz w:val="20"/>
          <w:szCs w:val="20"/>
        </w:rPr>
        <w:t>理财产品合同引起的或与本协议</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7AFC7713">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（三）在协商或仲裁期间，对于本协议</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理财产品合同</w:t>
      </w:r>
      <w:r>
        <w:rPr>
          <w:rFonts w:hint="eastAsia" w:ascii="Times New Roman" w:hAnsi="Times New Roman" w:eastAsia="楷体_GB2312" w:cs="Times New Roman"/>
          <w:b/>
          <w:bCs/>
          <w:sz w:val="20"/>
          <w:szCs w:val="20"/>
          <w:lang w:val="en-US" w:eastAsia="zh-CN"/>
        </w:rPr>
        <w:t>不</w:t>
      </w:r>
      <w:r>
        <w:rPr>
          <w:rFonts w:hint="eastAsia" w:ascii="Times New Roman" w:hAnsi="Times New Roman" w:eastAsia="楷体_GB2312" w:cs="Times New Roman"/>
          <w:b/>
          <w:bCs/>
          <w:sz w:val="20"/>
          <w:szCs w:val="20"/>
        </w:rPr>
        <w:t>涉及争议部分的条款，双方仍须履行。</w:t>
      </w:r>
    </w:p>
    <w:p w14:paraId="059952B1">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九、附则</w:t>
      </w:r>
    </w:p>
    <w:p w14:paraId="5CAF2908">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（一）本协议通过纸质形式签署的，自甲方签署（甲方为自然人的，应签字；甲方为机构或产品的，应加盖机构或产品管理人公章且其法定代表人或授权代表签章）且甲方产品认购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申购份额经乙方确认后生效。本协议通过电子形式签署的，自甲方通过乙方产品的各电子销售渠道（包括直销和代销）在线点击确认或勾选且甲方产品认购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申购份额经乙方确认后生效。甲方知悉并确认，乙方对于甲方认购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申购份额的确认即视为乙方对于本协议的签署和认可，甲方不得以乙方未在本协议上盖章为由主张本协议无效。</w:t>
      </w:r>
    </w:p>
    <w:p w14:paraId="2D669E05">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（二）本协议条款与《信银理财理财产品产品说明书》条款不一致的，以《信银理财理财产品产品说明书》的约定为准。</w:t>
      </w:r>
    </w:p>
    <w:p w14:paraId="18A69594">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（三）如果由于任何原因使本协议下的任何条款或者内容成为无效或者依法被撤销，本协议其他条款或内容的合法性，有效性和可执行性不受影响。</w:t>
      </w:r>
    </w:p>
    <w:p w14:paraId="5B149517">
      <w:pPr>
        <w:spacing w:line="300" w:lineRule="exact"/>
        <w:rPr>
          <w:rFonts w:ascii="Times New Roman" w:hAnsi="Times New Roman" w:eastAsia="楷体_GB2312" w:cs="Times New Roman"/>
          <w:sz w:val="20"/>
          <w:szCs w:val="20"/>
        </w:rPr>
      </w:pPr>
    </w:p>
    <w:p w14:paraId="71CDFF09">
      <w:pPr>
        <w:spacing w:line="300" w:lineRule="exact"/>
        <w:rPr>
          <w:rFonts w:ascii="Times New Roman" w:hAnsi="Times New Roman" w:eastAsia="楷体_GB2312" w:cs="Times New Roman"/>
          <w:sz w:val="20"/>
          <w:szCs w:val="20"/>
        </w:rPr>
      </w:pPr>
    </w:p>
    <w:p w14:paraId="5C5A4502">
      <w:pPr>
        <w:spacing w:line="300" w:lineRule="exact"/>
        <w:rPr>
          <w:rFonts w:ascii="Times New Roman" w:hAnsi="Times New Roman" w:eastAsia="楷体_GB2312" w:cs="Times New Roman"/>
          <w:sz w:val="20"/>
          <w:szCs w:val="20"/>
        </w:rPr>
      </w:pPr>
      <w:r>
        <w:rPr>
          <w:rFonts w:hint="eastAsia" w:ascii="Times New Roman" w:hAnsi="Times New Roman" w:eastAsia="楷体_GB2312" w:cs="Times New Roman"/>
          <w:b/>
          <w:sz w:val="20"/>
          <w:szCs w:val="20"/>
        </w:rPr>
        <w:t>甲方</w:t>
      </w:r>
      <w:r>
        <w:rPr>
          <w:rFonts w:hint="eastAsia" w:ascii="Times New Roman" w:hAnsi="Times New Roman" w:eastAsia="楷体_GB2312" w:cs="Times New Roman"/>
          <w:sz w:val="20"/>
          <w:szCs w:val="20"/>
        </w:rPr>
        <w:t>：个人投资者（签字）</w:t>
      </w:r>
      <w:r>
        <w:rPr>
          <w:rFonts w:ascii="Times New Roman" w:hAnsi="Times New Roman" w:eastAsia="楷体_GB2312" w:cs="Times New Roman"/>
          <w:sz w:val="20"/>
          <w:szCs w:val="20"/>
        </w:rPr>
        <w:t xml:space="preserve">:               </w:t>
      </w:r>
    </w:p>
    <w:p w14:paraId="53509090">
      <w:pPr>
        <w:spacing w:line="300" w:lineRule="exact"/>
        <w:ind w:firstLine="600" w:firstLineChars="300"/>
        <w:rPr>
          <w:rFonts w:ascii="Times New Roman" w:hAnsi="Times New Roman" w:eastAsia="楷体_GB2312" w:cs="Times New Roman"/>
          <w:sz w:val="20"/>
          <w:szCs w:val="20"/>
        </w:rPr>
      </w:pPr>
    </w:p>
    <w:p w14:paraId="775FAFDE">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机构投资者（公章）</w:t>
      </w:r>
      <w:r>
        <w:rPr>
          <w:rFonts w:ascii="Times New Roman" w:hAnsi="Times New Roman" w:eastAsia="楷体_GB2312" w:cs="Times New Roman"/>
          <w:sz w:val="20"/>
          <w:szCs w:val="20"/>
        </w:rPr>
        <w:t xml:space="preserve">:               </w:t>
      </w:r>
    </w:p>
    <w:p w14:paraId="7E76A3D1">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法定代表人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负责人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授权代表（签字</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盖章）：</w:t>
      </w:r>
    </w:p>
    <w:p w14:paraId="3C6C2FAA">
      <w:pPr>
        <w:spacing w:line="300" w:lineRule="exact"/>
        <w:ind w:firstLine="600" w:firstLineChars="300"/>
        <w:rPr>
          <w:rFonts w:ascii="Times New Roman" w:hAnsi="Times New Roman" w:eastAsia="楷体_GB2312" w:cs="Times New Roman"/>
          <w:sz w:val="20"/>
          <w:szCs w:val="20"/>
        </w:rPr>
      </w:pPr>
    </w:p>
    <w:p w14:paraId="3B9413E8">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证件类别（个人投资者）：</w:t>
      </w:r>
      <w:r>
        <w:rPr>
          <w:rFonts w:ascii="Times New Roman" w:hAnsi="Times New Roman" w:eastAsia="楷体_GB2312" w:cs="Times New Roman"/>
          <w:sz w:val="20"/>
          <w:szCs w:val="20"/>
        </w:rPr>
        <w:t xml:space="preserve">             </w:t>
      </w:r>
    </w:p>
    <w:p w14:paraId="09E2D355">
      <w:pPr>
        <w:spacing w:line="300" w:lineRule="exact"/>
        <w:ind w:firstLine="600" w:firstLineChars="300"/>
        <w:rPr>
          <w:rFonts w:ascii="Times New Roman" w:hAnsi="Times New Roman" w:eastAsia="楷体_GB2312" w:cs="Times New Roman"/>
          <w:sz w:val="20"/>
          <w:szCs w:val="20"/>
        </w:rPr>
      </w:pPr>
    </w:p>
    <w:p w14:paraId="41C2BF37">
      <w:pPr>
        <w:spacing w:line="300" w:lineRule="exact"/>
        <w:ind w:left="0" w:leftChars="0" w:right="0" w:rightChars="0" w:firstLine="600" w:firstLineChars="300"/>
        <w:rPr>
          <w:color w:val="000000" w:themeColor="text1"/>
          <w14:textFill>
            <w14:solidFill>
              <w14:schemeClr w14:val="tx1"/>
            </w14:solidFill>
          </w14:textFill>
        </w:rPr>
      </w:pPr>
      <w:r>
        <w:rPr>
          <w:rFonts w:hint="eastAsia" w:ascii="Times New Roman" w:hAnsi="Times New Roman" w:eastAsia="楷体_GB2312" w:cs="Times New Roman"/>
          <w:sz w:val="20"/>
          <w:szCs w:val="20"/>
        </w:rPr>
        <w:t>证件号（个人投资者）：</w:t>
      </w:r>
      <w:r>
        <w:rPr>
          <w:rFonts w:ascii="Times New Roman" w:hAnsi="Times New Roman" w:eastAsia="楷体_GB2312" w:cs="Times New Roman"/>
          <w:sz w:val="20"/>
          <w:szCs w:val="20"/>
        </w:rPr>
        <w:t xml:space="preserve">              </w:t>
      </w:r>
    </w:p>
    <w:sectPr>
      <w:headerReference r:id="rId3" w:type="default"/>
      <w:footerReference r:id="rId4" w:type="default"/>
      <w:pgSz w:w="11906" w:h="16838"/>
      <w:pgMar w:top="1440" w:right="1800" w:bottom="1440" w:left="1800" w:header="851" w:footer="992"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9C789E">
    <w:pPr>
      <w:pStyle w:val="4"/>
      <w:jc w:val="center"/>
      <w:rPr>
        <w:color w:val="000000" w:themeColor="text1"/>
        <w14:textFill>
          <w14:solidFill>
            <w14:schemeClr w14:val="tx1"/>
          </w14:solidFill>
        </w14:textFill>
      </w:rPr>
    </w:pP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第</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15</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Arabic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21</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14:paraId="440F424E">
    <w:pPr>
      <w:pStyle w:val="4"/>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330A9C">
    <w:pPr>
      <w:pStyle w:val="5"/>
      <w:jc w:val="right"/>
    </w:pPr>
    <w:r>
      <w:t xml:space="preserve">                                 理财非存款、产品有风险、投资须谨慎</w:t>
    </w:r>
  </w:p>
  <w:p w14:paraId="0B58A3B9">
    <w:pPr>
      <w:jc w:val="both"/>
      <w:rPr>
        <w:rFonts w:ascii="黑体" w:hAnsi="黑体" w:eastAsia="黑体"/>
        <w:b/>
        <w:color w:val="000000" w:themeColor="text1"/>
        <w:sz w:val="18"/>
        <w:szCs w:val="18"/>
        <w:u w:val="single"/>
        <w14:textFill>
          <w14:solidFill>
            <w14:schemeClr w14:val="tx1"/>
          </w14:solidFill>
        </w14:textFil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dit="trackedChanges" w:enforcement="0"/>
  <w:defaultTabStop w:val="420"/>
  <w:drawingGridHorizontalSpacing w:val="0"/>
  <w:drawingGridVerticalSpacing w:val="0"/>
  <w:displayHorizontalDrawingGridEvery w:val="0"/>
  <w:displayVerticalDrawingGridEvery w:val="2"/>
  <w:characterSpacingControl w:val="doNotCompress"/>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6C6"/>
    <w:rsid w:val="00000D44"/>
    <w:rsid w:val="0000196F"/>
    <w:rsid w:val="00001C03"/>
    <w:rsid w:val="00001DC5"/>
    <w:rsid w:val="00003525"/>
    <w:rsid w:val="00004BEE"/>
    <w:rsid w:val="00006491"/>
    <w:rsid w:val="000112B7"/>
    <w:rsid w:val="000126B2"/>
    <w:rsid w:val="00014B73"/>
    <w:rsid w:val="000155CB"/>
    <w:rsid w:val="000160B3"/>
    <w:rsid w:val="00016C3A"/>
    <w:rsid w:val="0002679A"/>
    <w:rsid w:val="00027122"/>
    <w:rsid w:val="00032F3B"/>
    <w:rsid w:val="00033CE5"/>
    <w:rsid w:val="00035980"/>
    <w:rsid w:val="00035D4E"/>
    <w:rsid w:val="000363A0"/>
    <w:rsid w:val="00036A9C"/>
    <w:rsid w:val="0003776D"/>
    <w:rsid w:val="000426F9"/>
    <w:rsid w:val="00043AA8"/>
    <w:rsid w:val="00044325"/>
    <w:rsid w:val="00044A7F"/>
    <w:rsid w:val="00044D26"/>
    <w:rsid w:val="00047F09"/>
    <w:rsid w:val="00050D87"/>
    <w:rsid w:val="000512BB"/>
    <w:rsid w:val="0005210C"/>
    <w:rsid w:val="0005413C"/>
    <w:rsid w:val="000548A7"/>
    <w:rsid w:val="0005652B"/>
    <w:rsid w:val="00057AF1"/>
    <w:rsid w:val="00060380"/>
    <w:rsid w:val="0006039E"/>
    <w:rsid w:val="0006073B"/>
    <w:rsid w:val="000607E2"/>
    <w:rsid w:val="00060CF8"/>
    <w:rsid w:val="000610D4"/>
    <w:rsid w:val="00061294"/>
    <w:rsid w:val="00062B01"/>
    <w:rsid w:val="00062C0F"/>
    <w:rsid w:val="000637A0"/>
    <w:rsid w:val="00063F74"/>
    <w:rsid w:val="000642FF"/>
    <w:rsid w:val="00064EAD"/>
    <w:rsid w:val="00064EC6"/>
    <w:rsid w:val="000658A0"/>
    <w:rsid w:val="00065A18"/>
    <w:rsid w:val="0006668E"/>
    <w:rsid w:val="000728B5"/>
    <w:rsid w:val="00073BD2"/>
    <w:rsid w:val="00074951"/>
    <w:rsid w:val="00074C93"/>
    <w:rsid w:val="00077050"/>
    <w:rsid w:val="000771DC"/>
    <w:rsid w:val="00080C43"/>
    <w:rsid w:val="000818FE"/>
    <w:rsid w:val="00083FDD"/>
    <w:rsid w:val="000842BB"/>
    <w:rsid w:val="00084A58"/>
    <w:rsid w:val="00084DE7"/>
    <w:rsid w:val="000854AC"/>
    <w:rsid w:val="00085A4A"/>
    <w:rsid w:val="0008615C"/>
    <w:rsid w:val="00086D83"/>
    <w:rsid w:val="00087153"/>
    <w:rsid w:val="0008737E"/>
    <w:rsid w:val="00090945"/>
    <w:rsid w:val="00090A7C"/>
    <w:rsid w:val="000912BC"/>
    <w:rsid w:val="0009250D"/>
    <w:rsid w:val="00092F9D"/>
    <w:rsid w:val="000932A3"/>
    <w:rsid w:val="00093E27"/>
    <w:rsid w:val="00096806"/>
    <w:rsid w:val="00096A3A"/>
    <w:rsid w:val="000971E3"/>
    <w:rsid w:val="000A044F"/>
    <w:rsid w:val="000A0575"/>
    <w:rsid w:val="000A327A"/>
    <w:rsid w:val="000A3596"/>
    <w:rsid w:val="000A3794"/>
    <w:rsid w:val="000A3ED5"/>
    <w:rsid w:val="000A5B13"/>
    <w:rsid w:val="000A7618"/>
    <w:rsid w:val="000B5F5D"/>
    <w:rsid w:val="000C04B7"/>
    <w:rsid w:val="000C0E92"/>
    <w:rsid w:val="000C0EBF"/>
    <w:rsid w:val="000C19F3"/>
    <w:rsid w:val="000C2603"/>
    <w:rsid w:val="000C33FA"/>
    <w:rsid w:val="000C3AF8"/>
    <w:rsid w:val="000C4C04"/>
    <w:rsid w:val="000C57C0"/>
    <w:rsid w:val="000C6B2C"/>
    <w:rsid w:val="000C6FFC"/>
    <w:rsid w:val="000D0148"/>
    <w:rsid w:val="000D1511"/>
    <w:rsid w:val="000D2C6E"/>
    <w:rsid w:val="000D540C"/>
    <w:rsid w:val="000D69C3"/>
    <w:rsid w:val="000D70BA"/>
    <w:rsid w:val="000E07B2"/>
    <w:rsid w:val="000E10B6"/>
    <w:rsid w:val="000E3008"/>
    <w:rsid w:val="000E380F"/>
    <w:rsid w:val="000E59C5"/>
    <w:rsid w:val="000E6792"/>
    <w:rsid w:val="000E7046"/>
    <w:rsid w:val="000F1C10"/>
    <w:rsid w:val="000F1F2E"/>
    <w:rsid w:val="000F26F4"/>
    <w:rsid w:val="000F412B"/>
    <w:rsid w:val="000F7582"/>
    <w:rsid w:val="000F798A"/>
    <w:rsid w:val="00103F63"/>
    <w:rsid w:val="00104F74"/>
    <w:rsid w:val="0010616C"/>
    <w:rsid w:val="00110BCF"/>
    <w:rsid w:val="00110E7B"/>
    <w:rsid w:val="001114CE"/>
    <w:rsid w:val="00112931"/>
    <w:rsid w:val="00112CB3"/>
    <w:rsid w:val="00113152"/>
    <w:rsid w:val="001155EC"/>
    <w:rsid w:val="001157E8"/>
    <w:rsid w:val="00115B02"/>
    <w:rsid w:val="00117652"/>
    <w:rsid w:val="00122C68"/>
    <w:rsid w:val="00123C90"/>
    <w:rsid w:val="00125253"/>
    <w:rsid w:val="001260B9"/>
    <w:rsid w:val="001266EA"/>
    <w:rsid w:val="00126DB3"/>
    <w:rsid w:val="00130901"/>
    <w:rsid w:val="00132E82"/>
    <w:rsid w:val="001339CB"/>
    <w:rsid w:val="0013467D"/>
    <w:rsid w:val="001353DA"/>
    <w:rsid w:val="00136105"/>
    <w:rsid w:val="0014090C"/>
    <w:rsid w:val="001427D7"/>
    <w:rsid w:val="00142C0C"/>
    <w:rsid w:val="00143455"/>
    <w:rsid w:val="001452EC"/>
    <w:rsid w:val="00151544"/>
    <w:rsid w:val="00151D12"/>
    <w:rsid w:val="001521EB"/>
    <w:rsid w:val="001537DC"/>
    <w:rsid w:val="001549C8"/>
    <w:rsid w:val="001576D6"/>
    <w:rsid w:val="001606EE"/>
    <w:rsid w:val="00164277"/>
    <w:rsid w:val="001649F3"/>
    <w:rsid w:val="00167B0D"/>
    <w:rsid w:val="00171827"/>
    <w:rsid w:val="00172A27"/>
    <w:rsid w:val="00172E18"/>
    <w:rsid w:val="00182E25"/>
    <w:rsid w:val="00184D24"/>
    <w:rsid w:val="00184DC0"/>
    <w:rsid w:val="001850A8"/>
    <w:rsid w:val="00186A62"/>
    <w:rsid w:val="00190A62"/>
    <w:rsid w:val="001915B8"/>
    <w:rsid w:val="00191737"/>
    <w:rsid w:val="00194DE7"/>
    <w:rsid w:val="00197081"/>
    <w:rsid w:val="001A2FFC"/>
    <w:rsid w:val="001A30BE"/>
    <w:rsid w:val="001A5283"/>
    <w:rsid w:val="001A71A7"/>
    <w:rsid w:val="001A720A"/>
    <w:rsid w:val="001A73B3"/>
    <w:rsid w:val="001A7BE3"/>
    <w:rsid w:val="001B01FF"/>
    <w:rsid w:val="001B2542"/>
    <w:rsid w:val="001B35C0"/>
    <w:rsid w:val="001B3E8F"/>
    <w:rsid w:val="001B6029"/>
    <w:rsid w:val="001C1F96"/>
    <w:rsid w:val="001C2A78"/>
    <w:rsid w:val="001C36DA"/>
    <w:rsid w:val="001C3D71"/>
    <w:rsid w:val="001C4890"/>
    <w:rsid w:val="001C4C70"/>
    <w:rsid w:val="001C4FAF"/>
    <w:rsid w:val="001C5D78"/>
    <w:rsid w:val="001C6D57"/>
    <w:rsid w:val="001C6F2B"/>
    <w:rsid w:val="001C72BC"/>
    <w:rsid w:val="001D03C4"/>
    <w:rsid w:val="001D176C"/>
    <w:rsid w:val="001D40D2"/>
    <w:rsid w:val="001D48D6"/>
    <w:rsid w:val="001D51DA"/>
    <w:rsid w:val="001E269C"/>
    <w:rsid w:val="001E5D3C"/>
    <w:rsid w:val="001E6503"/>
    <w:rsid w:val="001F6640"/>
    <w:rsid w:val="001F6AE8"/>
    <w:rsid w:val="001F7114"/>
    <w:rsid w:val="001F7597"/>
    <w:rsid w:val="001F76C8"/>
    <w:rsid w:val="001F77A5"/>
    <w:rsid w:val="0020078B"/>
    <w:rsid w:val="00200AAD"/>
    <w:rsid w:val="0020185E"/>
    <w:rsid w:val="00202368"/>
    <w:rsid w:val="00202515"/>
    <w:rsid w:val="0020290B"/>
    <w:rsid w:val="00202E2D"/>
    <w:rsid w:val="00203EAD"/>
    <w:rsid w:val="002046D5"/>
    <w:rsid w:val="0020479E"/>
    <w:rsid w:val="0020493D"/>
    <w:rsid w:val="0020571D"/>
    <w:rsid w:val="00206FE3"/>
    <w:rsid w:val="00210108"/>
    <w:rsid w:val="00211658"/>
    <w:rsid w:val="002121B1"/>
    <w:rsid w:val="00212962"/>
    <w:rsid w:val="00214442"/>
    <w:rsid w:val="002153F5"/>
    <w:rsid w:val="00217384"/>
    <w:rsid w:val="00217805"/>
    <w:rsid w:val="0022225E"/>
    <w:rsid w:val="002255EE"/>
    <w:rsid w:val="00226CD2"/>
    <w:rsid w:val="00226ED1"/>
    <w:rsid w:val="00227275"/>
    <w:rsid w:val="00227A37"/>
    <w:rsid w:val="00227E5E"/>
    <w:rsid w:val="00233296"/>
    <w:rsid w:val="0023369F"/>
    <w:rsid w:val="00233AC8"/>
    <w:rsid w:val="00236C74"/>
    <w:rsid w:val="00236D3D"/>
    <w:rsid w:val="002370EE"/>
    <w:rsid w:val="00242513"/>
    <w:rsid w:val="00245D5A"/>
    <w:rsid w:val="002465F7"/>
    <w:rsid w:val="0025002B"/>
    <w:rsid w:val="002502BE"/>
    <w:rsid w:val="00250C86"/>
    <w:rsid w:val="002518C0"/>
    <w:rsid w:val="00253360"/>
    <w:rsid w:val="00253FDB"/>
    <w:rsid w:val="00254944"/>
    <w:rsid w:val="00254AB2"/>
    <w:rsid w:val="00255F6F"/>
    <w:rsid w:val="00257D24"/>
    <w:rsid w:val="002605F2"/>
    <w:rsid w:val="0026099E"/>
    <w:rsid w:val="00262588"/>
    <w:rsid w:val="00262EFA"/>
    <w:rsid w:val="00263626"/>
    <w:rsid w:val="0026420B"/>
    <w:rsid w:val="00266948"/>
    <w:rsid w:val="00266D74"/>
    <w:rsid w:val="00266F6D"/>
    <w:rsid w:val="00271488"/>
    <w:rsid w:val="00273BD6"/>
    <w:rsid w:val="002754B9"/>
    <w:rsid w:val="002761EB"/>
    <w:rsid w:val="0027693C"/>
    <w:rsid w:val="00277102"/>
    <w:rsid w:val="002808D0"/>
    <w:rsid w:val="00283FB0"/>
    <w:rsid w:val="00287256"/>
    <w:rsid w:val="00287DCD"/>
    <w:rsid w:val="00290755"/>
    <w:rsid w:val="00292667"/>
    <w:rsid w:val="00292E5F"/>
    <w:rsid w:val="00293163"/>
    <w:rsid w:val="00295A54"/>
    <w:rsid w:val="00296187"/>
    <w:rsid w:val="0029634A"/>
    <w:rsid w:val="00296760"/>
    <w:rsid w:val="002969A9"/>
    <w:rsid w:val="002A101B"/>
    <w:rsid w:val="002A118E"/>
    <w:rsid w:val="002A284E"/>
    <w:rsid w:val="002A37AD"/>
    <w:rsid w:val="002A3AB3"/>
    <w:rsid w:val="002A448B"/>
    <w:rsid w:val="002A5E24"/>
    <w:rsid w:val="002A6162"/>
    <w:rsid w:val="002A6FFD"/>
    <w:rsid w:val="002B17F0"/>
    <w:rsid w:val="002B195C"/>
    <w:rsid w:val="002B2EC5"/>
    <w:rsid w:val="002B53E3"/>
    <w:rsid w:val="002B68A0"/>
    <w:rsid w:val="002B7006"/>
    <w:rsid w:val="002B7859"/>
    <w:rsid w:val="002B7874"/>
    <w:rsid w:val="002B7DA9"/>
    <w:rsid w:val="002C0721"/>
    <w:rsid w:val="002C07C8"/>
    <w:rsid w:val="002C0DAE"/>
    <w:rsid w:val="002C0DF5"/>
    <w:rsid w:val="002C17C9"/>
    <w:rsid w:val="002C348D"/>
    <w:rsid w:val="002C3870"/>
    <w:rsid w:val="002C6C6D"/>
    <w:rsid w:val="002C6E82"/>
    <w:rsid w:val="002C7A65"/>
    <w:rsid w:val="002D0DD6"/>
    <w:rsid w:val="002D223E"/>
    <w:rsid w:val="002D2351"/>
    <w:rsid w:val="002D2C5D"/>
    <w:rsid w:val="002D3636"/>
    <w:rsid w:val="002D38B7"/>
    <w:rsid w:val="002D46D0"/>
    <w:rsid w:val="002D67DC"/>
    <w:rsid w:val="002D6E0E"/>
    <w:rsid w:val="002D7249"/>
    <w:rsid w:val="002E0FF1"/>
    <w:rsid w:val="002E1CEB"/>
    <w:rsid w:val="002E3954"/>
    <w:rsid w:val="002E4E91"/>
    <w:rsid w:val="002E5746"/>
    <w:rsid w:val="002F0F28"/>
    <w:rsid w:val="002F14A9"/>
    <w:rsid w:val="002F1A8B"/>
    <w:rsid w:val="002F265B"/>
    <w:rsid w:val="002F320A"/>
    <w:rsid w:val="002F7FA0"/>
    <w:rsid w:val="00301333"/>
    <w:rsid w:val="00304587"/>
    <w:rsid w:val="00306D2D"/>
    <w:rsid w:val="003075EA"/>
    <w:rsid w:val="00307DCB"/>
    <w:rsid w:val="00307EE8"/>
    <w:rsid w:val="00310EC2"/>
    <w:rsid w:val="00311784"/>
    <w:rsid w:val="0031212B"/>
    <w:rsid w:val="00312A2B"/>
    <w:rsid w:val="003132B9"/>
    <w:rsid w:val="003133C9"/>
    <w:rsid w:val="0031533D"/>
    <w:rsid w:val="00316DEC"/>
    <w:rsid w:val="003175C8"/>
    <w:rsid w:val="003211D9"/>
    <w:rsid w:val="00321CAD"/>
    <w:rsid w:val="00321ED4"/>
    <w:rsid w:val="0032334C"/>
    <w:rsid w:val="003242D1"/>
    <w:rsid w:val="003259DD"/>
    <w:rsid w:val="003313E2"/>
    <w:rsid w:val="00331993"/>
    <w:rsid w:val="00332EB9"/>
    <w:rsid w:val="00335B1F"/>
    <w:rsid w:val="003361BF"/>
    <w:rsid w:val="003413CC"/>
    <w:rsid w:val="00344E13"/>
    <w:rsid w:val="003452C4"/>
    <w:rsid w:val="00346433"/>
    <w:rsid w:val="00354663"/>
    <w:rsid w:val="00354FAB"/>
    <w:rsid w:val="00356364"/>
    <w:rsid w:val="003563BB"/>
    <w:rsid w:val="003576A4"/>
    <w:rsid w:val="00361614"/>
    <w:rsid w:val="00362735"/>
    <w:rsid w:val="00363912"/>
    <w:rsid w:val="0036565F"/>
    <w:rsid w:val="00365828"/>
    <w:rsid w:val="0036597B"/>
    <w:rsid w:val="00366351"/>
    <w:rsid w:val="00366D41"/>
    <w:rsid w:val="003709FB"/>
    <w:rsid w:val="00370AD9"/>
    <w:rsid w:val="003722EF"/>
    <w:rsid w:val="003735E5"/>
    <w:rsid w:val="00373CDD"/>
    <w:rsid w:val="0037708C"/>
    <w:rsid w:val="00380548"/>
    <w:rsid w:val="00380C44"/>
    <w:rsid w:val="00381BBC"/>
    <w:rsid w:val="003822F0"/>
    <w:rsid w:val="00382F22"/>
    <w:rsid w:val="0038413F"/>
    <w:rsid w:val="0038563B"/>
    <w:rsid w:val="00386290"/>
    <w:rsid w:val="00387B6D"/>
    <w:rsid w:val="003903BF"/>
    <w:rsid w:val="0039091A"/>
    <w:rsid w:val="00390CFD"/>
    <w:rsid w:val="00391106"/>
    <w:rsid w:val="00392188"/>
    <w:rsid w:val="00392670"/>
    <w:rsid w:val="00392AFF"/>
    <w:rsid w:val="00394EF2"/>
    <w:rsid w:val="003955A1"/>
    <w:rsid w:val="003957BE"/>
    <w:rsid w:val="00396A2B"/>
    <w:rsid w:val="00397ED6"/>
    <w:rsid w:val="003A0843"/>
    <w:rsid w:val="003A0B51"/>
    <w:rsid w:val="003A2BFB"/>
    <w:rsid w:val="003A3A91"/>
    <w:rsid w:val="003A3EC5"/>
    <w:rsid w:val="003B278B"/>
    <w:rsid w:val="003B3842"/>
    <w:rsid w:val="003B4081"/>
    <w:rsid w:val="003B4DB7"/>
    <w:rsid w:val="003B5259"/>
    <w:rsid w:val="003B62CB"/>
    <w:rsid w:val="003B7CAE"/>
    <w:rsid w:val="003C209C"/>
    <w:rsid w:val="003C61BE"/>
    <w:rsid w:val="003C70E3"/>
    <w:rsid w:val="003C727B"/>
    <w:rsid w:val="003C77EF"/>
    <w:rsid w:val="003C7AEF"/>
    <w:rsid w:val="003D3F19"/>
    <w:rsid w:val="003D5992"/>
    <w:rsid w:val="003D6740"/>
    <w:rsid w:val="003D6E7F"/>
    <w:rsid w:val="003D6EB5"/>
    <w:rsid w:val="003E231B"/>
    <w:rsid w:val="003E2E0B"/>
    <w:rsid w:val="003E3698"/>
    <w:rsid w:val="003E53B4"/>
    <w:rsid w:val="003E547A"/>
    <w:rsid w:val="003E6901"/>
    <w:rsid w:val="003E710F"/>
    <w:rsid w:val="003F2084"/>
    <w:rsid w:val="003F3C37"/>
    <w:rsid w:val="003F5CC9"/>
    <w:rsid w:val="003F7F7C"/>
    <w:rsid w:val="00400F04"/>
    <w:rsid w:val="004025B0"/>
    <w:rsid w:val="00403F2B"/>
    <w:rsid w:val="0040426A"/>
    <w:rsid w:val="004043C5"/>
    <w:rsid w:val="004057B9"/>
    <w:rsid w:val="00405B1C"/>
    <w:rsid w:val="00412DD6"/>
    <w:rsid w:val="00412EB7"/>
    <w:rsid w:val="00413B11"/>
    <w:rsid w:val="00415393"/>
    <w:rsid w:val="00415933"/>
    <w:rsid w:val="00415D0E"/>
    <w:rsid w:val="004163B7"/>
    <w:rsid w:val="00420285"/>
    <w:rsid w:val="004202B4"/>
    <w:rsid w:val="004205C0"/>
    <w:rsid w:val="00420C90"/>
    <w:rsid w:val="004210C6"/>
    <w:rsid w:val="00421F37"/>
    <w:rsid w:val="004220BE"/>
    <w:rsid w:val="004243EB"/>
    <w:rsid w:val="00424486"/>
    <w:rsid w:val="00424F9E"/>
    <w:rsid w:val="00426ED5"/>
    <w:rsid w:val="004276D2"/>
    <w:rsid w:val="00430677"/>
    <w:rsid w:val="00431443"/>
    <w:rsid w:val="00433133"/>
    <w:rsid w:val="004349AB"/>
    <w:rsid w:val="00435358"/>
    <w:rsid w:val="00436006"/>
    <w:rsid w:val="00441E3A"/>
    <w:rsid w:val="0044468D"/>
    <w:rsid w:val="00445495"/>
    <w:rsid w:val="00445508"/>
    <w:rsid w:val="004468BE"/>
    <w:rsid w:val="00450D5C"/>
    <w:rsid w:val="0045200A"/>
    <w:rsid w:val="0045444C"/>
    <w:rsid w:val="0045782F"/>
    <w:rsid w:val="004600AE"/>
    <w:rsid w:val="00460930"/>
    <w:rsid w:val="00461A21"/>
    <w:rsid w:val="00463F1F"/>
    <w:rsid w:val="00465DE6"/>
    <w:rsid w:val="004702CE"/>
    <w:rsid w:val="0047057B"/>
    <w:rsid w:val="00470FB6"/>
    <w:rsid w:val="0047108F"/>
    <w:rsid w:val="004713F0"/>
    <w:rsid w:val="0047199F"/>
    <w:rsid w:val="00472722"/>
    <w:rsid w:val="004735EC"/>
    <w:rsid w:val="00475B81"/>
    <w:rsid w:val="00475C7B"/>
    <w:rsid w:val="0048072D"/>
    <w:rsid w:val="00480C2E"/>
    <w:rsid w:val="0048138C"/>
    <w:rsid w:val="0048246F"/>
    <w:rsid w:val="00482619"/>
    <w:rsid w:val="0048455C"/>
    <w:rsid w:val="00487CC8"/>
    <w:rsid w:val="00491D21"/>
    <w:rsid w:val="00491EAE"/>
    <w:rsid w:val="004933E0"/>
    <w:rsid w:val="00493E01"/>
    <w:rsid w:val="00493FBA"/>
    <w:rsid w:val="0049560E"/>
    <w:rsid w:val="00497A0F"/>
    <w:rsid w:val="00497E6F"/>
    <w:rsid w:val="004A045E"/>
    <w:rsid w:val="004A0C4B"/>
    <w:rsid w:val="004A24DD"/>
    <w:rsid w:val="004A382D"/>
    <w:rsid w:val="004A3C1C"/>
    <w:rsid w:val="004A4CB6"/>
    <w:rsid w:val="004A73A9"/>
    <w:rsid w:val="004B0F38"/>
    <w:rsid w:val="004B3BD5"/>
    <w:rsid w:val="004B3E7F"/>
    <w:rsid w:val="004B49C4"/>
    <w:rsid w:val="004B4B7E"/>
    <w:rsid w:val="004B4E0C"/>
    <w:rsid w:val="004B5EE1"/>
    <w:rsid w:val="004B683E"/>
    <w:rsid w:val="004B7645"/>
    <w:rsid w:val="004C0143"/>
    <w:rsid w:val="004C0279"/>
    <w:rsid w:val="004C2BBE"/>
    <w:rsid w:val="004C3474"/>
    <w:rsid w:val="004C46A4"/>
    <w:rsid w:val="004C49DC"/>
    <w:rsid w:val="004C5D6E"/>
    <w:rsid w:val="004D1573"/>
    <w:rsid w:val="004D1EAE"/>
    <w:rsid w:val="004D3168"/>
    <w:rsid w:val="004D3982"/>
    <w:rsid w:val="004D440D"/>
    <w:rsid w:val="004D4C24"/>
    <w:rsid w:val="004D79DB"/>
    <w:rsid w:val="004E0E51"/>
    <w:rsid w:val="004E1E20"/>
    <w:rsid w:val="004E2636"/>
    <w:rsid w:val="004E2B94"/>
    <w:rsid w:val="004E326E"/>
    <w:rsid w:val="004E3690"/>
    <w:rsid w:val="004E3FA9"/>
    <w:rsid w:val="004E7622"/>
    <w:rsid w:val="004E7A67"/>
    <w:rsid w:val="004F08A6"/>
    <w:rsid w:val="004F1681"/>
    <w:rsid w:val="004F23CE"/>
    <w:rsid w:val="004F2C00"/>
    <w:rsid w:val="004F47CE"/>
    <w:rsid w:val="004F49FC"/>
    <w:rsid w:val="004F6BE4"/>
    <w:rsid w:val="0050023D"/>
    <w:rsid w:val="005029E8"/>
    <w:rsid w:val="00503B4E"/>
    <w:rsid w:val="00504DA4"/>
    <w:rsid w:val="00505BE4"/>
    <w:rsid w:val="0050603A"/>
    <w:rsid w:val="0050607E"/>
    <w:rsid w:val="00506276"/>
    <w:rsid w:val="00510E0C"/>
    <w:rsid w:val="005127D4"/>
    <w:rsid w:val="00517930"/>
    <w:rsid w:val="005204CE"/>
    <w:rsid w:val="005220C7"/>
    <w:rsid w:val="005221AA"/>
    <w:rsid w:val="005237D3"/>
    <w:rsid w:val="00524101"/>
    <w:rsid w:val="005251A7"/>
    <w:rsid w:val="00525CB4"/>
    <w:rsid w:val="00526733"/>
    <w:rsid w:val="00527BAE"/>
    <w:rsid w:val="00530FEA"/>
    <w:rsid w:val="00531C79"/>
    <w:rsid w:val="005347A9"/>
    <w:rsid w:val="0053502F"/>
    <w:rsid w:val="00537091"/>
    <w:rsid w:val="00537627"/>
    <w:rsid w:val="00540252"/>
    <w:rsid w:val="00540C44"/>
    <w:rsid w:val="0054113B"/>
    <w:rsid w:val="00542BD1"/>
    <w:rsid w:val="0054435B"/>
    <w:rsid w:val="0054504E"/>
    <w:rsid w:val="00545208"/>
    <w:rsid w:val="00547F06"/>
    <w:rsid w:val="00551A7A"/>
    <w:rsid w:val="005530C9"/>
    <w:rsid w:val="00557038"/>
    <w:rsid w:val="00561499"/>
    <w:rsid w:val="005616A3"/>
    <w:rsid w:val="00562F86"/>
    <w:rsid w:val="0056311A"/>
    <w:rsid w:val="00566105"/>
    <w:rsid w:val="005677B6"/>
    <w:rsid w:val="00567895"/>
    <w:rsid w:val="00570679"/>
    <w:rsid w:val="005733BC"/>
    <w:rsid w:val="00573B2A"/>
    <w:rsid w:val="005755E0"/>
    <w:rsid w:val="00575AA3"/>
    <w:rsid w:val="005769C1"/>
    <w:rsid w:val="005773A9"/>
    <w:rsid w:val="00577699"/>
    <w:rsid w:val="00580CAC"/>
    <w:rsid w:val="00581BEA"/>
    <w:rsid w:val="005828C6"/>
    <w:rsid w:val="00582D53"/>
    <w:rsid w:val="00583D51"/>
    <w:rsid w:val="005862B0"/>
    <w:rsid w:val="005865C3"/>
    <w:rsid w:val="005903F1"/>
    <w:rsid w:val="0059646B"/>
    <w:rsid w:val="00597DBA"/>
    <w:rsid w:val="005A099D"/>
    <w:rsid w:val="005A0E20"/>
    <w:rsid w:val="005A199B"/>
    <w:rsid w:val="005A20DA"/>
    <w:rsid w:val="005A2FE5"/>
    <w:rsid w:val="005A3C8F"/>
    <w:rsid w:val="005A41E3"/>
    <w:rsid w:val="005A4BB1"/>
    <w:rsid w:val="005A4F1E"/>
    <w:rsid w:val="005A5EC0"/>
    <w:rsid w:val="005B0BE3"/>
    <w:rsid w:val="005B1608"/>
    <w:rsid w:val="005B1D91"/>
    <w:rsid w:val="005B26C0"/>
    <w:rsid w:val="005B2BD9"/>
    <w:rsid w:val="005B2DB0"/>
    <w:rsid w:val="005B2FCA"/>
    <w:rsid w:val="005B4B89"/>
    <w:rsid w:val="005C1012"/>
    <w:rsid w:val="005C26A1"/>
    <w:rsid w:val="005C2BE9"/>
    <w:rsid w:val="005C338B"/>
    <w:rsid w:val="005C3873"/>
    <w:rsid w:val="005C42A6"/>
    <w:rsid w:val="005C67EC"/>
    <w:rsid w:val="005C6EF7"/>
    <w:rsid w:val="005C7D77"/>
    <w:rsid w:val="005D039E"/>
    <w:rsid w:val="005D2357"/>
    <w:rsid w:val="005D25FF"/>
    <w:rsid w:val="005D357E"/>
    <w:rsid w:val="005D45A1"/>
    <w:rsid w:val="005D62A3"/>
    <w:rsid w:val="005D756C"/>
    <w:rsid w:val="005E0A11"/>
    <w:rsid w:val="005E4210"/>
    <w:rsid w:val="005E7116"/>
    <w:rsid w:val="005E729A"/>
    <w:rsid w:val="005F076E"/>
    <w:rsid w:val="005F1399"/>
    <w:rsid w:val="005F16A2"/>
    <w:rsid w:val="005F369A"/>
    <w:rsid w:val="005F5CE4"/>
    <w:rsid w:val="005F5F1C"/>
    <w:rsid w:val="005F6EBA"/>
    <w:rsid w:val="00601D9E"/>
    <w:rsid w:val="00603005"/>
    <w:rsid w:val="0060591E"/>
    <w:rsid w:val="00606F08"/>
    <w:rsid w:val="00607679"/>
    <w:rsid w:val="00611B92"/>
    <w:rsid w:val="00612511"/>
    <w:rsid w:val="006130F7"/>
    <w:rsid w:val="00617119"/>
    <w:rsid w:val="006173BA"/>
    <w:rsid w:val="0061743D"/>
    <w:rsid w:val="00621EF3"/>
    <w:rsid w:val="006222B7"/>
    <w:rsid w:val="006223DC"/>
    <w:rsid w:val="006235CB"/>
    <w:rsid w:val="00623A07"/>
    <w:rsid w:val="0062630B"/>
    <w:rsid w:val="00626BED"/>
    <w:rsid w:val="00627679"/>
    <w:rsid w:val="00627B39"/>
    <w:rsid w:val="00630777"/>
    <w:rsid w:val="00631B83"/>
    <w:rsid w:val="0063231F"/>
    <w:rsid w:val="006368D3"/>
    <w:rsid w:val="00637A0A"/>
    <w:rsid w:val="00640235"/>
    <w:rsid w:val="006412AE"/>
    <w:rsid w:val="00646863"/>
    <w:rsid w:val="006509E5"/>
    <w:rsid w:val="00650E7B"/>
    <w:rsid w:val="0065148A"/>
    <w:rsid w:val="0065191B"/>
    <w:rsid w:val="00651DB2"/>
    <w:rsid w:val="006526BE"/>
    <w:rsid w:val="0065402A"/>
    <w:rsid w:val="0065475E"/>
    <w:rsid w:val="00655589"/>
    <w:rsid w:val="00655856"/>
    <w:rsid w:val="00655959"/>
    <w:rsid w:val="0065724F"/>
    <w:rsid w:val="006627C0"/>
    <w:rsid w:val="00662B2A"/>
    <w:rsid w:val="006647C0"/>
    <w:rsid w:val="00664AB0"/>
    <w:rsid w:val="0066536D"/>
    <w:rsid w:val="00665606"/>
    <w:rsid w:val="00665DA1"/>
    <w:rsid w:val="006667FB"/>
    <w:rsid w:val="00666C5E"/>
    <w:rsid w:val="00670261"/>
    <w:rsid w:val="00670CE2"/>
    <w:rsid w:val="00671D41"/>
    <w:rsid w:val="006741B2"/>
    <w:rsid w:val="006748AC"/>
    <w:rsid w:val="00674A3A"/>
    <w:rsid w:val="00675773"/>
    <w:rsid w:val="00680BF4"/>
    <w:rsid w:val="00683ADB"/>
    <w:rsid w:val="00687B21"/>
    <w:rsid w:val="0069257C"/>
    <w:rsid w:val="00692C48"/>
    <w:rsid w:val="0069652B"/>
    <w:rsid w:val="006974C3"/>
    <w:rsid w:val="006975BC"/>
    <w:rsid w:val="006976C9"/>
    <w:rsid w:val="006A07DF"/>
    <w:rsid w:val="006A1119"/>
    <w:rsid w:val="006A19F9"/>
    <w:rsid w:val="006A7AC1"/>
    <w:rsid w:val="006B4B13"/>
    <w:rsid w:val="006B5645"/>
    <w:rsid w:val="006B7649"/>
    <w:rsid w:val="006C0090"/>
    <w:rsid w:val="006C0ABB"/>
    <w:rsid w:val="006C1134"/>
    <w:rsid w:val="006C175C"/>
    <w:rsid w:val="006C1A97"/>
    <w:rsid w:val="006C284C"/>
    <w:rsid w:val="006C4FBC"/>
    <w:rsid w:val="006C5373"/>
    <w:rsid w:val="006C5D6D"/>
    <w:rsid w:val="006C71BD"/>
    <w:rsid w:val="006C774E"/>
    <w:rsid w:val="006D11C9"/>
    <w:rsid w:val="006D380D"/>
    <w:rsid w:val="006D41B2"/>
    <w:rsid w:val="006D621E"/>
    <w:rsid w:val="006D70AD"/>
    <w:rsid w:val="006D78A9"/>
    <w:rsid w:val="006D7DF5"/>
    <w:rsid w:val="006E0C09"/>
    <w:rsid w:val="006E0F1E"/>
    <w:rsid w:val="006E10CF"/>
    <w:rsid w:val="006E308C"/>
    <w:rsid w:val="006E30F2"/>
    <w:rsid w:val="006E3116"/>
    <w:rsid w:val="006E4B6F"/>
    <w:rsid w:val="006E4D8B"/>
    <w:rsid w:val="006E730A"/>
    <w:rsid w:val="006F04C3"/>
    <w:rsid w:val="006F04C6"/>
    <w:rsid w:val="006F0E73"/>
    <w:rsid w:val="006F166D"/>
    <w:rsid w:val="006F1790"/>
    <w:rsid w:val="006F4028"/>
    <w:rsid w:val="006F415D"/>
    <w:rsid w:val="006F692A"/>
    <w:rsid w:val="00701D14"/>
    <w:rsid w:val="00701D1A"/>
    <w:rsid w:val="0070335C"/>
    <w:rsid w:val="007075DF"/>
    <w:rsid w:val="0071213F"/>
    <w:rsid w:val="00712DEB"/>
    <w:rsid w:val="00712DF4"/>
    <w:rsid w:val="007146CC"/>
    <w:rsid w:val="007160F3"/>
    <w:rsid w:val="00716F0D"/>
    <w:rsid w:val="00720700"/>
    <w:rsid w:val="0072217D"/>
    <w:rsid w:val="00722807"/>
    <w:rsid w:val="0072328E"/>
    <w:rsid w:val="00724020"/>
    <w:rsid w:val="0072578C"/>
    <w:rsid w:val="00726055"/>
    <w:rsid w:val="007271E2"/>
    <w:rsid w:val="00731B32"/>
    <w:rsid w:val="0073319B"/>
    <w:rsid w:val="00733458"/>
    <w:rsid w:val="00733D84"/>
    <w:rsid w:val="007341D7"/>
    <w:rsid w:val="0073572E"/>
    <w:rsid w:val="00736C6D"/>
    <w:rsid w:val="00742D4B"/>
    <w:rsid w:val="00743001"/>
    <w:rsid w:val="007439E8"/>
    <w:rsid w:val="00747AD7"/>
    <w:rsid w:val="00747EE7"/>
    <w:rsid w:val="00747F07"/>
    <w:rsid w:val="007535A2"/>
    <w:rsid w:val="00755E0B"/>
    <w:rsid w:val="00756E6B"/>
    <w:rsid w:val="007574A2"/>
    <w:rsid w:val="0076007B"/>
    <w:rsid w:val="007605BD"/>
    <w:rsid w:val="0076099D"/>
    <w:rsid w:val="007618D4"/>
    <w:rsid w:val="00762E9A"/>
    <w:rsid w:val="007634BA"/>
    <w:rsid w:val="00764467"/>
    <w:rsid w:val="00765762"/>
    <w:rsid w:val="00765D62"/>
    <w:rsid w:val="00766900"/>
    <w:rsid w:val="007709FB"/>
    <w:rsid w:val="00770AED"/>
    <w:rsid w:val="0077131D"/>
    <w:rsid w:val="0077233F"/>
    <w:rsid w:val="00772F06"/>
    <w:rsid w:val="00773EF6"/>
    <w:rsid w:val="0077550E"/>
    <w:rsid w:val="007808F5"/>
    <w:rsid w:val="00781A2A"/>
    <w:rsid w:val="00782433"/>
    <w:rsid w:val="00782961"/>
    <w:rsid w:val="00782BD3"/>
    <w:rsid w:val="00783598"/>
    <w:rsid w:val="00783654"/>
    <w:rsid w:val="0078380F"/>
    <w:rsid w:val="00784653"/>
    <w:rsid w:val="007851DF"/>
    <w:rsid w:val="00786149"/>
    <w:rsid w:val="00786BE9"/>
    <w:rsid w:val="007902BE"/>
    <w:rsid w:val="007905D3"/>
    <w:rsid w:val="007909B9"/>
    <w:rsid w:val="00790CC2"/>
    <w:rsid w:val="0079138E"/>
    <w:rsid w:val="007929F7"/>
    <w:rsid w:val="00792E50"/>
    <w:rsid w:val="007A1863"/>
    <w:rsid w:val="007A21A1"/>
    <w:rsid w:val="007A2FFD"/>
    <w:rsid w:val="007A38A6"/>
    <w:rsid w:val="007A4008"/>
    <w:rsid w:val="007A792C"/>
    <w:rsid w:val="007A79D6"/>
    <w:rsid w:val="007A7B18"/>
    <w:rsid w:val="007B05FD"/>
    <w:rsid w:val="007B0FB2"/>
    <w:rsid w:val="007B16F7"/>
    <w:rsid w:val="007B37FA"/>
    <w:rsid w:val="007B5B47"/>
    <w:rsid w:val="007B7D9D"/>
    <w:rsid w:val="007C2C0B"/>
    <w:rsid w:val="007C2FC3"/>
    <w:rsid w:val="007C3128"/>
    <w:rsid w:val="007C3B98"/>
    <w:rsid w:val="007C4EA6"/>
    <w:rsid w:val="007D0A11"/>
    <w:rsid w:val="007D1EC7"/>
    <w:rsid w:val="007D7593"/>
    <w:rsid w:val="007E043B"/>
    <w:rsid w:val="007E04C1"/>
    <w:rsid w:val="007E1068"/>
    <w:rsid w:val="007E29BB"/>
    <w:rsid w:val="007E3841"/>
    <w:rsid w:val="007E6676"/>
    <w:rsid w:val="007E7634"/>
    <w:rsid w:val="007F094F"/>
    <w:rsid w:val="007F0B7D"/>
    <w:rsid w:val="007F287A"/>
    <w:rsid w:val="007F52AA"/>
    <w:rsid w:val="007F7379"/>
    <w:rsid w:val="007F779B"/>
    <w:rsid w:val="00800062"/>
    <w:rsid w:val="0080146A"/>
    <w:rsid w:val="00801C95"/>
    <w:rsid w:val="00803588"/>
    <w:rsid w:val="00803B53"/>
    <w:rsid w:val="00803C1D"/>
    <w:rsid w:val="008048AB"/>
    <w:rsid w:val="00805AE9"/>
    <w:rsid w:val="00806515"/>
    <w:rsid w:val="008069CD"/>
    <w:rsid w:val="0080753F"/>
    <w:rsid w:val="00807588"/>
    <w:rsid w:val="008077EC"/>
    <w:rsid w:val="00807CA4"/>
    <w:rsid w:val="00810BD4"/>
    <w:rsid w:val="00815CD7"/>
    <w:rsid w:val="00816DF3"/>
    <w:rsid w:val="008178C4"/>
    <w:rsid w:val="00820B08"/>
    <w:rsid w:val="00821110"/>
    <w:rsid w:val="00821D35"/>
    <w:rsid w:val="00822EB0"/>
    <w:rsid w:val="008241B9"/>
    <w:rsid w:val="008247C2"/>
    <w:rsid w:val="0082485C"/>
    <w:rsid w:val="008248E5"/>
    <w:rsid w:val="00824EDA"/>
    <w:rsid w:val="008276D5"/>
    <w:rsid w:val="0083053C"/>
    <w:rsid w:val="00831228"/>
    <w:rsid w:val="008328F6"/>
    <w:rsid w:val="00832BAC"/>
    <w:rsid w:val="008342FE"/>
    <w:rsid w:val="00834740"/>
    <w:rsid w:val="0083530F"/>
    <w:rsid w:val="00835642"/>
    <w:rsid w:val="008357D1"/>
    <w:rsid w:val="00837988"/>
    <w:rsid w:val="00837AA9"/>
    <w:rsid w:val="00842495"/>
    <w:rsid w:val="008424E6"/>
    <w:rsid w:val="008437E9"/>
    <w:rsid w:val="008466DD"/>
    <w:rsid w:val="00847469"/>
    <w:rsid w:val="00847971"/>
    <w:rsid w:val="00850703"/>
    <w:rsid w:val="0085303E"/>
    <w:rsid w:val="008548FE"/>
    <w:rsid w:val="00857D7A"/>
    <w:rsid w:val="00860EDD"/>
    <w:rsid w:val="008619AD"/>
    <w:rsid w:val="00863ADD"/>
    <w:rsid w:val="00864636"/>
    <w:rsid w:val="00865BAE"/>
    <w:rsid w:val="0086720D"/>
    <w:rsid w:val="00867B11"/>
    <w:rsid w:val="008734E7"/>
    <w:rsid w:val="00873F3A"/>
    <w:rsid w:val="008802D9"/>
    <w:rsid w:val="008802E0"/>
    <w:rsid w:val="00882723"/>
    <w:rsid w:val="008829FC"/>
    <w:rsid w:val="00882FCC"/>
    <w:rsid w:val="0088574C"/>
    <w:rsid w:val="008859E1"/>
    <w:rsid w:val="008876D2"/>
    <w:rsid w:val="008906E1"/>
    <w:rsid w:val="00890816"/>
    <w:rsid w:val="00890D1C"/>
    <w:rsid w:val="0089154C"/>
    <w:rsid w:val="00891A87"/>
    <w:rsid w:val="008A0CA2"/>
    <w:rsid w:val="008A2CDF"/>
    <w:rsid w:val="008A39D6"/>
    <w:rsid w:val="008A411C"/>
    <w:rsid w:val="008A4906"/>
    <w:rsid w:val="008A4B55"/>
    <w:rsid w:val="008A6EBC"/>
    <w:rsid w:val="008A783D"/>
    <w:rsid w:val="008A7EB4"/>
    <w:rsid w:val="008B06B0"/>
    <w:rsid w:val="008B1F4C"/>
    <w:rsid w:val="008B2747"/>
    <w:rsid w:val="008B2B11"/>
    <w:rsid w:val="008B4408"/>
    <w:rsid w:val="008B4CCC"/>
    <w:rsid w:val="008B52FB"/>
    <w:rsid w:val="008B5BC5"/>
    <w:rsid w:val="008B7931"/>
    <w:rsid w:val="008C1224"/>
    <w:rsid w:val="008C2067"/>
    <w:rsid w:val="008C33C9"/>
    <w:rsid w:val="008C390D"/>
    <w:rsid w:val="008C5AA5"/>
    <w:rsid w:val="008C5B3C"/>
    <w:rsid w:val="008C6EB3"/>
    <w:rsid w:val="008D437D"/>
    <w:rsid w:val="008D50F2"/>
    <w:rsid w:val="008D5779"/>
    <w:rsid w:val="008D6F47"/>
    <w:rsid w:val="008D742F"/>
    <w:rsid w:val="008D7679"/>
    <w:rsid w:val="008E0B45"/>
    <w:rsid w:val="008E1358"/>
    <w:rsid w:val="008E2351"/>
    <w:rsid w:val="008E3191"/>
    <w:rsid w:val="008E5E61"/>
    <w:rsid w:val="008E796F"/>
    <w:rsid w:val="008E7AC3"/>
    <w:rsid w:val="008F1276"/>
    <w:rsid w:val="008F17D6"/>
    <w:rsid w:val="008F2378"/>
    <w:rsid w:val="008F473B"/>
    <w:rsid w:val="008F4915"/>
    <w:rsid w:val="008F5554"/>
    <w:rsid w:val="00900C38"/>
    <w:rsid w:val="00902206"/>
    <w:rsid w:val="00903D64"/>
    <w:rsid w:val="00904330"/>
    <w:rsid w:val="00904916"/>
    <w:rsid w:val="009105DF"/>
    <w:rsid w:val="00911440"/>
    <w:rsid w:val="009136A2"/>
    <w:rsid w:val="009146B0"/>
    <w:rsid w:val="00916142"/>
    <w:rsid w:val="00916769"/>
    <w:rsid w:val="0092093A"/>
    <w:rsid w:val="009210DA"/>
    <w:rsid w:val="00922284"/>
    <w:rsid w:val="009238E1"/>
    <w:rsid w:val="00924A90"/>
    <w:rsid w:val="009252A0"/>
    <w:rsid w:val="009252DC"/>
    <w:rsid w:val="00925A45"/>
    <w:rsid w:val="00925ABF"/>
    <w:rsid w:val="00926170"/>
    <w:rsid w:val="00930C38"/>
    <w:rsid w:val="0093120E"/>
    <w:rsid w:val="00931A97"/>
    <w:rsid w:val="00934714"/>
    <w:rsid w:val="00935DD4"/>
    <w:rsid w:val="00940B4D"/>
    <w:rsid w:val="009421CA"/>
    <w:rsid w:val="009437CB"/>
    <w:rsid w:val="00944077"/>
    <w:rsid w:val="00944564"/>
    <w:rsid w:val="0094593C"/>
    <w:rsid w:val="00951827"/>
    <w:rsid w:val="009525FD"/>
    <w:rsid w:val="009561B3"/>
    <w:rsid w:val="00956597"/>
    <w:rsid w:val="00961F75"/>
    <w:rsid w:val="009647FC"/>
    <w:rsid w:val="0096558D"/>
    <w:rsid w:val="00965700"/>
    <w:rsid w:val="009674D8"/>
    <w:rsid w:val="00967A57"/>
    <w:rsid w:val="0097118F"/>
    <w:rsid w:val="0097254F"/>
    <w:rsid w:val="00973F7A"/>
    <w:rsid w:val="00974963"/>
    <w:rsid w:val="0097502E"/>
    <w:rsid w:val="00975A17"/>
    <w:rsid w:val="0097694B"/>
    <w:rsid w:val="00976AFC"/>
    <w:rsid w:val="00977330"/>
    <w:rsid w:val="00977354"/>
    <w:rsid w:val="00984988"/>
    <w:rsid w:val="00985402"/>
    <w:rsid w:val="00986603"/>
    <w:rsid w:val="00986EBC"/>
    <w:rsid w:val="00987855"/>
    <w:rsid w:val="00990416"/>
    <w:rsid w:val="00991685"/>
    <w:rsid w:val="009927D5"/>
    <w:rsid w:val="00994FCB"/>
    <w:rsid w:val="00995489"/>
    <w:rsid w:val="00996D44"/>
    <w:rsid w:val="00997ADB"/>
    <w:rsid w:val="009A18DB"/>
    <w:rsid w:val="009A303C"/>
    <w:rsid w:val="009A45FE"/>
    <w:rsid w:val="009A4690"/>
    <w:rsid w:val="009A489C"/>
    <w:rsid w:val="009A51C5"/>
    <w:rsid w:val="009A675F"/>
    <w:rsid w:val="009A6C99"/>
    <w:rsid w:val="009A77B9"/>
    <w:rsid w:val="009B38D1"/>
    <w:rsid w:val="009B3CC6"/>
    <w:rsid w:val="009B56EF"/>
    <w:rsid w:val="009B6B54"/>
    <w:rsid w:val="009B6D89"/>
    <w:rsid w:val="009B7656"/>
    <w:rsid w:val="009C0046"/>
    <w:rsid w:val="009C0C53"/>
    <w:rsid w:val="009C0D3A"/>
    <w:rsid w:val="009C0DD8"/>
    <w:rsid w:val="009C187E"/>
    <w:rsid w:val="009C1DC1"/>
    <w:rsid w:val="009C24DC"/>
    <w:rsid w:val="009C367E"/>
    <w:rsid w:val="009C4D47"/>
    <w:rsid w:val="009C5CA1"/>
    <w:rsid w:val="009C61F2"/>
    <w:rsid w:val="009C6E8C"/>
    <w:rsid w:val="009D02B9"/>
    <w:rsid w:val="009D3197"/>
    <w:rsid w:val="009D4B49"/>
    <w:rsid w:val="009E18BD"/>
    <w:rsid w:val="009E253B"/>
    <w:rsid w:val="009E6C2C"/>
    <w:rsid w:val="009E74E9"/>
    <w:rsid w:val="009F0713"/>
    <w:rsid w:val="009F2387"/>
    <w:rsid w:val="009F3A6B"/>
    <w:rsid w:val="009F4DDF"/>
    <w:rsid w:val="009F5C6A"/>
    <w:rsid w:val="009F63BA"/>
    <w:rsid w:val="009F7493"/>
    <w:rsid w:val="009F7E21"/>
    <w:rsid w:val="00A009A8"/>
    <w:rsid w:val="00A037C9"/>
    <w:rsid w:val="00A04383"/>
    <w:rsid w:val="00A05548"/>
    <w:rsid w:val="00A11C2A"/>
    <w:rsid w:val="00A123E3"/>
    <w:rsid w:val="00A13F92"/>
    <w:rsid w:val="00A15FD3"/>
    <w:rsid w:val="00A1651C"/>
    <w:rsid w:val="00A167A3"/>
    <w:rsid w:val="00A16D0B"/>
    <w:rsid w:val="00A16E9F"/>
    <w:rsid w:val="00A17DCA"/>
    <w:rsid w:val="00A21691"/>
    <w:rsid w:val="00A217CD"/>
    <w:rsid w:val="00A22514"/>
    <w:rsid w:val="00A22533"/>
    <w:rsid w:val="00A2361C"/>
    <w:rsid w:val="00A2391B"/>
    <w:rsid w:val="00A25672"/>
    <w:rsid w:val="00A26E51"/>
    <w:rsid w:val="00A271B6"/>
    <w:rsid w:val="00A322DE"/>
    <w:rsid w:val="00A33A66"/>
    <w:rsid w:val="00A33A98"/>
    <w:rsid w:val="00A3557B"/>
    <w:rsid w:val="00A35D39"/>
    <w:rsid w:val="00A36D31"/>
    <w:rsid w:val="00A408EB"/>
    <w:rsid w:val="00A40EFC"/>
    <w:rsid w:val="00A40F80"/>
    <w:rsid w:val="00A4272A"/>
    <w:rsid w:val="00A45DE0"/>
    <w:rsid w:val="00A46540"/>
    <w:rsid w:val="00A52506"/>
    <w:rsid w:val="00A53B68"/>
    <w:rsid w:val="00A54BA1"/>
    <w:rsid w:val="00A54CF5"/>
    <w:rsid w:val="00A56C74"/>
    <w:rsid w:val="00A61C27"/>
    <w:rsid w:val="00A632C2"/>
    <w:rsid w:val="00A6470A"/>
    <w:rsid w:val="00A65794"/>
    <w:rsid w:val="00A700B0"/>
    <w:rsid w:val="00A7040A"/>
    <w:rsid w:val="00A74E7A"/>
    <w:rsid w:val="00A7596B"/>
    <w:rsid w:val="00A75EE9"/>
    <w:rsid w:val="00A7690D"/>
    <w:rsid w:val="00A77CC1"/>
    <w:rsid w:val="00A84324"/>
    <w:rsid w:val="00A8483D"/>
    <w:rsid w:val="00A86923"/>
    <w:rsid w:val="00A87ABC"/>
    <w:rsid w:val="00A903C9"/>
    <w:rsid w:val="00A90C5B"/>
    <w:rsid w:val="00A90F6A"/>
    <w:rsid w:val="00A90F99"/>
    <w:rsid w:val="00A91ECB"/>
    <w:rsid w:val="00A9276D"/>
    <w:rsid w:val="00A930C7"/>
    <w:rsid w:val="00A93BF6"/>
    <w:rsid w:val="00A956AD"/>
    <w:rsid w:val="00AA13F8"/>
    <w:rsid w:val="00AA2E4C"/>
    <w:rsid w:val="00AA3BFD"/>
    <w:rsid w:val="00AA5CB2"/>
    <w:rsid w:val="00AA643C"/>
    <w:rsid w:val="00AB0CBF"/>
    <w:rsid w:val="00AB268C"/>
    <w:rsid w:val="00AB29D0"/>
    <w:rsid w:val="00AB30EC"/>
    <w:rsid w:val="00AB3B1E"/>
    <w:rsid w:val="00AB4C0B"/>
    <w:rsid w:val="00AB5DF7"/>
    <w:rsid w:val="00AC2BE4"/>
    <w:rsid w:val="00AC37F5"/>
    <w:rsid w:val="00AC4A02"/>
    <w:rsid w:val="00AC71C0"/>
    <w:rsid w:val="00AD0D6B"/>
    <w:rsid w:val="00AD1722"/>
    <w:rsid w:val="00AD1FE5"/>
    <w:rsid w:val="00AD206B"/>
    <w:rsid w:val="00AD3163"/>
    <w:rsid w:val="00AD5938"/>
    <w:rsid w:val="00AD5C44"/>
    <w:rsid w:val="00AE158D"/>
    <w:rsid w:val="00AE1A21"/>
    <w:rsid w:val="00AE22BA"/>
    <w:rsid w:val="00AE3747"/>
    <w:rsid w:val="00AE4E72"/>
    <w:rsid w:val="00AE6247"/>
    <w:rsid w:val="00AE6718"/>
    <w:rsid w:val="00AE6808"/>
    <w:rsid w:val="00AE7012"/>
    <w:rsid w:val="00AF0557"/>
    <w:rsid w:val="00AF0C5C"/>
    <w:rsid w:val="00AF2C00"/>
    <w:rsid w:val="00AF2D3A"/>
    <w:rsid w:val="00AF3A2F"/>
    <w:rsid w:val="00AF3C89"/>
    <w:rsid w:val="00AF660D"/>
    <w:rsid w:val="00AF7872"/>
    <w:rsid w:val="00AF7BEC"/>
    <w:rsid w:val="00B00A25"/>
    <w:rsid w:val="00B03631"/>
    <w:rsid w:val="00B04414"/>
    <w:rsid w:val="00B04D83"/>
    <w:rsid w:val="00B05BE6"/>
    <w:rsid w:val="00B07607"/>
    <w:rsid w:val="00B100CE"/>
    <w:rsid w:val="00B11419"/>
    <w:rsid w:val="00B1183E"/>
    <w:rsid w:val="00B140C3"/>
    <w:rsid w:val="00B1731F"/>
    <w:rsid w:val="00B17FC5"/>
    <w:rsid w:val="00B20513"/>
    <w:rsid w:val="00B21109"/>
    <w:rsid w:val="00B230BA"/>
    <w:rsid w:val="00B24B2B"/>
    <w:rsid w:val="00B2555E"/>
    <w:rsid w:val="00B27A3E"/>
    <w:rsid w:val="00B30613"/>
    <w:rsid w:val="00B3200F"/>
    <w:rsid w:val="00B331C0"/>
    <w:rsid w:val="00B3407C"/>
    <w:rsid w:val="00B35F6D"/>
    <w:rsid w:val="00B40410"/>
    <w:rsid w:val="00B41274"/>
    <w:rsid w:val="00B416CA"/>
    <w:rsid w:val="00B417BD"/>
    <w:rsid w:val="00B41994"/>
    <w:rsid w:val="00B42CDD"/>
    <w:rsid w:val="00B45671"/>
    <w:rsid w:val="00B51166"/>
    <w:rsid w:val="00B5193E"/>
    <w:rsid w:val="00B5267D"/>
    <w:rsid w:val="00B55E40"/>
    <w:rsid w:val="00B6066D"/>
    <w:rsid w:val="00B609AF"/>
    <w:rsid w:val="00B6170E"/>
    <w:rsid w:val="00B627D4"/>
    <w:rsid w:val="00B64EEB"/>
    <w:rsid w:val="00B65C11"/>
    <w:rsid w:val="00B65E51"/>
    <w:rsid w:val="00B673C1"/>
    <w:rsid w:val="00B7025F"/>
    <w:rsid w:val="00B70461"/>
    <w:rsid w:val="00B71490"/>
    <w:rsid w:val="00B72C4F"/>
    <w:rsid w:val="00B75B5B"/>
    <w:rsid w:val="00B75F05"/>
    <w:rsid w:val="00B7611D"/>
    <w:rsid w:val="00B76E5A"/>
    <w:rsid w:val="00B77E4F"/>
    <w:rsid w:val="00B80717"/>
    <w:rsid w:val="00B81A6D"/>
    <w:rsid w:val="00B8302F"/>
    <w:rsid w:val="00B83367"/>
    <w:rsid w:val="00B844D7"/>
    <w:rsid w:val="00B8483F"/>
    <w:rsid w:val="00B85ECF"/>
    <w:rsid w:val="00B90964"/>
    <w:rsid w:val="00B92D59"/>
    <w:rsid w:val="00B95A27"/>
    <w:rsid w:val="00B96B8F"/>
    <w:rsid w:val="00B9728F"/>
    <w:rsid w:val="00BA02EB"/>
    <w:rsid w:val="00BA03A6"/>
    <w:rsid w:val="00BA43AC"/>
    <w:rsid w:val="00BA707B"/>
    <w:rsid w:val="00BB0C5E"/>
    <w:rsid w:val="00BB1C90"/>
    <w:rsid w:val="00BB3AC1"/>
    <w:rsid w:val="00BB3D31"/>
    <w:rsid w:val="00BB56E1"/>
    <w:rsid w:val="00BB6914"/>
    <w:rsid w:val="00BB7026"/>
    <w:rsid w:val="00BB78FE"/>
    <w:rsid w:val="00BB7B35"/>
    <w:rsid w:val="00BC0F00"/>
    <w:rsid w:val="00BC4F45"/>
    <w:rsid w:val="00BC641A"/>
    <w:rsid w:val="00BC7731"/>
    <w:rsid w:val="00BC7AB3"/>
    <w:rsid w:val="00BC7F2E"/>
    <w:rsid w:val="00BD1B90"/>
    <w:rsid w:val="00BD4F2A"/>
    <w:rsid w:val="00BD6055"/>
    <w:rsid w:val="00BD60FE"/>
    <w:rsid w:val="00BE0C23"/>
    <w:rsid w:val="00BE3245"/>
    <w:rsid w:val="00BE5733"/>
    <w:rsid w:val="00BE6AF6"/>
    <w:rsid w:val="00BF06E1"/>
    <w:rsid w:val="00BF1BF1"/>
    <w:rsid w:val="00BF23C0"/>
    <w:rsid w:val="00BF272B"/>
    <w:rsid w:val="00BF2FC4"/>
    <w:rsid w:val="00BF3591"/>
    <w:rsid w:val="00BF3DDB"/>
    <w:rsid w:val="00BF5419"/>
    <w:rsid w:val="00BF7E48"/>
    <w:rsid w:val="00C0010B"/>
    <w:rsid w:val="00C02A0B"/>
    <w:rsid w:val="00C03CF5"/>
    <w:rsid w:val="00C045A6"/>
    <w:rsid w:val="00C04640"/>
    <w:rsid w:val="00C04E3C"/>
    <w:rsid w:val="00C05C2D"/>
    <w:rsid w:val="00C07363"/>
    <w:rsid w:val="00C10AA1"/>
    <w:rsid w:val="00C127EB"/>
    <w:rsid w:val="00C15EB3"/>
    <w:rsid w:val="00C169CF"/>
    <w:rsid w:val="00C2022D"/>
    <w:rsid w:val="00C209E9"/>
    <w:rsid w:val="00C2349F"/>
    <w:rsid w:val="00C2365D"/>
    <w:rsid w:val="00C24BE4"/>
    <w:rsid w:val="00C24C09"/>
    <w:rsid w:val="00C24C46"/>
    <w:rsid w:val="00C24E0C"/>
    <w:rsid w:val="00C250C7"/>
    <w:rsid w:val="00C26961"/>
    <w:rsid w:val="00C26F36"/>
    <w:rsid w:val="00C27CD0"/>
    <w:rsid w:val="00C31EE4"/>
    <w:rsid w:val="00C32C0D"/>
    <w:rsid w:val="00C32F38"/>
    <w:rsid w:val="00C42069"/>
    <w:rsid w:val="00C43848"/>
    <w:rsid w:val="00C456AC"/>
    <w:rsid w:val="00C46031"/>
    <w:rsid w:val="00C4764F"/>
    <w:rsid w:val="00C476AD"/>
    <w:rsid w:val="00C47CDE"/>
    <w:rsid w:val="00C53922"/>
    <w:rsid w:val="00C53A4A"/>
    <w:rsid w:val="00C54066"/>
    <w:rsid w:val="00C5434D"/>
    <w:rsid w:val="00C5458A"/>
    <w:rsid w:val="00C55661"/>
    <w:rsid w:val="00C617F7"/>
    <w:rsid w:val="00C63943"/>
    <w:rsid w:val="00C6515B"/>
    <w:rsid w:val="00C65322"/>
    <w:rsid w:val="00C66210"/>
    <w:rsid w:val="00C66250"/>
    <w:rsid w:val="00C678A9"/>
    <w:rsid w:val="00C67C43"/>
    <w:rsid w:val="00C710C7"/>
    <w:rsid w:val="00C71B36"/>
    <w:rsid w:val="00C762BF"/>
    <w:rsid w:val="00C76545"/>
    <w:rsid w:val="00C76797"/>
    <w:rsid w:val="00C76FCE"/>
    <w:rsid w:val="00C8401A"/>
    <w:rsid w:val="00C86416"/>
    <w:rsid w:val="00C86EA9"/>
    <w:rsid w:val="00C87A50"/>
    <w:rsid w:val="00C9016C"/>
    <w:rsid w:val="00C9083D"/>
    <w:rsid w:val="00C911BB"/>
    <w:rsid w:val="00C9257D"/>
    <w:rsid w:val="00C92B5D"/>
    <w:rsid w:val="00C92F79"/>
    <w:rsid w:val="00C966AE"/>
    <w:rsid w:val="00CA0C12"/>
    <w:rsid w:val="00CA482C"/>
    <w:rsid w:val="00CA544C"/>
    <w:rsid w:val="00CA6D9A"/>
    <w:rsid w:val="00CA7E73"/>
    <w:rsid w:val="00CB0E52"/>
    <w:rsid w:val="00CB3E45"/>
    <w:rsid w:val="00CB4E16"/>
    <w:rsid w:val="00CB66AB"/>
    <w:rsid w:val="00CB6FB9"/>
    <w:rsid w:val="00CB71A8"/>
    <w:rsid w:val="00CC0210"/>
    <w:rsid w:val="00CC241D"/>
    <w:rsid w:val="00CC2725"/>
    <w:rsid w:val="00CC2D86"/>
    <w:rsid w:val="00CC3A96"/>
    <w:rsid w:val="00CC728D"/>
    <w:rsid w:val="00CD2E7A"/>
    <w:rsid w:val="00CD3E47"/>
    <w:rsid w:val="00CD4914"/>
    <w:rsid w:val="00CE02E7"/>
    <w:rsid w:val="00CE1F49"/>
    <w:rsid w:val="00CE3DC3"/>
    <w:rsid w:val="00CE4AAE"/>
    <w:rsid w:val="00CE52D2"/>
    <w:rsid w:val="00CE5890"/>
    <w:rsid w:val="00CE5ED0"/>
    <w:rsid w:val="00CE654A"/>
    <w:rsid w:val="00CE7DD2"/>
    <w:rsid w:val="00CF1E75"/>
    <w:rsid w:val="00CF2634"/>
    <w:rsid w:val="00CF3B5D"/>
    <w:rsid w:val="00CF473D"/>
    <w:rsid w:val="00CF5444"/>
    <w:rsid w:val="00CF5A8D"/>
    <w:rsid w:val="00CF60CB"/>
    <w:rsid w:val="00CF7603"/>
    <w:rsid w:val="00CF77C4"/>
    <w:rsid w:val="00D014B0"/>
    <w:rsid w:val="00D01C4E"/>
    <w:rsid w:val="00D043FD"/>
    <w:rsid w:val="00D072CD"/>
    <w:rsid w:val="00D1009C"/>
    <w:rsid w:val="00D10C8B"/>
    <w:rsid w:val="00D11AA0"/>
    <w:rsid w:val="00D12AA9"/>
    <w:rsid w:val="00D13547"/>
    <w:rsid w:val="00D15CEF"/>
    <w:rsid w:val="00D1615C"/>
    <w:rsid w:val="00D16BA4"/>
    <w:rsid w:val="00D16F9F"/>
    <w:rsid w:val="00D17DC8"/>
    <w:rsid w:val="00D200C6"/>
    <w:rsid w:val="00D20828"/>
    <w:rsid w:val="00D20B2E"/>
    <w:rsid w:val="00D20CEC"/>
    <w:rsid w:val="00D2219A"/>
    <w:rsid w:val="00D22770"/>
    <w:rsid w:val="00D24C31"/>
    <w:rsid w:val="00D25AAD"/>
    <w:rsid w:val="00D267D6"/>
    <w:rsid w:val="00D27FAD"/>
    <w:rsid w:val="00D31086"/>
    <w:rsid w:val="00D328C4"/>
    <w:rsid w:val="00D32EB7"/>
    <w:rsid w:val="00D3309E"/>
    <w:rsid w:val="00D332BB"/>
    <w:rsid w:val="00D34157"/>
    <w:rsid w:val="00D3668B"/>
    <w:rsid w:val="00D371A7"/>
    <w:rsid w:val="00D42DAB"/>
    <w:rsid w:val="00D4437D"/>
    <w:rsid w:val="00D45014"/>
    <w:rsid w:val="00D45050"/>
    <w:rsid w:val="00D465AF"/>
    <w:rsid w:val="00D466F8"/>
    <w:rsid w:val="00D4692F"/>
    <w:rsid w:val="00D47819"/>
    <w:rsid w:val="00D505D6"/>
    <w:rsid w:val="00D50A1F"/>
    <w:rsid w:val="00D51402"/>
    <w:rsid w:val="00D52357"/>
    <w:rsid w:val="00D52608"/>
    <w:rsid w:val="00D5357C"/>
    <w:rsid w:val="00D540C5"/>
    <w:rsid w:val="00D55D57"/>
    <w:rsid w:val="00D5799D"/>
    <w:rsid w:val="00D604D3"/>
    <w:rsid w:val="00D61DF1"/>
    <w:rsid w:val="00D671C9"/>
    <w:rsid w:val="00D6722E"/>
    <w:rsid w:val="00D67640"/>
    <w:rsid w:val="00D70920"/>
    <w:rsid w:val="00D709F2"/>
    <w:rsid w:val="00D73B6B"/>
    <w:rsid w:val="00D74CDA"/>
    <w:rsid w:val="00D75115"/>
    <w:rsid w:val="00D762AE"/>
    <w:rsid w:val="00D807ED"/>
    <w:rsid w:val="00D817FB"/>
    <w:rsid w:val="00D81914"/>
    <w:rsid w:val="00D829E6"/>
    <w:rsid w:val="00D82BBF"/>
    <w:rsid w:val="00D82DAE"/>
    <w:rsid w:val="00D83BE9"/>
    <w:rsid w:val="00D844A0"/>
    <w:rsid w:val="00D854DF"/>
    <w:rsid w:val="00D86EBA"/>
    <w:rsid w:val="00D87850"/>
    <w:rsid w:val="00D904BD"/>
    <w:rsid w:val="00D91398"/>
    <w:rsid w:val="00D93976"/>
    <w:rsid w:val="00D94E7D"/>
    <w:rsid w:val="00D9534E"/>
    <w:rsid w:val="00D95999"/>
    <w:rsid w:val="00DA0106"/>
    <w:rsid w:val="00DA1D20"/>
    <w:rsid w:val="00DA2A7E"/>
    <w:rsid w:val="00DA3510"/>
    <w:rsid w:val="00DA390A"/>
    <w:rsid w:val="00DA3C45"/>
    <w:rsid w:val="00DA428A"/>
    <w:rsid w:val="00DA525D"/>
    <w:rsid w:val="00DA6001"/>
    <w:rsid w:val="00DA6080"/>
    <w:rsid w:val="00DA6E49"/>
    <w:rsid w:val="00DA7BC2"/>
    <w:rsid w:val="00DA7EED"/>
    <w:rsid w:val="00DB2C4A"/>
    <w:rsid w:val="00DB55DB"/>
    <w:rsid w:val="00DB5B91"/>
    <w:rsid w:val="00DB6144"/>
    <w:rsid w:val="00DB6709"/>
    <w:rsid w:val="00DC01E6"/>
    <w:rsid w:val="00DC1009"/>
    <w:rsid w:val="00DC2073"/>
    <w:rsid w:val="00DC5B45"/>
    <w:rsid w:val="00DC61EB"/>
    <w:rsid w:val="00DC6788"/>
    <w:rsid w:val="00DD187E"/>
    <w:rsid w:val="00DD3584"/>
    <w:rsid w:val="00DD36EA"/>
    <w:rsid w:val="00DD44D3"/>
    <w:rsid w:val="00DD537E"/>
    <w:rsid w:val="00DD6DE2"/>
    <w:rsid w:val="00DD77A1"/>
    <w:rsid w:val="00DE0389"/>
    <w:rsid w:val="00DE16EF"/>
    <w:rsid w:val="00DE2627"/>
    <w:rsid w:val="00DE30E5"/>
    <w:rsid w:val="00DE327B"/>
    <w:rsid w:val="00DE6648"/>
    <w:rsid w:val="00DE70C7"/>
    <w:rsid w:val="00DE72AB"/>
    <w:rsid w:val="00DE72C5"/>
    <w:rsid w:val="00DF19DF"/>
    <w:rsid w:val="00DF5E72"/>
    <w:rsid w:val="00DF617F"/>
    <w:rsid w:val="00DF6236"/>
    <w:rsid w:val="00DF74B2"/>
    <w:rsid w:val="00DF7764"/>
    <w:rsid w:val="00E01AAE"/>
    <w:rsid w:val="00E025D2"/>
    <w:rsid w:val="00E062A3"/>
    <w:rsid w:val="00E066E6"/>
    <w:rsid w:val="00E068CF"/>
    <w:rsid w:val="00E07958"/>
    <w:rsid w:val="00E10466"/>
    <w:rsid w:val="00E104EA"/>
    <w:rsid w:val="00E120DE"/>
    <w:rsid w:val="00E13978"/>
    <w:rsid w:val="00E21EC7"/>
    <w:rsid w:val="00E22102"/>
    <w:rsid w:val="00E227B8"/>
    <w:rsid w:val="00E2490B"/>
    <w:rsid w:val="00E258D8"/>
    <w:rsid w:val="00E26776"/>
    <w:rsid w:val="00E27B4E"/>
    <w:rsid w:val="00E30887"/>
    <w:rsid w:val="00E31126"/>
    <w:rsid w:val="00E32280"/>
    <w:rsid w:val="00E3291D"/>
    <w:rsid w:val="00E33155"/>
    <w:rsid w:val="00E33422"/>
    <w:rsid w:val="00E3618F"/>
    <w:rsid w:val="00E36730"/>
    <w:rsid w:val="00E37EC0"/>
    <w:rsid w:val="00E414F2"/>
    <w:rsid w:val="00E423EB"/>
    <w:rsid w:val="00E438A3"/>
    <w:rsid w:val="00E43A23"/>
    <w:rsid w:val="00E45F9C"/>
    <w:rsid w:val="00E46DCE"/>
    <w:rsid w:val="00E50892"/>
    <w:rsid w:val="00E5289E"/>
    <w:rsid w:val="00E53855"/>
    <w:rsid w:val="00E54AFA"/>
    <w:rsid w:val="00E54C68"/>
    <w:rsid w:val="00E56AA1"/>
    <w:rsid w:val="00E56DD2"/>
    <w:rsid w:val="00E62BDD"/>
    <w:rsid w:val="00E64BEC"/>
    <w:rsid w:val="00E656F1"/>
    <w:rsid w:val="00E66160"/>
    <w:rsid w:val="00E672F6"/>
    <w:rsid w:val="00E7052B"/>
    <w:rsid w:val="00E7187F"/>
    <w:rsid w:val="00E72B0E"/>
    <w:rsid w:val="00E74240"/>
    <w:rsid w:val="00E76EB6"/>
    <w:rsid w:val="00E7780E"/>
    <w:rsid w:val="00E7795C"/>
    <w:rsid w:val="00E8082B"/>
    <w:rsid w:val="00E81189"/>
    <w:rsid w:val="00E81BB4"/>
    <w:rsid w:val="00E8241E"/>
    <w:rsid w:val="00E84389"/>
    <w:rsid w:val="00E84C7E"/>
    <w:rsid w:val="00E84F55"/>
    <w:rsid w:val="00E85C33"/>
    <w:rsid w:val="00E87647"/>
    <w:rsid w:val="00E92364"/>
    <w:rsid w:val="00E92830"/>
    <w:rsid w:val="00E9293B"/>
    <w:rsid w:val="00E92B74"/>
    <w:rsid w:val="00E92EC2"/>
    <w:rsid w:val="00E93169"/>
    <w:rsid w:val="00E9579F"/>
    <w:rsid w:val="00EA1519"/>
    <w:rsid w:val="00EA3989"/>
    <w:rsid w:val="00EA45EF"/>
    <w:rsid w:val="00EA47D9"/>
    <w:rsid w:val="00EA63D7"/>
    <w:rsid w:val="00EB092D"/>
    <w:rsid w:val="00EB1C22"/>
    <w:rsid w:val="00EB3777"/>
    <w:rsid w:val="00EB7989"/>
    <w:rsid w:val="00EB7EB9"/>
    <w:rsid w:val="00EB7F08"/>
    <w:rsid w:val="00EC06A8"/>
    <w:rsid w:val="00EC1664"/>
    <w:rsid w:val="00EC3758"/>
    <w:rsid w:val="00EC46BA"/>
    <w:rsid w:val="00EC4F5B"/>
    <w:rsid w:val="00EC58D5"/>
    <w:rsid w:val="00EC63D2"/>
    <w:rsid w:val="00ED0535"/>
    <w:rsid w:val="00ED159E"/>
    <w:rsid w:val="00ED5A10"/>
    <w:rsid w:val="00EE0668"/>
    <w:rsid w:val="00EE271B"/>
    <w:rsid w:val="00EE3F2B"/>
    <w:rsid w:val="00EE4039"/>
    <w:rsid w:val="00EE617F"/>
    <w:rsid w:val="00EE6293"/>
    <w:rsid w:val="00EE649C"/>
    <w:rsid w:val="00EE6B06"/>
    <w:rsid w:val="00EE73D6"/>
    <w:rsid w:val="00EF0B75"/>
    <w:rsid w:val="00EF1882"/>
    <w:rsid w:val="00EF1C65"/>
    <w:rsid w:val="00EF1E83"/>
    <w:rsid w:val="00EF25B3"/>
    <w:rsid w:val="00EF2E96"/>
    <w:rsid w:val="00EF35B6"/>
    <w:rsid w:val="00EF39C1"/>
    <w:rsid w:val="00EF4257"/>
    <w:rsid w:val="00EF5C53"/>
    <w:rsid w:val="00EF6729"/>
    <w:rsid w:val="00F0119B"/>
    <w:rsid w:val="00F05863"/>
    <w:rsid w:val="00F1072D"/>
    <w:rsid w:val="00F156B8"/>
    <w:rsid w:val="00F17338"/>
    <w:rsid w:val="00F17B5C"/>
    <w:rsid w:val="00F2068E"/>
    <w:rsid w:val="00F21039"/>
    <w:rsid w:val="00F21885"/>
    <w:rsid w:val="00F24120"/>
    <w:rsid w:val="00F2719B"/>
    <w:rsid w:val="00F27373"/>
    <w:rsid w:val="00F31BB4"/>
    <w:rsid w:val="00F31DA2"/>
    <w:rsid w:val="00F330D4"/>
    <w:rsid w:val="00F35484"/>
    <w:rsid w:val="00F40EAB"/>
    <w:rsid w:val="00F413D4"/>
    <w:rsid w:val="00F41E02"/>
    <w:rsid w:val="00F4437C"/>
    <w:rsid w:val="00F45AEC"/>
    <w:rsid w:val="00F46434"/>
    <w:rsid w:val="00F51D57"/>
    <w:rsid w:val="00F53675"/>
    <w:rsid w:val="00F55151"/>
    <w:rsid w:val="00F5568E"/>
    <w:rsid w:val="00F558DB"/>
    <w:rsid w:val="00F55B2A"/>
    <w:rsid w:val="00F5753A"/>
    <w:rsid w:val="00F57DCD"/>
    <w:rsid w:val="00F604CB"/>
    <w:rsid w:val="00F62474"/>
    <w:rsid w:val="00F63044"/>
    <w:rsid w:val="00F636DC"/>
    <w:rsid w:val="00F63AC7"/>
    <w:rsid w:val="00F64733"/>
    <w:rsid w:val="00F65FA5"/>
    <w:rsid w:val="00F661E5"/>
    <w:rsid w:val="00F73C96"/>
    <w:rsid w:val="00F76AC8"/>
    <w:rsid w:val="00F80E13"/>
    <w:rsid w:val="00F8147B"/>
    <w:rsid w:val="00F81E91"/>
    <w:rsid w:val="00F81FCF"/>
    <w:rsid w:val="00F82677"/>
    <w:rsid w:val="00F83732"/>
    <w:rsid w:val="00F84A3D"/>
    <w:rsid w:val="00F84EA5"/>
    <w:rsid w:val="00F85664"/>
    <w:rsid w:val="00F86E25"/>
    <w:rsid w:val="00F87C2B"/>
    <w:rsid w:val="00F87C4D"/>
    <w:rsid w:val="00F87E6E"/>
    <w:rsid w:val="00F932A7"/>
    <w:rsid w:val="00F938F9"/>
    <w:rsid w:val="00F93C2D"/>
    <w:rsid w:val="00F93C60"/>
    <w:rsid w:val="00F9417B"/>
    <w:rsid w:val="00F974B8"/>
    <w:rsid w:val="00FA0B48"/>
    <w:rsid w:val="00FA1817"/>
    <w:rsid w:val="00FA2588"/>
    <w:rsid w:val="00FA4047"/>
    <w:rsid w:val="00FA4A84"/>
    <w:rsid w:val="00FA5D90"/>
    <w:rsid w:val="00FA73AB"/>
    <w:rsid w:val="00FA7718"/>
    <w:rsid w:val="00FB1065"/>
    <w:rsid w:val="00FB1294"/>
    <w:rsid w:val="00FB406D"/>
    <w:rsid w:val="00FB5887"/>
    <w:rsid w:val="00FB73A8"/>
    <w:rsid w:val="00FC1000"/>
    <w:rsid w:val="00FC4EE9"/>
    <w:rsid w:val="00FC5B4F"/>
    <w:rsid w:val="00FC5DE9"/>
    <w:rsid w:val="00FD1869"/>
    <w:rsid w:val="00FD1D8C"/>
    <w:rsid w:val="00FD26E4"/>
    <w:rsid w:val="00FD38AD"/>
    <w:rsid w:val="00FD44F7"/>
    <w:rsid w:val="00FD54AD"/>
    <w:rsid w:val="00FD5789"/>
    <w:rsid w:val="00FD72FC"/>
    <w:rsid w:val="00FD77AD"/>
    <w:rsid w:val="00FD7AFD"/>
    <w:rsid w:val="00FE1144"/>
    <w:rsid w:val="00FE18DF"/>
    <w:rsid w:val="00FE260C"/>
    <w:rsid w:val="00FE2642"/>
    <w:rsid w:val="00FE26CF"/>
    <w:rsid w:val="00FE5AC1"/>
    <w:rsid w:val="00FE6EA8"/>
    <w:rsid w:val="00FE702D"/>
    <w:rsid w:val="00FE7414"/>
    <w:rsid w:val="00FE7AAB"/>
    <w:rsid w:val="00FF06A5"/>
    <w:rsid w:val="00FF30C1"/>
    <w:rsid w:val="00FF44A3"/>
    <w:rsid w:val="00FF5072"/>
    <w:rsid w:val="00FF7FB5"/>
    <w:rsid w:val="070E2AA4"/>
    <w:rsid w:val="0EFE233F"/>
    <w:rsid w:val="154633CA"/>
    <w:rsid w:val="18047589"/>
    <w:rsid w:val="1A971FE0"/>
    <w:rsid w:val="1D3E66D5"/>
    <w:rsid w:val="1F4D2FA6"/>
    <w:rsid w:val="1FE85FDB"/>
    <w:rsid w:val="20C637EC"/>
    <w:rsid w:val="24C60694"/>
    <w:rsid w:val="25930B40"/>
    <w:rsid w:val="27DD6975"/>
    <w:rsid w:val="289274BB"/>
    <w:rsid w:val="28A6399D"/>
    <w:rsid w:val="31A160B1"/>
    <w:rsid w:val="33C03C69"/>
    <w:rsid w:val="34DB2740"/>
    <w:rsid w:val="35136331"/>
    <w:rsid w:val="370637B5"/>
    <w:rsid w:val="37940806"/>
    <w:rsid w:val="3A4D44CF"/>
    <w:rsid w:val="3C951C42"/>
    <w:rsid w:val="490C0662"/>
    <w:rsid w:val="4BB7A7B5"/>
    <w:rsid w:val="4C3142F8"/>
    <w:rsid w:val="4F785178"/>
    <w:rsid w:val="520B2179"/>
    <w:rsid w:val="57B6214C"/>
    <w:rsid w:val="57F161C9"/>
    <w:rsid w:val="5963260A"/>
    <w:rsid w:val="63C442F3"/>
    <w:rsid w:val="6A8F39D8"/>
    <w:rsid w:val="6EF96AFD"/>
    <w:rsid w:val="70B74468"/>
    <w:rsid w:val="735F716C"/>
    <w:rsid w:val="787029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qFormat="1" w:unhideWhenUsed="0"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unhideWhenUsed/>
    <w:qFormat/>
    <w:uiPriority w:val="99"/>
  </w:style>
  <w:style w:type="paragraph" w:styleId="3">
    <w:name w:val="Balloon Text"/>
    <w:basedOn w:val="1"/>
    <w:link w:val="15"/>
    <w:qFormat/>
    <w:uiPriority w:val="0"/>
    <w:rPr>
      <w:sz w:val="18"/>
      <w:szCs w:val="18"/>
    </w:rPr>
  </w:style>
  <w:style w:type="paragraph" w:styleId="4">
    <w:name w:val="footer"/>
    <w:basedOn w:val="1"/>
    <w:link w:val="14"/>
    <w:qFormat/>
    <w:uiPriority w:val="99"/>
    <w:pPr>
      <w:tabs>
        <w:tab w:val="center" w:pos="4153"/>
        <w:tab w:val="right" w:pos="8306"/>
      </w:tabs>
      <w:snapToGrid w:val="0"/>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6">
    <w:name w:val="toc 2"/>
    <w:basedOn w:val="1"/>
    <w:next w:val="1"/>
    <w:qFormat/>
    <w:uiPriority w:val="39"/>
    <w:pPr>
      <w:widowControl w:val="0"/>
      <w:ind w:left="420" w:leftChars="200"/>
      <w:jc w:val="both"/>
    </w:pPr>
    <w:rPr>
      <w:rFonts w:ascii="Times New Roman" w:hAnsi="Times New Roman" w:cs="Times New Roman"/>
      <w:kern w:val="2"/>
      <w:sz w:val="21"/>
    </w:rPr>
  </w:style>
  <w:style w:type="paragraph" w:styleId="7">
    <w:name w:val="annotation subject"/>
    <w:basedOn w:val="2"/>
    <w:next w:val="2"/>
    <w:link w:val="18"/>
    <w:semiHidden/>
    <w:unhideWhenUsed/>
    <w:qFormat/>
    <w:uiPriority w:val="0"/>
    <w:rPr>
      <w:b/>
      <w:bCs/>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basedOn w:val="10"/>
    <w:unhideWhenUsed/>
    <w:qFormat/>
    <w:uiPriority w:val="99"/>
    <w:rPr>
      <w:color w:val="0000FF" w:themeColor="hyperlink"/>
      <w:u w:val="single"/>
      <w14:textFill>
        <w14:solidFill>
          <w14:schemeClr w14:val="hlink"/>
        </w14:solidFill>
      </w14:textFill>
    </w:rPr>
  </w:style>
  <w:style w:type="character" w:styleId="12">
    <w:name w:val="annotation reference"/>
    <w:basedOn w:val="10"/>
    <w:semiHidden/>
    <w:unhideWhenUsed/>
    <w:qFormat/>
    <w:uiPriority w:val="0"/>
    <w:rPr>
      <w:sz w:val="21"/>
      <w:szCs w:val="21"/>
    </w:rPr>
  </w:style>
  <w:style w:type="character" w:customStyle="1" w:styleId="13">
    <w:name w:val="页眉 Char"/>
    <w:link w:val="5"/>
    <w:qFormat/>
    <w:uiPriority w:val="99"/>
    <w:rPr>
      <w:rFonts w:ascii="宋体" w:hAnsi="宋体" w:eastAsia="宋体" w:cs="宋体"/>
      <w:sz w:val="18"/>
      <w:szCs w:val="18"/>
    </w:rPr>
  </w:style>
  <w:style w:type="character" w:customStyle="1" w:styleId="14">
    <w:name w:val="页脚 Char"/>
    <w:link w:val="4"/>
    <w:qFormat/>
    <w:uiPriority w:val="99"/>
    <w:rPr>
      <w:rFonts w:ascii="宋体" w:hAnsi="宋体" w:eastAsia="宋体" w:cs="宋体"/>
      <w:sz w:val="18"/>
      <w:szCs w:val="18"/>
    </w:rPr>
  </w:style>
  <w:style w:type="character" w:customStyle="1" w:styleId="15">
    <w:name w:val="批注框文本 Char"/>
    <w:link w:val="3"/>
    <w:qFormat/>
    <w:uiPriority w:val="0"/>
    <w:rPr>
      <w:rFonts w:ascii="宋体" w:hAnsi="宋体" w:eastAsia="宋体" w:cs="宋体"/>
      <w:sz w:val="18"/>
      <w:szCs w:val="18"/>
    </w:rPr>
  </w:style>
  <w:style w:type="paragraph" w:customStyle="1" w:styleId="16">
    <w:name w:val="普通(网站)1"/>
    <w:basedOn w:val="1"/>
    <w:qFormat/>
    <w:uiPriority w:val="0"/>
    <w:pPr>
      <w:spacing w:before="100" w:beforeAutospacing="1" w:after="100" w:afterAutospacing="1"/>
    </w:pPr>
  </w:style>
  <w:style w:type="character" w:customStyle="1" w:styleId="17">
    <w:name w:val="批注文字 Char"/>
    <w:basedOn w:val="10"/>
    <w:link w:val="2"/>
    <w:qFormat/>
    <w:uiPriority w:val="99"/>
    <w:rPr>
      <w:rFonts w:ascii="宋体" w:hAnsi="宋体" w:cs="宋体"/>
      <w:sz w:val="24"/>
      <w:szCs w:val="24"/>
    </w:rPr>
  </w:style>
  <w:style w:type="character" w:customStyle="1" w:styleId="18">
    <w:name w:val="批注主题 Char"/>
    <w:basedOn w:val="17"/>
    <w:link w:val="7"/>
    <w:semiHidden/>
    <w:qFormat/>
    <w:uiPriority w:val="0"/>
    <w:rPr>
      <w:rFonts w:ascii="宋体" w:hAnsi="宋体" w:cs="宋体"/>
      <w:b/>
      <w:bCs/>
      <w:sz w:val="24"/>
      <w:szCs w:val="24"/>
    </w:rPr>
  </w:style>
  <w:style w:type="paragraph" w:styleId="19">
    <w:name w:val="List Paragraph"/>
    <w:basedOn w:val="1"/>
    <w:qFormat/>
    <w:uiPriority w:val="34"/>
    <w:pPr>
      <w:ind w:firstLine="420" w:firstLineChars="200"/>
    </w:pPr>
  </w:style>
  <w:style w:type="paragraph" w:customStyle="1" w:styleId="20">
    <w:name w:val="修订1"/>
    <w:hidden/>
    <w:semiHidden/>
    <w:qFormat/>
    <w:uiPriority w:val="99"/>
    <w:rPr>
      <w:rFonts w:ascii="宋体" w:hAnsi="宋体" w:eastAsia="宋体" w:cs="宋体"/>
      <w:sz w:val="24"/>
      <w:szCs w:val="24"/>
      <w:lang w:val="en-US" w:eastAsia="zh-CN" w:bidi="ar-SA"/>
    </w:rPr>
  </w:style>
  <w:style w:type="paragraph" w:customStyle="1" w:styleId="21">
    <w:name w:val="修订2"/>
    <w:hidden/>
    <w:semiHidden/>
    <w:qFormat/>
    <w:uiPriority w:val="99"/>
    <w:rPr>
      <w:rFonts w:ascii="宋体" w:hAnsi="宋体" w:eastAsia="宋体" w:cs="宋体"/>
      <w:sz w:val="24"/>
      <w:szCs w:val="24"/>
      <w:lang w:val="en-US" w:eastAsia="zh-CN" w:bidi="ar-SA"/>
    </w:rPr>
  </w:style>
  <w:style w:type="paragraph" w:customStyle="1" w:styleId="22">
    <w:name w:val="正文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3">
    <w:name w:val="正文文本缩进 New"/>
    <w:basedOn w:val="1"/>
    <w:qFormat/>
    <w:uiPriority w:val="0"/>
    <w:pPr>
      <w:overflowPunct w:val="0"/>
      <w:autoSpaceDE w:val="0"/>
      <w:autoSpaceDN w:val="0"/>
      <w:adjustRightInd w:val="0"/>
      <w:ind w:left="1134"/>
      <w:textAlignment w:val="baseline"/>
    </w:pPr>
    <w:rPr>
      <w:rFonts w:hAnsi="Times New Roman" w:cs="Times New Roman"/>
      <w:szCs w:val="20"/>
    </w:rPr>
  </w:style>
  <w:style w:type="paragraph" w:customStyle="1" w:styleId="24">
    <w:name w:val="正文 New New New New New New New New New New New"/>
    <w:qFormat/>
    <w:uiPriority w:val="0"/>
    <w:pPr>
      <w:autoSpaceDE w:val="0"/>
      <w:autoSpaceDN w:val="0"/>
      <w:adjustRightInd w:val="0"/>
    </w:pPr>
    <w:rPr>
      <w:rFonts w:ascii="宋体" w:hAnsi="Times New Roman" w:eastAsia="宋体" w:cs="Times New Roman"/>
      <w:lang w:val="en-US" w:eastAsia="zh-CN" w:bidi="ar-SA"/>
    </w:rPr>
  </w:style>
  <w:style w:type="character" w:customStyle="1" w:styleId="25">
    <w:name w:val="Unresolved Mention"/>
    <w:basedOn w:val="10"/>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E8E1EE-3D9B-4B01-B640-D26E70391A53}">
  <ds:schemaRefs/>
</ds:datastoreItem>
</file>

<file path=docProps/app.xml><?xml version="1.0" encoding="utf-8"?>
<Properties xmlns="http://schemas.openxmlformats.org/officeDocument/2006/extended-properties" xmlns:vt="http://schemas.openxmlformats.org/officeDocument/2006/docPropsVTypes">
  <Template>Normal.dotm</Template>
  <Company>citicbank</Company>
  <Pages>4</Pages>
  <Words>4976</Words>
  <Characters>28368</Characters>
  <Lines>236</Lines>
  <Paragraphs>66</Paragraphs>
  <TotalTime>17</TotalTime>
  <ScaleCrop>false</ScaleCrop>
  <LinksUpToDate>false</LinksUpToDate>
  <CharactersWithSpaces>33278</CharactersWithSpaces>
  <Application>WPS Office_12.8.2.20793_F1E327BC-269C-435d-A152-05C5408002CA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2024-10-10T10:16:00Z</dcterms:created>
  <dc:creator>王晓明</dc:creator>
  <cp:lastModifiedBy>xc-chenxinyi</cp:lastModifiedBy>
  <cp:lastPrinted>2024-04-19T17:21:00Z</cp:lastPrinted>
  <dcterms:modified xsi:type="dcterms:W3CDTF">2025-11-13T06:25:09Z</dcterms:modified>
  <dc:title>产品说明书</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2052-12.8.2.20793</vt:lpwstr>
  </property>
  <property fmtid="{D5CDD505-2E9C-101B-9397-08002B2CF9AE}" pid="3" name="ICV">
    <vt:lpwstr>B3D89807B67098974CDFED673D171B0E</vt:lpwstr>
  </property>
</Properties>
</file>