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6C4DA81">
      <w:pPr>
        <w:spacing w:line="300" w:lineRule="exact"/>
        <w:ind w:left="-821" w:leftChars="-342" w:right="-792" w:rightChars="-330"/>
        <w:jc w:val="center"/>
        <w:rPr>
          <w:rFonts w:ascii="黑体" w:hAnsi="楷体_GB2312" w:eastAsia="黑体" w:cs="黑体"/>
          <w:b/>
          <w:bCs/>
          <w:color w:val="000000" w:themeColor="text1"/>
          <w14:textFill>
            <w14:solidFill>
              <w14:schemeClr w14:val="tx1"/>
            </w14:solidFill>
          </w14:textFill>
        </w:rPr>
      </w:pPr>
      <w:r>
        <w:rPr>
          <w:rFonts w:hint="eastAsia" w:ascii="黑体" w:hAnsi="楷体_GB2312" w:eastAsia="黑体" w:cs="黑体"/>
          <w:b/>
          <w:bCs/>
          <w:color w:val="000000" w:themeColor="text1"/>
          <w14:textFill>
            <w14:solidFill>
              <w14:schemeClr w14:val="tx1"/>
            </w14:solidFill>
          </w14:textFill>
        </w:rPr>
        <w:t>信银理财理财产品风险揭示书</w:t>
      </w:r>
    </w:p>
    <w:p w14:paraId="528651AF">
      <w:pPr>
        <w:spacing w:line="300" w:lineRule="exact"/>
        <w:ind w:left="-821" w:leftChars="-342" w:right="-792" w:rightChars="-330"/>
        <w:jc w:val="center"/>
        <w:rPr>
          <w:rFonts w:ascii="楷体_GB2312" w:eastAsia="楷体_GB2312"/>
          <w:color w:val="000000" w:themeColor="text1"/>
          <w14:textFill>
            <w14:solidFill>
              <w14:schemeClr w14:val="tx1"/>
            </w14:solidFill>
          </w14:textFill>
        </w:rPr>
      </w:pPr>
      <w:r>
        <w:rPr>
          <w:rFonts w:ascii="黑体" w:eastAsia="黑体"/>
          <w:b/>
          <w:bCs/>
          <w:color w:val="000000" w:themeColor="text1"/>
          <w14:textFill>
            <w14:solidFill>
              <w14:schemeClr w14:val="tx1"/>
            </w14:solidFill>
          </w14:textFill>
        </w:rPr>
        <w:t> </w:t>
      </w:r>
    </w:p>
    <w:p w14:paraId="206CADAF">
      <w:pPr>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尊敬的客户：</w:t>
      </w:r>
      <w:r>
        <w:rPr>
          <w:rFonts w:ascii="楷体_GB2312" w:hAnsi="Arial" w:eastAsia="楷体_GB2312" w:cs="楷体_GB2312"/>
          <w:color w:val="000000" w:themeColor="text1"/>
          <w14:textFill>
            <w14:solidFill>
              <w14:schemeClr w14:val="tx1"/>
            </w14:solidFill>
          </w14:textFill>
        </w:rPr>
        <w:t xml:space="preserve"> </w:t>
      </w:r>
    </w:p>
    <w:p w14:paraId="68480079">
      <w:pPr>
        <w:ind w:firstLine="482" w:firstLineChars="200"/>
        <w:jc w:val="both"/>
        <w:rPr>
          <w:b/>
          <w:color w:val="000000" w:themeColor="text1"/>
          <w14:textFill>
            <w14:solidFill>
              <w14:schemeClr w14:val="tx1"/>
            </w14:solidFill>
          </w14:textFill>
        </w:rPr>
      </w:pPr>
      <w:r>
        <w:rPr>
          <w:rFonts w:hint="eastAsia" w:ascii="楷体_GB2312" w:hAnsi="Arial" w:eastAsia="楷体_GB2312" w:cs="楷体_GB2312"/>
          <w:b/>
          <w:color w:val="000000" w:themeColor="text1"/>
          <w14:textFill>
            <w14:solidFill>
              <w14:schemeClr w14:val="tx1"/>
            </w14:solidFill>
          </w14:textFill>
        </w:rPr>
        <w:t>理财资金管理运用过程中，可能会面临多种风险因素，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的含义，请您认真阅读本理财产品说明书中相应的风险揭示部分。</w:t>
      </w:r>
    </w:p>
    <w:p w14:paraId="498DC478">
      <w:pPr>
        <w:ind w:firstLine="482" w:firstLineChars="200"/>
        <w:jc w:val="both"/>
        <w:rPr>
          <w:b/>
          <w:color w:val="000000" w:themeColor="text1"/>
          <w14:textFill>
            <w14:solidFill>
              <w14:schemeClr w14:val="tx1"/>
            </w14:solidFill>
          </w14:textFill>
        </w:rPr>
      </w:pPr>
      <w:r>
        <w:rPr>
          <w:rFonts w:hint="eastAsia" w:ascii="楷体_GB2312" w:hAnsi="Arial" w:eastAsia="楷体_GB2312" w:cs="楷体_GB2312"/>
          <w:b/>
          <w:color w:val="000000" w:themeColor="text1"/>
          <w14:textFill>
            <w14:solidFill>
              <w14:schemeClr w14:val="tx1"/>
            </w14:solidFill>
          </w14:textFill>
        </w:rPr>
        <w:t>由于相关风险因素可能导致您的本金及收益全部或部分损失，因此，在您选择购买本理财产品前，请仔细阅读理财产品销售文件，包括理财产品销售总协议、理财产品投资协议书、理财产品说明书、风险揭示书及客户权益须知等，了解本理财产品具体情况</w:t>
      </w:r>
      <w:r>
        <w:rPr>
          <w:rFonts w:hint="eastAsia" w:ascii="楷体_GB2312" w:hAnsi="Arial" w:eastAsia="楷体_GB2312" w:cs="楷体_GB2312"/>
          <w:b/>
          <w:bCs/>
          <w:color w:val="000000" w:themeColor="text1"/>
          <w14:textFill>
            <w14:solidFill>
              <w14:schemeClr w14:val="tx1"/>
            </w14:solidFill>
          </w14:textFill>
        </w:rPr>
        <w:t>。</w:t>
      </w:r>
    </w:p>
    <w:p w14:paraId="1935DCD0">
      <w:pPr>
        <w:ind w:firstLine="480" w:firstLineChars="200"/>
        <w:jc w:val="both"/>
        <w:rPr>
          <w:rFonts w:ascii="楷体_GB2312" w:eastAsia="楷体_GB2312"/>
          <w:color w:val="000000" w:themeColor="text1"/>
          <w14:textFill>
            <w14:solidFill>
              <w14:schemeClr w14:val="tx1"/>
            </w14:solidFill>
          </w14:textFill>
        </w:rPr>
      </w:pPr>
    </w:p>
    <w:p w14:paraId="09A47510">
      <w:pPr>
        <w:ind w:firstLine="480" w:firstLineChars="200"/>
        <w:rPr>
          <w:rFonts w:ascii="楷体_GB2312" w:hAnsi="Arial" w:eastAsia="楷体_GB2312" w:cs="楷体_GB2312"/>
          <w:color w:val="000000"/>
        </w:rPr>
      </w:pPr>
      <w:r>
        <w:rPr>
          <w:rFonts w:hint="eastAsia" w:ascii="Arial" w:hAnsi="Arial" w:eastAsia="楷体_GB2312" w:cs="楷体_GB2312"/>
          <w:color w:val="000000" w:themeColor="text1"/>
          <w14:textFill>
            <w14:solidFill>
              <w14:schemeClr w14:val="tx1"/>
            </w14:solidFill>
          </w14:textFill>
        </w:rPr>
        <w:t>本理财产品名称为</w:t>
      </w:r>
      <w:r>
        <w:rPr>
          <w:rFonts w:hint="eastAsia" w:ascii="楷体_GB2312" w:hAnsi="楷体_GB2312" w:eastAsia="楷体_GB2312" w:cs="楷体_GB2312"/>
          <w:b/>
          <w:bCs/>
          <w:color w:val="000000" w:themeColor="text1"/>
          <w14:textFill>
            <w14:solidFill>
              <w14:schemeClr w14:val="tx1"/>
            </w14:solidFill>
          </w14:textFill>
        </w:rPr>
        <w:t>【</w:t>
      </w:r>
      <w:r>
        <w:rPr>
          <w:rFonts w:hint="eastAsia" w:ascii="楷体_GB2312" w:hAnsi="楷体_GB2312" w:eastAsia="楷体_GB2312" w:cs="楷体_GB2312"/>
          <w:b/>
          <w:bCs/>
          <w:color w:val="000000"/>
        </w:rPr>
        <w:t>信银理财</w:t>
      </w:r>
      <w:r>
        <w:rPr>
          <w:rFonts w:hint="eastAsia" w:ascii="楷体_GB2312" w:hAnsi="楷体_GB2312" w:eastAsia="楷体_GB2312" w:cs="楷体_GB2312"/>
          <w:b/>
          <w:bCs/>
          <w:color w:val="000000"/>
          <w:lang w:eastAsia="zh-CN"/>
        </w:rPr>
        <w:t>安盈象固收稳健温暖童行丰收封闭式2号</w:t>
      </w:r>
      <w:r>
        <w:rPr>
          <w:rFonts w:hint="eastAsia" w:ascii="楷体_GB2312" w:hAnsi="楷体_GB2312" w:eastAsia="楷体_GB2312" w:cs="楷体_GB2312"/>
          <w:b/>
          <w:bCs/>
          <w:color w:val="000000"/>
        </w:rPr>
        <w:t>理财产品</w:t>
      </w:r>
      <w:r>
        <w:rPr>
          <w:rFonts w:ascii="楷体_GB2312" w:hAnsi="楷体_GB2312" w:eastAsia="楷体_GB2312" w:cs="楷体_GB2312"/>
          <w:b/>
          <w:bCs/>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，产品代码为【</w:t>
      </w:r>
      <w:r>
        <w:rPr>
          <w:rFonts w:hint="eastAsia" w:ascii="楷体_GB2312" w:hAnsi="Arial" w:eastAsia="楷体_GB2312" w:cs="楷体_GB2312"/>
          <w:color w:val="000000"/>
          <w:lang w:eastAsia="zh-CN"/>
        </w:rPr>
        <w:t>AF251852</w:t>
      </w:r>
      <w:r>
        <w:rPr>
          <w:rFonts w:hint="eastAsia" w:ascii="楷体_GB2312" w:hAnsi="Arial" w:eastAsia="楷体_GB2312" w:cs="楷体_GB2312"/>
          <w:color w:val="000000" w:themeColor="text1"/>
          <w14:textFill>
            <w14:solidFill>
              <w14:schemeClr w14:val="tx1"/>
            </w14:solidFill>
          </w14:textFill>
        </w:rPr>
        <w:t>】，类型为公募、【固定收益类】、封闭式产品，期限为【</w:t>
      </w:r>
      <w:r>
        <w:rPr>
          <w:rFonts w:hint="eastAsia" w:ascii="楷体_GB2312" w:hAnsi="Arial" w:eastAsia="楷体_GB2312" w:cs="楷体_GB2312"/>
          <w:color w:val="000000" w:themeColor="text1"/>
          <w:lang w:val="en-US" w:eastAsia="zh-CN"/>
          <w14:textFill>
            <w14:solidFill>
              <w14:schemeClr w14:val="tx1"/>
            </w14:solidFill>
          </w14:textFill>
        </w:rPr>
        <w:t>421</w:t>
      </w:r>
      <w:r>
        <w:rPr>
          <w:rFonts w:hint="eastAsia" w:ascii="楷体_GB2312" w:hAnsi="Arial" w:eastAsia="楷体_GB2312" w:cs="楷体_GB2312"/>
          <w:color w:val="000000" w:themeColor="text1"/>
          <w14:textFill>
            <w14:solidFill>
              <w14:schemeClr w14:val="tx1"/>
            </w14:solidFill>
          </w14:textFill>
        </w:rPr>
        <w:t>】天，</w:t>
      </w:r>
      <w:r>
        <w:rPr>
          <w:rFonts w:hint="eastAsia" w:ascii="楷体_GB2312" w:hAnsi="Arial" w:eastAsia="楷体_GB2312" w:cs="楷体_GB2312"/>
          <w:color w:val="000000"/>
        </w:rPr>
        <w:t>风险评级为【</w:t>
      </w:r>
      <w:r>
        <w:rPr>
          <w:rFonts w:ascii="楷体_GB2312" w:hAnsi="Arial" w:eastAsia="楷体_GB2312" w:cs="楷体_GB2312"/>
        </w:rPr>
        <w:t>PR2</w:t>
      </w:r>
      <w:r>
        <w:rPr>
          <w:rFonts w:hint="eastAsia" w:ascii="楷体_GB2312" w:hAnsi="Arial" w:eastAsia="楷体_GB2312" w:cs="楷体_GB2312"/>
          <w:color w:val="000000"/>
        </w:rPr>
        <w:t>】，适合购买客户为风险承受能力为</w:t>
      </w:r>
      <w:r>
        <w:rPr>
          <w:rFonts w:ascii="楷体_GB2312" w:hAnsi="Arial" w:eastAsia="楷体_GB2312" w:cs="楷体_GB2312"/>
          <w:color w:val="000000"/>
        </w:rPr>
        <w:t xml:space="preserve"> </w:t>
      </w:r>
      <w:r>
        <w:rPr>
          <w:rFonts w:hint="eastAsia" w:ascii="楷体_GB2312" w:hAnsi="Arial" w:eastAsia="楷体_GB2312" w:cs="楷体_GB2312"/>
          <w:color w:val="000000"/>
        </w:rPr>
        <w:t>【</w:t>
      </w:r>
      <w:r>
        <w:rPr>
          <w:rFonts w:hint="eastAsia" w:ascii="楷体_GB2312" w:hAnsi="Arial" w:eastAsia="楷体_GB2312" w:cs="楷体_GB2312"/>
        </w:rPr>
        <w:t>稳健型</w:t>
      </w:r>
      <w:r>
        <w:rPr>
          <w:rFonts w:hint="eastAsia" w:ascii="楷体_GB2312" w:hAnsi="Arial" w:eastAsia="楷体_GB2312" w:cs="楷体_GB2312"/>
          <w:color w:val="000000"/>
        </w:rPr>
        <w:t>】</w:t>
      </w:r>
      <w:r>
        <w:rPr>
          <w:rFonts w:ascii="楷体_GB2312" w:hAnsi="Arial" w:eastAsia="楷体_GB2312" w:cs="楷体_GB2312"/>
          <w:color w:val="000000"/>
        </w:rPr>
        <w:t xml:space="preserve"> </w:t>
      </w:r>
      <w:r>
        <w:rPr>
          <w:rFonts w:hint="eastAsia" w:ascii="楷体_GB2312" w:hAnsi="Arial" w:eastAsia="楷体_GB2312" w:cs="楷体_GB2312"/>
          <w:color w:val="000000"/>
        </w:rPr>
        <w:t>及以上的客户。【</w:t>
      </w:r>
      <w:r>
        <w:rPr>
          <w:rFonts w:hint="eastAsia" w:ascii="楷体_GB2312" w:hAnsi="Arial" w:eastAsia="楷体_GB2312"/>
          <w:color w:val="000000"/>
        </w:rPr>
        <w:t>固定收益类产品仅是按照投资性质分类，并非指收益固定或保本。】</w:t>
      </w:r>
    </w:p>
    <w:p w14:paraId="1FADDC32">
      <w:pPr>
        <w:ind w:firstLine="480" w:firstLineChars="200"/>
        <w:jc w:val="both"/>
        <w:rPr>
          <w:rFonts w:ascii="楷体_GB2312" w:hAnsi="Arial" w:eastAsia="楷体_GB2312" w:cs="楷体_GB2312"/>
          <w:color w:val="000000" w:themeColor="text1"/>
          <w14:textFill>
            <w14:solidFill>
              <w14:schemeClr w14:val="tx1"/>
            </w14:solidFill>
          </w14:textFill>
        </w:rPr>
      </w:pPr>
    </w:p>
    <w:p w14:paraId="3C6C0FFD">
      <w:pPr>
        <w:ind w:firstLine="480" w:firstLineChars="200"/>
        <w:jc w:val="both"/>
        <w:rPr>
          <w:rFonts w:ascii="楷体_GB2312" w:hAnsi="Arial" w:eastAsia="楷体_GB2312"/>
          <w:color w:val="000000" w:themeColor="text1"/>
          <w14:textFill>
            <w14:solidFill>
              <w14:schemeClr w14:val="tx1"/>
            </w14:solidFill>
          </w14:textFill>
        </w:rPr>
      </w:pPr>
      <w:r>
        <w:rPr>
          <w:rFonts w:hint="eastAsia" w:ascii="黑体" w:hAnsi="Times New Roman" w:eastAsia="黑体" w:cs="黑体"/>
          <w:color w:val="000000" w:themeColor="text1"/>
          <w14:textFill>
            <w14:solidFill>
              <w14:schemeClr w14:val="tx1"/>
            </w14:solidFill>
          </w14:textFill>
        </w:rPr>
        <w:t>重要提示</w:t>
      </w:r>
      <w:r>
        <w:rPr>
          <w:rFonts w:hint="eastAsia" w:ascii="楷体_GB2312" w:hAnsi="Arial" w:eastAsia="楷体_GB2312" w:cs="楷体_GB2312"/>
          <w:color w:val="000000" w:themeColor="text1"/>
          <w14:textFill>
            <w14:solidFill>
              <w14:schemeClr w14:val="tx1"/>
            </w14:solidFill>
          </w14:textFill>
        </w:rPr>
        <w:t>：信银理财作为本理财产品管理人承诺以诚实守信、勤勉尽职的原则管理和运用理财产品资金，但</w:t>
      </w:r>
      <w:r>
        <w:rPr>
          <w:rFonts w:hint="eastAsia" w:ascii="楷体_GB2312" w:hAnsi="Arial" w:eastAsia="楷体_GB2312" w:cs="楷体_GB2312"/>
          <w:b/>
          <w:color w:val="000000" w:themeColor="text1"/>
          <w14:textFill>
            <w14:solidFill>
              <w14:schemeClr w14:val="tx1"/>
            </w14:solidFill>
          </w14:textFill>
        </w:rPr>
        <w:t>不保证本金和收益，您可能因市场变动而损失全部本金且无法取得任何收益</w:t>
      </w:r>
      <w:r>
        <w:rPr>
          <w:rFonts w:hint="eastAsia" w:ascii="楷体_GB2312" w:hAnsi="Arial" w:eastAsia="楷体_GB2312" w:cs="楷体_GB2312"/>
          <w:color w:val="000000" w:themeColor="text1"/>
          <w14:textFill>
            <w14:solidFill>
              <w14:schemeClr w14:val="tx1"/>
            </w14:solidFill>
          </w14:textFill>
        </w:rPr>
        <w:t>。</w:t>
      </w:r>
      <w:r>
        <w:rPr>
          <w:rFonts w:hint="eastAsia" w:ascii="楷体" w:hAnsi="楷体" w:eastAsia="楷体"/>
          <w:b/>
        </w:rPr>
        <w:t>理财产品过往业绩不代表其未来表现，不等于理财产品实际收益，投资须谨慎。</w:t>
      </w:r>
      <w:r>
        <w:rPr>
          <w:rFonts w:hint="eastAsia" w:ascii="楷体_GB2312" w:hAnsi="Arial" w:eastAsia="楷体_GB2312" w:cs="楷体_GB2312"/>
          <w:color w:val="000000" w:themeColor="text1"/>
          <w14:textFill>
            <w14:solidFill>
              <w14:schemeClr w14:val="tx1"/>
            </w14:solidFill>
          </w14:textFill>
        </w:rPr>
        <w:t>信银理财提醒您理财产品投资风险由买者自负，您应充分认识投资风险，谨慎投资！</w:t>
      </w:r>
      <w:r>
        <w:rPr>
          <w:rFonts w:ascii="楷体_GB2312" w:hAnsi="Arial" w:eastAsia="楷体_GB2312"/>
          <w:color w:val="000000" w:themeColor="text1"/>
          <w14:textFill>
            <w14:solidFill>
              <w14:schemeClr w14:val="tx1"/>
            </w14:solidFill>
          </w14:textFill>
        </w:rPr>
        <w:t> </w:t>
      </w:r>
    </w:p>
    <w:p w14:paraId="68058B62">
      <w:pPr>
        <w:ind w:firstLine="480" w:firstLineChars="200"/>
        <w:jc w:val="both"/>
        <w:rPr>
          <w:rFonts w:ascii="楷体_GB2312" w:hAnsi="Arial" w:eastAsia="楷体_GB2312"/>
          <w:color w:val="000000" w:themeColor="text1"/>
          <w14:textFill>
            <w14:solidFill>
              <w14:schemeClr w14:val="tx1"/>
            </w14:solidFill>
          </w14:textFill>
        </w:rPr>
      </w:pPr>
    </w:p>
    <w:p w14:paraId="47C9251B">
      <w:pPr>
        <w:ind w:firstLine="482" w:firstLineChars="200"/>
        <w:jc w:val="both"/>
        <w:rPr>
          <w:rFonts w:ascii="楷体_GB2312" w:hAnsi="楷体_GB2312" w:eastAsia="楷体_GB2312" w:cs="楷体_GB2312"/>
          <w:b/>
          <w:bCs/>
          <w:color w:val="000000" w:themeColor="text1"/>
          <w14:textFill>
            <w14:solidFill>
              <w14:schemeClr w14:val="tx1"/>
            </w14:solidFill>
          </w14:textFill>
        </w:rPr>
      </w:pPr>
      <w:r>
        <w:rPr>
          <w:rFonts w:hint="eastAsia" w:ascii="楷体_GB2312" w:hAnsi="楷体_GB2312" w:eastAsia="楷体_GB2312" w:cs="楷体_GB2312"/>
          <w:b/>
          <w:bCs/>
          <w:color w:val="000000" w:themeColor="text1"/>
          <w14:textFill>
            <w14:solidFill>
              <w14:schemeClr w14:val="tx1"/>
            </w14:solidFill>
          </w14:textFill>
        </w:rPr>
        <w:t>【示例】：若投资者购买本理财产品，假设理财产品本金为</w:t>
      </w:r>
      <w:r>
        <w:rPr>
          <w:rFonts w:ascii="楷体_GB2312" w:hAnsi="楷体_GB2312" w:eastAsia="楷体_GB2312" w:cs="楷体_GB2312"/>
          <w:b/>
          <w:bCs/>
          <w:color w:val="000000" w:themeColor="text1"/>
          <w14:textFill>
            <w14:solidFill>
              <w14:schemeClr w14:val="tx1"/>
            </w14:solidFill>
          </w14:textFill>
        </w:rPr>
        <w:t>1.00亿元，在最不利情况下，理财本金及收益全部损失。</w:t>
      </w:r>
    </w:p>
    <w:p w14:paraId="2245C57A">
      <w:pPr>
        <w:jc w:val="both"/>
        <w:rPr>
          <w:rFonts w:ascii="楷体_GB2312" w:hAnsi="楷体_GB2312" w:eastAsia="楷体_GB2312" w:cs="楷体_GB2312"/>
          <w:b/>
          <w:bCs/>
          <w:color w:val="000000" w:themeColor="text1"/>
          <w14:textFill>
            <w14:solidFill>
              <w14:schemeClr w14:val="tx1"/>
            </w14:solidFill>
          </w14:textFill>
        </w:rPr>
      </w:pPr>
    </w:p>
    <w:p w14:paraId="284DDE25">
      <w:pPr>
        <w:ind w:firstLine="482" w:firstLineChars="200"/>
        <w:jc w:val="both"/>
        <w:rPr>
          <w:rFonts w:ascii="黑体" w:hAnsi="黑体" w:eastAsia="黑体"/>
          <w:b/>
          <w:color w:val="000000" w:themeColor="text1"/>
          <w14:textFill>
            <w14:solidFill>
              <w14:schemeClr w14:val="tx1"/>
            </w14:solidFill>
          </w14:textFill>
        </w:rPr>
      </w:pPr>
      <w:r>
        <w:rPr>
          <w:rFonts w:hint="eastAsia" w:ascii="黑体" w:hAnsi="黑体" w:eastAsia="黑体"/>
          <w:b/>
          <w:color w:val="000000" w:themeColor="text1"/>
          <w14:textFill>
            <w14:solidFill>
              <w14:schemeClr w14:val="tx1"/>
            </w14:solidFill>
          </w14:textFill>
        </w:rPr>
        <w:t>理财非存款</w:t>
      </w:r>
      <w:r>
        <w:rPr>
          <w:rFonts w:ascii="黑体" w:hAnsi="黑体" w:eastAsia="黑体"/>
          <w:b/>
          <w:color w:val="000000" w:themeColor="text1"/>
          <w14:textFill>
            <w14:solidFill>
              <w14:schemeClr w14:val="tx1"/>
            </w14:solidFill>
          </w14:textFill>
        </w:rPr>
        <w:t>、产品</w:t>
      </w:r>
      <w:r>
        <w:rPr>
          <w:rFonts w:hint="eastAsia" w:ascii="黑体" w:hAnsi="黑体" w:eastAsia="黑体"/>
          <w:b/>
          <w:color w:val="000000" w:themeColor="text1"/>
          <w14:textFill>
            <w14:solidFill>
              <w14:schemeClr w14:val="tx1"/>
            </w14:solidFill>
          </w14:textFill>
        </w:rPr>
        <w:t>有</w:t>
      </w:r>
      <w:r>
        <w:rPr>
          <w:rFonts w:ascii="黑体" w:hAnsi="黑体" w:eastAsia="黑体"/>
          <w:b/>
          <w:color w:val="000000" w:themeColor="text1"/>
          <w14:textFill>
            <w14:solidFill>
              <w14:schemeClr w14:val="tx1"/>
            </w14:solidFill>
          </w14:textFill>
        </w:rPr>
        <w:t>风险、投资须谨慎</w:t>
      </w:r>
      <w:r>
        <w:rPr>
          <w:rFonts w:hint="eastAsia" w:ascii="黑体" w:hAnsi="黑体" w:eastAsia="黑体"/>
          <w:b/>
          <w:color w:val="000000" w:themeColor="text1"/>
          <w14:textFill>
            <w14:solidFill>
              <w14:schemeClr w14:val="tx1"/>
            </w14:solidFill>
          </w14:textFill>
        </w:rPr>
        <w:t>！</w:t>
      </w:r>
    </w:p>
    <w:p w14:paraId="3ABFB494">
      <w:pPr>
        <w:ind w:firstLine="482" w:firstLineChars="200"/>
        <w:jc w:val="both"/>
        <w:rPr>
          <w:rFonts w:ascii="黑体" w:hAnsi="黑体" w:eastAsia="黑体"/>
          <w:b/>
          <w:color w:val="000000" w:themeColor="text1"/>
          <w14:textFill>
            <w14:solidFill>
              <w14:schemeClr w14:val="tx1"/>
            </w14:solidFill>
          </w14:textFill>
        </w:rPr>
      </w:pPr>
    </w:p>
    <w:p w14:paraId="4F8A2514">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如影响您风险承受能力的因素发生变化，请及时告知信银理财或代销机构并重新进行风险承受能力评估。</w:t>
      </w:r>
      <w:r>
        <w:rPr>
          <w:rFonts w:ascii="楷体_GB2312" w:hAnsi="Arial" w:eastAsia="楷体_GB2312" w:cs="楷体_GB2312"/>
          <w:color w:val="000000" w:themeColor="text1"/>
          <w14:textFill>
            <w14:solidFill>
              <w14:schemeClr w14:val="tx1"/>
            </w14:solidFill>
          </w14:textFill>
        </w:rPr>
        <w:t xml:space="preserve"> </w:t>
      </w:r>
    </w:p>
    <w:p w14:paraId="08042F01">
      <w:pPr>
        <w:jc w:val="right"/>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风险揭示方：</w:t>
      </w:r>
      <w:r>
        <w:rPr>
          <w:rFonts w:ascii="楷体_GB2312" w:hAnsi="Arial" w:eastAsia="楷体_GB2312" w:cs="楷体_GB2312"/>
          <w:color w:val="000000" w:themeColor="text1"/>
          <w14:textFill>
            <w14:solidFill>
              <w14:schemeClr w14:val="tx1"/>
            </w14:solidFill>
          </w14:textFill>
        </w:rPr>
        <w:t xml:space="preserve"> </w:t>
      </w:r>
      <w:r>
        <w:rPr>
          <w:rFonts w:hint="eastAsia" w:ascii="楷体_GB2312" w:hAnsi="Arial" w:eastAsia="楷体_GB2312" w:cs="楷体_GB2312"/>
          <w:color w:val="000000" w:themeColor="text1"/>
          <w14:textFill>
            <w14:solidFill>
              <w14:schemeClr w14:val="tx1"/>
            </w14:solidFill>
          </w14:textFill>
        </w:rPr>
        <w:t>信银理财有限责任公司</w:t>
      </w:r>
    </w:p>
    <w:p w14:paraId="16300481">
      <w:pPr>
        <w:jc w:val="center"/>
        <w:rPr>
          <w:rFonts w:ascii="楷体_GB2312" w:hAnsi="Arial" w:eastAsia="楷体_GB2312" w:cs="楷体_GB2312"/>
          <w:b/>
          <w:bCs/>
          <w:color w:val="000000" w:themeColor="text1"/>
          <w:u w:val="single"/>
          <w14:textFill>
            <w14:solidFill>
              <w14:schemeClr w14:val="tx1"/>
            </w14:solidFill>
          </w14:textFill>
        </w:rPr>
      </w:pPr>
    </w:p>
    <w:p w14:paraId="50E37EDD">
      <w:pPr>
        <w:jc w:val="center"/>
        <w:rPr>
          <w:rFonts w:ascii="楷体_GB2312" w:hAnsi="Arial" w:eastAsia="楷体_GB2312" w:cs="楷体_GB2312"/>
          <w:b/>
          <w:bCs/>
          <w:color w:val="000000" w:themeColor="text1"/>
          <w:u w:val="single"/>
          <w14:textFill>
            <w14:solidFill>
              <w14:schemeClr w14:val="tx1"/>
            </w14:solidFill>
          </w14:textFill>
        </w:rPr>
      </w:pPr>
    </w:p>
    <w:p w14:paraId="441A79CF">
      <w:pPr>
        <w:jc w:val="center"/>
        <w:rPr>
          <w:rFonts w:ascii="楷体_GB2312" w:hAnsi="Arial" w:eastAsia="楷体_GB2312" w:cs="楷体_GB2312"/>
          <w:b/>
          <w:bCs/>
          <w:color w:val="000000" w:themeColor="text1"/>
          <w:u w:val="single"/>
          <w14:textFill>
            <w14:solidFill>
              <w14:schemeClr w14:val="tx1"/>
            </w14:solidFill>
          </w14:textFill>
        </w:rPr>
      </w:pPr>
    </w:p>
    <w:p w14:paraId="5109FBA7">
      <w:pPr>
        <w:jc w:val="center"/>
        <w:rPr>
          <w:rFonts w:ascii="楷体_GB2312" w:hAnsi="Arial" w:eastAsia="楷体_GB2312" w:cs="楷体_GB2312"/>
          <w:b/>
          <w:bCs/>
          <w:color w:val="000000" w:themeColor="text1"/>
          <w:u w:val="single"/>
          <w14:textFill>
            <w14:solidFill>
              <w14:schemeClr w14:val="tx1"/>
            </w14:solidFill>
          </w14:textFill>
        </w:rPr>
      </w:pPr>
    </w:p>
    <w:p w14:paraId="627237CE">
      <w:pPr>
        <w:jc w:val="center"/>
        <w:rPr>
          <w:rFonts w:ascii="楷体_GB2312" w:eastAsia="楷体_GB2312"/>
          <w:color w:val="000000" w:themeColor="text1"/>
          <w14:textFill>
            <w14:solidFill>
              <w14:schemeClr w14:val="tx1"/>
            </w14:solidFill>
          </w14:textFill>
        </w:rPr>
      </w:pPr>
      <w:r>
        <w:rPr>
          <w:rFonts w:hint="eastAsia" w:ascii="楷体_GB2312" w:hAnsi="Arial" w:eastAsia="楷体_GB2312" w:cs="楷体_GB2312"/>
          <w:b/>
          <w:bCs/>
          <w:color w:val="000000" w:themeColor="text1"/>
          <w:u w:val="single"/>
          <w14:textFill>
            <w14:solidFill>
              <w14:schemeClr w14:val="tx1"/>
            </w14:solidFill>
          </w14:textFill>
        </w:rPr>
        <w:t>客</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户</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确</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认</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栏</w:t>
      </w:r>
    </w:p>
    <w:p w14:paraId="4A12E7D2">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本人/本单位确认，本人/本单位购买该理财产品为本人/本单位真实的意思表示</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并认为该理财产品完全适合本人/本单位的投资目标、投资预期以及风险承受能力，本人/本单位自愿承担由此带来的一切后果。本人/本单位确认信银理财</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代销机构相关业务人员对于理财产品销售文件中限制或排除本人/本单位权利、增加或加重本人/本单位义务或责任以及有关免除或减轻信银理财责任或信银理财单方面拥有某些权利的条款已向本人/本单位予以说明，本人/本单位已完全理解并自愿接受。</w:t>
      </w:r>
      <w:r>
        <w:rPr>
          <w:rFonts w:ascii="楷体_GB2312" w:hAnsi="Arial" w:eastAsia="楷体_GB2312" w:cs="楷体_GB2312"/>
          <w:color w:val="000000" w:themeColor="text1"/>
          <w14:textFill>
            <w14:solidFill>
              <w14:schemeClr w14:val="tx1"/>
            </w14:solidFill>
          </w14:textFill>
        </w:rPr>
        <w:t xml:space="preserve"> </w:t>
      </w:r>
    </w:p>
    <w:p w14:paraId="5E8234DE">
      <w:pPr>
        <w:pStyle w:val="19"/>
        <w:ind w:firstLine="480" w:firstLineChars="0"/>
        <w:jc w:val="both"/>
        <w:rPr>
          <w:rFonts w:ascii="楷体_GB2312" w:eastAsia="楷体_GB2312"/>
          <w:color w:val="000000" w:themeColor="text1"/>
          <w14:textFill>
            <w14:solidFill>
              <w14:schemeClr w14:val="tx1"/>
            </w14:solidFill>
          </w14:textFill>
        </w:rPr>
      </w:pPr>
    </w:p>
    <w:p w14:paraId="3CBC5B63">
      <w:pPr>
        <w:pStyle w:val="19"/>
        <w:ind w:firstLine="480" w:firstLineChars="0"/>
        <w:jc w:val="both"/>
        <w:rPr>
          <w:rFonts w:ascii="楷体_GB2312" w:eastAsia="楷体_GB2312"/>
          <w:b/>
          <w:color w:val="000000" w:themeColor="text1"/>
          <w14:textFill>
            <w14:solidFill>
              <w14:schemeClr w14:val="tx1"/>
            </w14:solidFill>
          </w14:textFill>
        </w:rPr>
      </w:pPr>
      <w:r>
        <w:rPr>
          <w:rFonts w:hint="eastAsia" w:ascii="楷体_GB2312" w:eastAsia="楷体_GB2312"/>
          <w:b/>
          <w:color w:val="000000" w:themeColor="text1"/>
          <w14:textFill>
            <w14:solidFill>
              <w14:schemeClr w14:val="tx1"/>
            </w14:solidFill>
          </w14:textFill>
        </w:rPr>
        <w:t>本人</w:t>
      </w:r>
      <w:r>
        <w:rPr>
          <w:rFonts w:hint="eastAsia" w:ascii="楷体_GB2312" w:hAnsi="Arial" w:eastAsia="楷体_GB2312" w:cs="楷体_GB2312"/>
          <w:b/>
          <w:color w:val="000000" w:themeColor="text1"/>
          <w14:textFill>
            <w14:solidFill>
              <w14:schemeClr w14:val="tx1"/>
            </w14:solidFill>
          </w14:textFill>
        </w:rPr>
        <w:t>/本单位</w:t>
      </w:r>
      <w:r>
        <w:rPr>
          <w:rFonts w:hint="eastAsia" w:ascii="楷体_GB2312" w:eastAsia="楷体_GB2312"/>
          <w:b/>
          <w:color w:val="000000" w:themeColor="text1"/>
          <w14:textFill>
            <w14:solidFill>
              <w14:schemeClr w14:val="tx1"/>
            </w14:solidFill>
          </w14:textFill>
        </w:rPr>
        <w:t>确认，将向本理财产品销售机构真实提供信息，自主作出认购等决定，独立对销售文件进行签字</w:t>
      </w:r>
      <w:r>
        <w:rPr>
          <w:rFonts w:ascii="楷体_GB2312" w:eastAsia="楷体_GB2312"/>
          <w:b/>
          <w:color w:val="000000" w:themeColor="text1"/>
          <w14:textFill>
            <w14:solidFill>
              <w14:schemeClr w14:val="tx1"/>
            </w14:solidFill>
          </w14:textFill>
        </w:rPr>
        <w:t>/盖章确认，自主承担投资风险。本人/本单位拒绝向销售机构提供或者未按照要求提供信息的，销售机构有权告知本人/本单位相应的后果和责任，并有权拒绝向本人/本单位提供销售服务。</w:t>
      </w:r>
    </w:p>
    <w:p w14:paraId="354D162E">
      <w:pPr>
        <w:pStyle w:val="19"/>
        <w:ind w:firstLine="480" w:firstLineChars="0"/>
        <w:jc w:val="both"/>
        <w:rPr>
          <w:rFonts w:ascii="楷体_GB2312" w:eastAsia="楷体_GB2312"/>
          <w:color w:val="000000" w:themeColor="text1"/>
          <w14:textFill>
            <w14:solidFill>
              <w14:schemeClr w14:val="tx1"/>
            </w14:solidFill>
          </w14:textFill>
        </w:rPr>
      </w:pPr>
      <w:r>
        <w:rPr>
          <w:rFonts w:hint="eastAsia" w:ascii="楷体_GB2312" w:eastAsia="楷体_GB2312"/>
          <w:color w:val="000000" w:themeColor="text1"/>
          <w14:textFill>
            <w14:solidFill>
              <w14:schemeClr w14:val="tx1"/>
            </w14:solidFill>
          </w14:textFill>
        </w:rPr>
        <w:t>本人</w:t>
      </w:r>
      <w:r>
        <w:rPr>
          <w:rFonts w:hint="eastAsia" w:ascii="楷体_GB2312" w:hAnsi="Arial" w:eastAsia="楷体_GB2312" w:cs="楷体_GB2312"/>
          <w:color w:val="000000" w:themeColor="text1"/>
          <w14:textFill>
            <w14:solidFill>
              <w14:schemeClr w14:val="tx1"/>
            </w14:solidFill>
          </w14:textFill>
        </w:rPr>
        <w:t>/本单位</w:t>
      </w:r>
      <w:r>
        <w:rPr>
          <w:rFonts w:hint="eastAsia" w:ascii="楷体_GB2312" w:eastAsia="楷体_GB2312"/>
          <w:color w:val="000000" w:themeColor="text1"/>
          <w14:textFill>
            <w14:solidFill>
              <w14:schemeClr w14:val="tx1"/>
            </w14:solidFill>
          </w14:textFill>
        </w:rPr>
        <w:t>确认</w:t>
      </w:r>
      <w:r>
        <w:rPr>
          <w:rFonts w:ascii="楷体_GB2312" w:eastAsia="楷体_GB2312"/>
          <w:color w:val="000000" w:themeColor="text1"/>
          <w14:textFill>
            <w14:solidFill>
              <w14:schemeClr w14:val="tx1"/>
            </w14:solidFill>
          </w14:textFill>
        </w:rPr>
        <w:t>，</w:t>
      </w:r>
      <w:r>
        <w:rPr>
          <w:rFonts w:hint="eastAsia" w:ascii="楷体_GB2312" w:eastAsia="楷体_GB2312"/>
          <w:color w:val="000000" w:themeColor="text1"/>
          <w14:textFill>
            <w14:solidFill>
              <w14:schemeClr w14:val="tx1"/>
            </w14:solidFill>
          </w14:textFill>
        </w:rPr>
        <w:t>投资</w:t>
      </w:r>
      <w:r>
        <w:rPr>
          <w:rFonts w:ascii="楷体_GB2312" w:eastAsia="楷体_GB2312"/>
          <w:color w:val="000000" w:themeColor="text1"/>
          <w14:textFill>
            <w14:solidFill>
              <w14:schemeClr w14:val="tx1"/>
            </w14:solidFill>
          </w14:textFill>
        </w:rPr>
        <w:t>本理财产品的</w:t>
      </w:r>
      <w:r>
        <w:rPr>
          <w:rFonts w:hint="eastAsia" w:ascii="楷体_GB2312" w:eastAsia="楷体_GB2312"/>
          <w:color w:val="000000" w:themeColor="text1"/>
          <w14:textFill>
            <w14:solidFill>
              <w14:schemeClr w14:val="tx1"/>
            </w14:solidFill>
          </w14:textFill>
        </w:rPr>
        <w:t>资金非贷款</w:t>
      </w:r>
      <w:r>
        <w:rPr>
          <w:rFonts w:ascii="楷体_GB2312" w:eastAsia="楷体_GB2312"/>
          <w:color w:val="000000" w:themeColor="text1"/>
          <w14:textFill>
            <w14:solidFill>
              <w14:schemeClr w14:val="tx1"/>
            </w14:solidFill>
          </w14:textFill>
        </w:rPr>
        <w:t>、发行债券等募集的非自有资金。</w:t>
      </w:r>
    </w:p>
    <w:p w14:paraId="4C2AC188">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本人/本单位确认已阅知客户权益须知，完全清楚理财产品购买流程、风险评估、产品评级含义、信息披露方式及渠道、信银理财及代销机构的联系方式及投诉程序等内容。</w:t>
      </w:r>
    </w:p>
    <w:p w14:paraId="4D578E10">
      <w:pPr>
        <w:ind w:firstLine="480" w:firstLineChars="200"/>
        <w:jc w:val="both"/>
        <w:rPr>
          <w:rFonts w:ascii="楷体_GB2312" w:hAnsi="Arial" w:eastAsia="楷体_GB2312" w:cs="楷体_GB2312"/>
          <w:color w:val="000000" w:themeColor="text1"/>
          <w14:textFill>
            <w14:solidFill>
              <w14:schemeClr w14:val="tx1"/>
            </w14:solidFill>
          </w14:textFill>
        </w:rPr>
      </w:pPr>
    </w:p>
    <w:p w14:paraId="7246582B">
      <w:pPr>
        <w:shd w:val="clear" w:color="auto" w:fill="FFFFFF"/>
        <w:spacing w:line="300" w:lineRule="exact"/>
        <w:ind w:firstLine="482" w:firstLineChars="200"/>
        <w:jc w:val="both"/>
        <w:outlineLvl w:val="1"/>
        <w:rPr>
          <w:rFonts w:ascii="楷体_GB2312" w:hAnsi="Arial" w:eastAsia="楷体_GB2312" w:cs="楷体_GB2312"/>
          <w:b/>
          <w:bCs/>
        </w:rPr>
      </w:pPr>
      <w:r>
        <w:rPr>
          <w:rFonts w:hint="eastAsia" w:ascii="楷体_GB2312" w:hAnsi="Arial" w:eastAsia="楷体_GB2312" w:cs="楷体_GB2312"/>
          <w:b/>
          <w:bCs/>
        </w:rPr>
        <w:t>本人</w:t>
      </w:r>
      <w:r>
        <w:rPr>
          <w:rFonts w:ascii="楷体_GB2312" w:hAnsi="Arial" w:eastAsia="楷体_GB2312" w:cs="楷体_GB2312"/>
          <w:b/>
          <w:bCs/>
        </w:rPr>
        <w:t>/本单位确认，自愿同意并授权管理人代本人/本单位按照理财产品说明书中的约定，</w:t>
      </w:r>
      <w:r>
        <w:rPr>
          <w:rFonts w:ascii="楷体_GB2312" w:hAnsi="Arial" w:eastAsia="楷体_GB2312" w:cs="楷体_GB2312"/>
          <w:b/>
          <w:bCs/>
          <w:color w:val="FF0000"/>
        </w:rPr>
        <w:t>在本产品到期日或提前终止日时，按照产品年化收益超过业绩比较基准</w:t>
      </w:r>
      <w:r>
        <w:rPr>
          <w:rFonts w:hint="eastAsia" w:ascii="楷体_GB2312" w:hAnsi="Arial" w:eastAsia="楷体_GB2312" w:cs="楷体_GB2312"/>
          <w:b/>
          <w:bCs/>
          <w:color w:val="FF0000"/>
          <w:lang w:val="en-US" w:eastAsia="zh-CN"/>
        </w:rPr>
        <w:t>中枢</w:t>
      </w:r>
      <w:r>
        <w:rPr>
          <w:rFonts w:ascii="楷体_GB2312" w:hAnsi="Arial" w:eastAsia="楷体_GB2312" w:cs="楷体_GB2312"/>
          <w:b/>
          <w:bCs/>
          <w:color w:val="FF0000"/>
        </w:rPr>
        <w:t>部分的【</w:t>
      </w:r>
      <w:r>
        <w:rPr>
          <w:rFonts w:hint="eastAsia" w:ascii="楷体_GB2312" w:hAnsi="Arial" w:eastAsia="楷体_GB2312" w:cs="楷体_GB2312"/>
          <w:b/>
          <w:bCs/>
          <w:color w:val="FF0000"/>
          <w:lang w:val="en-US" w:eastAsia="zh-CN"/>
        </w:rPr>
        <w:t>50</w:t>
      </w:r>
      <w:r>
        <w:rPr>
          <w:rFonts w:ascii="楷体_GB2312" w:hAnsi="Arial" w:eastAsia="楷体_GB2312" w:cs="楷体_GB2312"/>
          <w:b/>
          <w:bCs/>
          <w:color w:val="FF0000"/>
        </w:rPr>
        <w:t>%】进行捐赠</w:t>
      </w:r>
      <w:r>
        <w:rPr>
          <w:rFonts w:ascii="楷体_GB2312" w:hAnsi="Arial" w:eastAsia="楷体_GB2312" w:cs="楷体_GB2312"/>
          <w:b/>
          <w:bCs/>
        </w:rPr>
        <w:t>。在产品到期清算过程中，</w:t>
      </w:r>
      <w:r>
        <w:rPr>
          <w:rFonts w:ascii="楷体_GB2312" w:hAnsi="Arial" w:eastAsia="楷体_GB2312" w:cs="楷体_GB2312"/>
          <w:b/>
          <w:bCs/>
          <w:color w:val="FF0000"/>
        </w:rPr>
        <w:t>如产品年化收益率超过业绩比较基准</w:t>
      </w:r>
      <w:r>
        <w:rPr>
          <w:rFonts w:hint="eastAsia" w:ascii="楷体_GB2312" w:hAnsi="Arial" w:eastAsia="楷体_GB2312" w:cs="楷体_GB2312"/>
          <w:b/>
          <w:bCs/>
          <w:color w:val="FF0000"/>
          <w:lang w:val="en-US" w:eastAsia="zh-CN"/>
        </w:rPr>
        <w:t>中枢</w:t>
      </w:r>
      <w:r>
        <w:rPr>
          <w:rFonts w:ascii="楷体_GB2312" w:hAnsi="Arial" w:eastAsia="楷体_GB2312" w:cs="楷体_GB2312"/>
          <w:b/>
          <w:bCs/>
          <w:color w:val="FF0000"/>
        </w:rPr>
        <w:t>，则按照超过业绩比较基准</w:t>
      </w:r>
      <w:r>
        <w:rPr>
          <w:rFonts w:hint="eastAsia" w:ascii="楷体_GB2312" w:hAnsi="Arial" w:eastAsia="楷体_GB2312" w:cs="楷体_GB2312"/>
          <w:b/>
          <w:bCs/>
          <w:color w:val="FF0000"/>
          <w:lang w:val="en-US" w:eastAsia="zh-CN"/>
        </w:rPr>
        <w:t>中枢</w:t>
      </w:r>
      <w:r>
        <w:rPr>
          <w:rFonts w:ascii="楷体_GB2312" w:hAnsi="Arial" w:eastAsia="楷体_GB2312" w:cs="楷体_GB2312"/>
          <w:b/>
          <w:bCs/>
          <w:color w:val="FF0000"/>
        </w:rPr>
        <w:t>部分的【</w:t>
      </w:r>
      <w:r>
        <w:rPr>
          <w:rFonts w:hint="eastAsia" w:ascii="楷体_GB2312" w:hAnsi="Arial" w:eastAsia="楷体_GB2312" w:cs="楷体_GB2312"/>
          <w:b/>
          <w:bCs/>
          <w:color w:val="FF0000"/>
          <w:lang w:val="en-US" w:eastAsia="zh-CN"/>
        </w:rPr>
        <w:t>50</w:t>
      </w:r>
      <w:r>
        <w:rPr>
          <w:rFonts w:ascii="楷体_GB2312" w:hAnsi="Arial" w:eastAsia="楷体_GB2312" w:cs="楷体_GB2312"/>
          <w:b/>
          <w:bCs/>
          <w:color w:val="FF0000"/>
        </w:rPr>
        <w:t>%】进行捐赠。管理人将代投资者直接将捐赠金额以投资者名义捐赠至【</w:t>
      </w:r>
      <w:r>
        <w:rPr>
          <w:rFonts w:hint="eastAsia" w:ascii="楷体_GB2312" w:hAnsi="Arial" w:eastAsia="楷体_GB2312" w:cs="楷体_GB2312"/>
          <w:b/>
          <w:bCs/>
          <w:color w:val="FF0000"/>
          <w:lang w:val="en-US" w:eastAsia="zh-CN"/>
        </w:rPr>
        <w:t>浙江省慈善联合总会</w:t>
      </w:r>
      <w:r>
        <w:rPr>
          <w:rFonts w:ascii="楷体_GB2312" w:hAnsi="Arial" w:eastAsia="楷体_GB2312" w:cs="楷体_GB2312"/>
          <w:b/>
          <w:bCs/>
          <w:color w:val="FF0000"/>
        </w:rPr>
        <w:t>】（网址</w:t>
      </w:r>
      <w:r>
        <w:rPr>
          <w:rFonts w:hint="eastAsia" w:ascii="楷体_GB2312" w:hAnsi="Arial" w:eastAsia="楷体_GB2312" w:cs="楷体_GB2312"/>
          <w:b/>
          <w:bCs/>
          <w:color w:val="FF0000"/>
          <w:lang w:val="en-US" w:eastAsia="zh-CN"/>
        </w:rPr>
        <w:t>https://www.zcf.org.cn</w:t>
      </w:r>
      <w:r>
        <w:rPr>
          <w:rFonts w:hint="eastAsia" w:ascii="楷体_GB2312" w:hAnsi="Arial" w:eastAsia="楷体_GB2312" w:cs="楷体_GB2312"/>
          <w:b/>
          <w:bCs/>
          <w:color w:val="FF0000"/>
        </w:rPr>
        <w:t>，地方性公募基金会</w:t>
      </w:r>
      <w:r>
        <w:rPr>
          <w:rFonts w:ascii="楷体_GB2312" w:hAnsi="Arial" w:eastAsia="楷体_GB2312" w:cs="楷体_GB2312"/>
          <w:b/>
          <w:bCs/>
          <w:color w:val="FF0000"/>
        </w:rPr>
        <w:t>）</w:t>
      </w:r>
      <w:r>
        <w:rPr>
          <w:rFonts w:ascii="楷体_GB2312" w:hAnsi="Arial" w:eastAsia="楷体_GB2312" w:cs="楷体_GB2312"/>
          <w:b/>
          <w:bCs/>
        </w:rPr>
        <w:t>，产品到期后，投资者可通过产品销售机构或产品销售机构认可的其他方式申请办理相关捐赠证明，具体可详询【中信银行24小时客户服务热线95558】【信银理财客户服务热线950950，工作时间为工作日8：30-20：30】。</w:t>
      </w:r>
      <w:r>
        <w:rPr>
          <w:rFonts w:ascii="楷体_GB2312" w:hAnsi="Arial" w:eastAsia="楷体_GB2312" w:cs="楷体_GB2312"/>
          <w:b/>
          <w:bCs/>
          <w:color w:val="FF0000"/>
        </w:rPr>
        <w:t>投资者同意将捐赠金额的【</w:t>
      </w:r>
      <w:r>
        <w:rPr>
          <w:rFonts w:hint="eastAsia" w:ascii="楷体_GB2312" w:hAnsi="Arial" w:eastAsia="楷体_GB2312" w:cs="楷体_GB2312"/>
          <w:b/>
          <w:bCs/>
          <w:color w:val="FF0000"/>
          <w:lang w:val="en-US" w:eastAsia="zh-CN"/>
        </w:rPr>
        <w:t>10</w:t>
      </w:r>
      <w:r>
        <w:rPr>
          <w:rFonts w:ascii="楷体_GB2312" w:hAnsi="Arial" w:eastAsia="楷体_GB2312" w:cs="楷体_GB2312"/>
          <w:b/>
          <w:bCs/>
          <w:color w:val="FF0000"/>
        </w:rPr>
        <w:t>%】用于【</w:t>
      </w:r>
      <w:r>
        <w:rPr>
          <w:rFonts w:hint="eastAsia" w:ascii="楷体_GB2312" w:hAnsi="Arial" w:eastAsia="楷体_GB2312" w:cs="楷体_GB2312"/>
          <w:b/>
          <w:bCs/>
          <w:color w:val="FF0000"/>
          <w:lang w:val="en-US" w:eastAsia="zh-CN"/>
        </w:rPr>
        <w:t>浙江省慈善联合总会</w:t>
      </w:r>
      <w:r>
        <w:rPr>
          <w:rFonts w:ascii="楷体_GB2312" w:hAnsi="Arial" w:eastAsia="楷体_GB2312" w:cs="楷体_GB2312"/>
          <w:b/>
          <w:bCs/>
          <w:color w:val="FF0000"/>
        </w:rPr>
        <w:t>】管理费用</w:t>
      </w:r>
      <w:r>
        <w:rPr>
          <w:rFonts w:ascii="楷体_GB2312" w:hAnsi="Arial" w:eastAsia="楷体_GB2312" w:cs="楷体_GB2312"/>
          <w:b/>
          <w:bCs/>
        </w:rPr>
        <w:t>，【</w:t>
      </w:r>
      <w:r>
        <w:rPr>
          <w:rFonts w:hint="eastAsia" w:ascii="楷体_GB2312" w:hAnsi="Arial" w:eastAsia="楷体_GB2312" w:cs="楷体_GB2312"/>
          <w:b/>
          <w:bCs/>
        </w:rPr>
        <w:t>浙江省慈善联合总会</w:t>
      </w:r>
      <w:r>
        <w:rPr>
          <w:rFonts w:ascii="楷体_GB2312" w:hAnsi="Arial" w:eastAsia="楷体_GB2312" w:cs="楷体_GB2312"/>
          <w:b/>
          <w:bCs/>
        </w:rPr>
        <w:t>】有权按照相关法律法规的要求，合理使用捐赠款项，但不得擅自改变捐赠款项用途。投资者知晓并同意本次慈善捐赠为不可撤销的赠与，投资者无权要求信银理财或【</w:t>
      </w:r>
      <w:r>
        <w:rPr>
          <w:rFonts w:hint="eastAsia" w:ascii="楷体_GB2312" w:hAnsi="Arial" w:eastAsia="楷体_GB2312" w:cs="楷体_GB2312"/>
          <w:b/>
          <w:bCs/>
        </w:rPr>
        <w:t>浙江省慈善联合总会</w:t>
      </w:r>
      <w:r>
        <w:rPr>
          <w:rFonts w:ascii="楷体_GB2312" w:hAnsi="Arial" w:eastAsia="楷体_GB2312" w:cs="楷体_GB2312"/>
          <w:b/>
          <w:bCs/>
        </w:rPr>
        <w:t>】返还捐赠款项。投资者同意并授权信银理财向【</w:t>
      </w:r>
      <w:r>
        <w:rPr>
          <w:rFonts w:hint="eastAsia" w:ascii="楷体_GB2312" w:hAnsi="Arial" w:eastAsia="楷体_GB2312" w:cs="楷体_GB2312"/>
          <w:b/>
          <w:bCs/>
        </w:rPr>
        <w:t>浙江省慈善联合总会</w:t>
      </w:r>
      <w:r>
        <w:rPr>
          <w:rFonts w:ascii="楷体_GB2312" w:hAnsi="Arial" w:eastAsia="楷体_GB2312" w:cs="楷体_GB2312"/>
          <w:b/>
          <w:bCs/>
        </w:rPr>
        <w:t>】提供【投资者姓名、身份证号、持有的理财产品份额、手机号码、邮箱地址】等信息以用于开具捐赠证明或捐赠票据。</w:t>
      </w:r>
    </w:p>
    <w:p w14:paraId="35DD9BE4">
      <w:pPr>
        <w:ind w:firstLine="482" w:firstLineChars="200"/>
        <w:jc w:val="both"/>
        <w:rPr>
          <w:rFonts w:ascii="楷体_GB2312" w:hAnsi="Arial" w:eastAsia="楷体_GB2312" w:cs="楷体_GB2312"/>
          <w:b/>
          <w:bCs/>
        </w:rPr>
      </w:pPr>
      <w:r>
        <w:rPr>
          <w:rFonts w:hint="eastAsia" w:ascii="楷体_GB2312" w:hAnsi="Arial" w:eastAsia="楷体_GB2312" w:cs="楷体_GB2312"/>
          <w:b/>
          <w:bCs/>
        </w:rPr>
        <w:t>本人/本单位确认,</w:t>
      </w:r>
      <w:r>
        <w:rPr>
          <w:rFonts w:ascii="楷体_GB2312" w:hAnsi="Arial" w:eastAsia="楷体_GB2312" w:cs="楷体_GB2312"/>
          <w:b/>
          <w:bCs/>
        </w:rPr>
        <w:t xml:space="preserve"> </w:t>
      </w:r>
      <w:r>
        <w:rPr>
          <w:rFonts w:hint="eastAsia" w:ascii="楷体_GB2312" w:hAnsi="Arial" w:eastAsia="楷体_GB2312" w:cs="楷体_GB2312"/>
          <w:b/>
          <w:bCs/>
        </w:rPr>
        <w:t>如因政策原因、政府行为、不可抗力等因素导致捐赠款项被退回，或慈善组织被撤销登记、吊销登记证书或被采取其他监管措施,</w:t>
      </w:r>
      <w:r>
        <w:rPr>
          <w:rFonts w:ascii="楷体_GB2312" w:hAnsi="Arial" w:eastAsia="楷体_GB2312" w:cs="楷体_GB2312"/>
          <w:b/>
          <w:bCs/>
        </w:rPr>
        <w:t xml:space="preserve"> </w:t>
      </w:r>
      <w:r>
        <w:rPr>
          <w:rFonts w:hint="eastAsia" w:ascii="楷体_GB2312" w:hAnsi="Arial" w:eastAsia="楷体_GB2312" w:cs="楷体_GB2312"/>
          <w:b/>
          <w:bCs/>
        </w:rPr>
        <w:t>或发生相关监管部门对慈善组织进行检查、监管调查及处罚等风险，或存在其他经信银理财合理判断该慈善组织已不能或不宜接受捐赠的情形,</w:t>
      </w:r>
      <w:r>
        <w:rPr>
          <w:rFonts w:ascii="楷体_GB2312" w:hAnsi="Arial" w:eastAsia="楷体_GB2312" w:cs="楷体_GB2312"/>
          <w:b/>
          <w:bCs/>
        </w:rPr>
        <w:t xml:space="preserve"> </w:t>
      </w:r>
      <w:r>
        <w:rPr>
          <w:rFonts w:hint="eastAsia" w:ascii="楷体_GB2312" w:hAnsi="Arial" w:eastAsia="楷体_GB2312" w:cs="楷体_GB2312"/>
          <w:b/>
          <w:bCs/>
        </w:rPr>
        <w:t>本人/本单位自愿并授权信银理财根据法律法规或相关主管机构的规定进行处理（包括但不限于授权信银理财代本人/本单位选择其他宗旨相同或相近的慈善组织按照理财产品说明书中的约定进行捐赠，由届时接受捐赠的慈善组织按其规定收取管理费用并将捐赠款项依法用于其他慈善公益项目）。</w:t>
      </w:r>
    </w:p>
    <w:p w14:paraId="28536335">
      <w:pPr>
        <w:ind w:firstLine="480" w:firstLineChars="200"/>
        <w:jc w:val="both"/>
        <w:rPr>
          <w:color w:val="000000" w:themeColor="text1"/>
          <w14:textFill>
            <w14:solidFill>
              <w14:schemeClr w14:val="tx1"/>
            </w14:solidFill>
          </w14:textFill>
        </w:rPr>
      </w:pPr>
    </w:p>
    <w:p w14:paraId="1C294FFD">
      <w:pPr>
        <w:ind w:firstLine="480" w:firstLineChars="200"/>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本人/本单位确认如下：</w:t>
      </w:r>
      <w:r>
        <w:rPr>
          <w:rFonts w:ascii="楷体_GB2312" w:hAnsi="Arial" w:eastAsia="楷体_GB2312" w:cs="楷体_GB2312"/>
          <w:color w:val="000000" w:themeColor="text1"/>
          <w14:textFill>
            <w14:solidFill>
              <w14:schemeClr w14:val="tx1"/>
            </w14:solidFill>
          </w14:textFill>
        </w:rPr>
        <w:t xml:space="preserve"> </w:t>
      </w:r>
    </w:p>
    <w:p w14:paraId="7FF4B0B9">
      <w:pPr>
        <w:rPr>
          <w:rFonts w:ascii="楷体_GB2312" w:eastAsia="楷体_GB2312"/>
          <w:color w:val="000000" w:themeColor="text1"/>
          <w14:textFill>
            <w14:solidFill>
              <w14:schemeClr w14:val="tx1"/>
            </w14:solidFill>
          </w14:textFill>
        </w:rPr>
      </w:pPr>
    </w:p>
    <w:p w14:paraId="7A25A475">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本理财产品可能委托信银理财的关联方【中信银行股份有限</w:t>
      </w:r>
      <w:r>
        <w:rPr>
          <w:rFonts w:ascii="楷体_GB2312" w:hAnsi="Arial" w:eastAsia="楷体_GB2312" w:cs="楷体_GB2312"/>
          <w:b/>
          <w:bCs/>
          <w:color w:val="000000" w:themeColor="text1"/>
          <w14:textFill>
            <w14:solidFill>
              <w14:schemeClr w14:val="tx1"/>
            </w14:solidFill>
          </w14:textFill>
        </w:rPr>
        <w:t>公司</w:t>
      </w:r>
      <w:r>
        <w:rPr>
          <w:rFonts w:hint="eastAsia" w:ascii="楷体_GB2312" w:hAnsi="Arial" w:eastAsia="楷体_GB2312" w:cs="楷体_GB2312"/>
          <w:b/>
          <w:bCs/>
          <w:color w:val="000000" w:themeColor="text1"/>
          <w14:textFill>
            <w14:solidFill>
              <w14:schemeClr w14:val="tx1"/>
            </w14:solidFill>
          </w14:textFill>
        </w:rPr>
        <w:t>、中信</w:t>
      </w:r>
      <w:r>
        <w:rPr>
          <w:rFonts w:ascii="楷体_GB2312" w:hAnsi="Arial" w:eastAsia="楷体_GB2312" w:cs="楷体_GB2312"/>
          <w:b/>
          <w:bCs/>
          <w:color w:val="000000" w:themeColor="text1"/>
          <w14:textFill>
            <w14:solidFill>
              <w14:schemeClr w14:val="tx1"/>
            </w14:solidFill>
          </w14:textFill>
        </w:rPr>
        <w:t>百信银行</w:t>
      </w:r>
      <w:r>
        <w:rPr>
          <w:rFonts w:hint="eastAsia" w:ascii="楷体_GB2312" w:hAnsi="Arial" w:eastAsia="楷体_GB2312" w:cs="楷体_GB2312"/>
          <w:b/>
          <w:bCs/>
          <w:color w:val="000000" w:themeColor="text1"/>
          <w14:textFill>
            <w14:solidFill>
              <w14:schemeClr w14:val="tx1"/>
            </w14:solidFill>
          </w14:textFill>
        </w:rPr>
        <w:t>股份</w:t>
      </w:r>
      <w:r>
        <w:rPr>
          <w:rFonts w:ascii="楷体_GB2312" w:hAnsi="Arial" w:eastAsia="楷体_GB2312" w:cs="楷体_GB2312"/>
          <w:b/>
          <w:bCs/>
          <w:color w:val="000000" w:themeColor="text1"/>
          <w14:textFill>
            <w14:solidFill>
              <w14:schemeClr w14:val="tx1"/>
            </w14:solidFill>
          </w14:textFill>
        </w:rPr>
        <w:t>有限</w:t>
      </w:r>
      <w:r>
        <w:rPr>
          <w:rFonts w:hint="eastAsia" w:ascii="楷体_GB2312" w:hAnsi="Arial" w:eastAsia="楷体_GB2312" w:cs="楷体_GB2312"/>
          <w:b/>
          <w:bCs/>
          <w:color w:val="000000" w:themeColor="text1"/>
          <w14:textFill>
            <w14:solidFill>
              <w14:schemeClr w14:val="tx1"/>
            </w14:solidFill>
          </w14:textFill>
        </w:rPr>
        <w:t>公司】销售，【中信银行股份有限</w:t>
      </w:r>
      <w:r>
        <w:rPr>
          <w:rFonts w:ascii="楷体_GB2312" w:hAnsi="Arial" w:eastAsia="楷体_GB2312" w:cs="楷体_GB2312"/>
          <w:b/>
          <w:bCs/>
          <w:color w:val="000000" w:themeColor="text1"/>
          <w14:textFill>
            <w14:solidFill>
              <w14:schemeClr w14:val="tx1"/>
            </w14:solidFill>
          </w14:textFill>
        </w:rPr>
        <w:t>公司</w:t>
      </w:r>
      <w:r>
        <w:rPr>
          <w:rFonts w:hint="eastAsia" w:ascii="楷体_GB2312" w:hAnsi="Arial" w:eastAsia="楷体_GB2312" w:cs="楷体_GB2312"/>
          <w:b/>
          <w:bCs/>
          <w:color w:val="000000" w:themeColor="text1"/>
          <w14:textFill>
            <w14:solidFill>
              <w14:schemeClr w14:val="tx1"/>
            </w14:solidFill>
          </w14:textFill>
        </w:rPr>
        <w:t>】系信银理财的【唯一股东】，【中信</w:t>
      </w:r>
      <w:r>
        <w:rPr>
          <w:rFonts w:ascii="楷体_GB2312" w:hAnsi="Arial" w:eastAsia="楷体_GB2312" w:cs="楷体_GB2312"/>
          <w:b/>
          <w:bCs/>
          <w:color w:val="000000" w:themeColor="text1"/>
          <w14:textFill>
            <w14:solidFill>
              <w14:schemeClr w14:val="tx1"/>
            </w14:solidFill>
          </w14:textFill>
        </w:rPr>
        <w:t>百信银行</w:t>
      </w:r>
      <w:r>
        <w:rPr>
          <w:rFonts w:hint="eastAsia" w:ascii="楷体_GB2312" w:hAnsi="Arial" w:eastAsia="楷体_GB2312" w:cs="楷体_GB2312"/>
          <w:b/>
          <w:bCs/>
          <w:color w:val="000000" w:themeColor="text1"/>
          <w14:textFill>
            <w14:solidFill>
              <w14:schemeClr w14:val="tx1"/>
            </w14:solidFill>
          </w14:textFill>
        </w:rPr>
        <w:t>股份</w:t>
      </w:r>
      <w:r>
        <w:rPr>
          <w:rFonts w:ascii="楷体_GB2312" w:hAnsi="Arial" w:eastAsia="楷体_GB2312" w:cs="楷体_GB2312"/>
          <w:b/>
          <w:bCs/>
          <w:color w:val="000000" w:themeColor="text1"/>
          <w14:textFill>
            <w14:solidFill>
              <w14:schemeClr w14:val="tx1"/>
            </w14:solidFill>
          </w14:textFill>
        </w:rPr>
        <w:t>有限</w:t>
      </w:r>
      <w:r>
        <w:rPr>
          <w:rFonts w:hint="eastAsia" w:ascii="楷体_GB2312" w:hAnsi="Arial" w:eastAsia="楷体_GB2312" w:cs="楷体_GB2312"/>
          <w:b/>
          <w:bCs/>
          <w:color w:val="000000" w:themeColor="text1"/>
          <w14:textFill>
            <w14:solidFill>
              <w14:schemeClr w14:val="tx1"/>
            </w14:solidFill>
          </w14:textFill>
        </w:rPr>
        <w:t>公司】系中信银行股份有限公司控股子公司，与信银</w:t>
      </w:r>
      <w:r>
        <w:rPr>
          <w:rFonts w:ascii="楷体_GB2312" w:hAnsi="Arial" w:eastAsia="楷体_GB2312" w:cs="楷体_GB2312"/>
          <w:b/>
          <w:bCs/>
          <w:color w:val="000000" w:themeColor="text1"/>
          <w14:textFill>
            <w14:solidFill>
              <w14:schemeClr w14:val="tx1"/>
            </w14:solidFill>
          </w14:textFill>
        </w:rPr>
        <w:t>理财</w:t>
      </w:r>
      <w:r>
        <w:rPr>
          <w:rFonts w:hint="eastAsia" w:ascii="楷体_GB2312" w:hAnsi="Arial" w:eastAsia="楷体_GB2312" w:cs="楷体_GB2312"/>
          <w:b/>
          <w:bCs/>
          <w:color w:val="000000" w:themeColor="text1"/>
          <w14:textFill>
            <w14:solidFill>
              <w14:schemeClr w14:val="tx1"/>
            </w14:solidFill>
          </w14:textFill>
        </w:rPr>
        <w:t>具有关联关系。信银理财委托【中信银行股份有限</w:t>
      </w:r>
      <w:r>
        <w:rPr>
          <w:rFonts w:ascii="楷体_GB2312" w:hAnsi="Arial" w:eastAsia="楷体_GB2312" w:cs="楷体_GB2312"/>
          <w:b/>
          <w:bCs/>
          <w:color w:val="000000" w:themeColor="text1"/>
          <w14:textFill>
            <w14:solidFill>
              <w14:schemeClr w14:val="tx1"/>
            </w14:solidFill>
          </w14:textFill>
        </w:rPr>
        <w:t>公司</w:t>
      </w:r>
      <w:r>
        <w:rPr>
          <w:rFonts w:hint="eastAsia" w:ascii="楷体_GB2312" w:hAnsi="Arial" w:eastAsia="楷体_GB2312" w:cs="楷体_GB2312"/>
          <w:b/>
          <w:bCs/>
          <w:color w:val="000000" w:themeColor="text1"/>
          <w14:textFill>
            <w14:solidFill>
              <w14:schemeClr w14:val="tx1"/>
            </w14:solidFill>
          </w14:textFill>
        </w:rPr>
        <w:t>、中信</w:t>
      </w:r>
      <w:r>
        <w:rPr>
          <w:rFonts w:ascii="楷体_GB2312" w:hAnsi="Arial" w:eastAsia="楷体_GB2312" w:cs="楷体_GB2312"/>
          <w:b/>
          <w:bCs/>
          <w:color w:val="000000" w:themeColor="text1"/>
          <w14:textFill>
            <w14:solidFill>
              <w14:schemeClr w14:val="tx1"/>
            </w14:solidFill>
          </w14:textFill>
        </w:rPr>
        <w:t>百信银行</w:t>
      </w:r>
      <w:r>
        <w:rPr>
          <w:rFonts w:hint="eastAsia" w:ascii="楷体_GB2312" w:hAnsi="Arial" w:eastAsia="楷体_GB2312" w:cs="楷体_GB2312"/>
          <w:b/>
          <w:bCs/>
          <w:color w:val="000000" w:themeColor="text1"/>
          <w14:textFill>
            <w14:solidFill>
              <w14:schemeClr w14:val="tx1"/>
            </w14:solidFill>
          </w14:textFill>
        </w:rPr>
        <w:t>股份</w:t>
      </w:r>
      <w:r>
        <w:rPr>
          <w:rFonts w:ascii="楷体_GB2312" w:hAnsi="Arial" w:eastAsia="楷体_GB2312" w:cs="楷体_GB2312"/>
          <w:b/>
          <w:bCs/>
          <w:color w:val="000000" w:themeColor="text1"/>
          <w14:textFill>
            <w14:solidFill>
              <w14:schemeClr w14:val="tx1"/>
            </w14:solidFill>
          </w14:textFill>
        </w:rPr>
        <w:t>有限</w:t>
      </w:r>
      <w:r>
        <w:rPr>
          <w:rFonts w:hint="eastAsia" w:ascii="楷体_GB2312" w:hAnsi="Arial" w:eastAsia="楷体_GB2312" w:cs="楷体_GB2312"/>
          <w:b/>
          <w:bCs/>
          <w:color w:val="000000" w:themeColor="text1"/>
          <w14:textFill>
            <w14:solidFill>
              <w14:schemeClr w14:val="tx1"/>
            </w14:solidFill>
          </w14:textFill>
        </w:rPr>
        <w:t>公司】销售本理财产品的，存在关联交易风险，请投资者仔细阅读</w:t>
      </w:r>
      <w:r>
        <w:rPr>
          <w:rFonts w:hint="eastAsia" w:ascii="楷体_GB2312" w:hAnsi="Arial" w:eastAsia="楷体_GB2312" w:cs="楷体_GB2312"/>
          <w:b/>
          <w:color w:val="000000" w:themeColor="text1"/>
          <w14:textFill>
            <w14:solidFill>
              <w14:schemeClr w14:val="tx1"/>
            </w14:solidFill>
          </w14:textFill>
        </w:rPr>
        <w:t>理财产品说明书中相应风险揭示部分</w:t>
      </w:r>
      <w:r>
        <w:rPr>
          <w:rFonts w:hint="eastAsia" w:ascii="楷体_GB2312" w:hAnsi="Arial" w:eastAsia="楷体_GB2312" w:cs="楷体_GB2312"/>
          <w:b/>
          <w:bCs/>
          <w:color w:val="000000" w:themeColor="text1"/>
          <w14:textFill>
            <w14:solidFill>
              <w14:schemeClr w14:val="tx1"/>
            </w14:solidFill>
          </w14:textFill>
        </w:rPr>
        <w:t>。</w:t>
      </w:r>
    </w:p>
    <w:p w14:paraId="24A7B121">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本人/本单位确认，已知悉上述关联交易，愿意承担相应投资风险。</w:t>
      </w:r>
    </w:p>
    <w:p w14:paraId="09E0AAFD">
      <w:pPr>
        <w:rPr>
          <w:rFonts w:ascii="楷体_GB2312" w:eastAsia="楷体_GB2312"/>
          <w:color w:val="000000" w:themeColor="text1"/>
          <w14:textFill>
            <w14:solidFill>
              <w14:schemeClr w14:val="tx1"/>
            </w14:solidFill>
          </w14:textFill>
        </w:rPr>
      </w:pPr>
    </w:p>
    <w:p w14:paraId="5DA5E95B">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本人/本单位风险承受能力评级为（由个人客户本人/机构客户授权经办人填写）：</w:t>
      </w:r>
      <w:r>
        <w:rPr>
          <w:rFonts w:ascii="楷体_GB2312" w:hAnsi="Arial" w:eastAsia="楷体_GB2312"/>
          <w:color w:val="000000" w:themeColor="text1"/>
          <w14:textFill>
            <w14:solidFill>
              <w14:schemeClr w14:val="tx1"/>
            </w14:solidFill>
          </w14:textFill>
        </w:rPr>
        <w:t> </w:t>
      </w:r>
      <w:r>
        <w:rPr>
          <w:rFonts w:ascii="Arial" w:hAnsi="Arial" w:cs="Arial"/>
          <w:color w:val="000000" w:themeColor="text1"/>
          <w:sz w:val="18"/>
          <w:szCs w:val="18"/>
          <w14:textFill>
            <w14:solidFill>
              <w14:schemeClr w14:val="tx1"/>
            </w14:solidFill>
          </w14:textFill>
        </w:rPr>
        <w:t> </w:t>
      </w:r>
    </w:p>
    <w:p w14:paraId="66F9597F">
      <w:pPr>
        <w:snapToGrid w:val="0"/>
        <w:jc w:val="both"/>
        <w:rPr>
          <w:rFonts w:ascii="楷体_GB2312" w:eastAsia="楷体_GB2312"/>
          <w:color w:val="000000" w:themeColor="text1"/>
          <w14:textFill>
            <w14:solidFill>
              <w14:schemeClr w14:val="tx1"/>
            </w14:solidFill>
          </w14:textFill>
        </w:rPr>
      </w:pPr>
      <w:r>
        <w:rPr>
          <w:rFonts w:hint="eastAsia" w:ascii="楷体_GB2312"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个人客户本人/机构客户授权经办人需全文抄录以下文字以完成确认</w:t>
      </w:r>
      <w:r>
        <w:rPr>
          <w:rFonts w:hint="eastAsia" w:ascii="楷体_GB2312" w:eastAsia="楷体_GB2312" w:cs="楷体_GB2312"/>
          <w:color w:val="000000" w:themeColor="text1"/>
          <w14:textFill>
            <w14:solidFill>
              <w14:schemeClr w14:val="tx1"/>
            </w14:solidFill>
          </w14:textFill>
        </w:rPr>
        <w:t>：</w:t>
      </w:r>
      <w:r>
        <w:rPr>
          <w:rFonts w:hint="eastAsia" w:ascii="楷体_GB2312" w:eastAsia="楷体_GB2312" w:cs="楷体_GB2312"/>
          <w:b/>
          <w:bCs/>
          <w:color w:val="000000" w:themeColor="text1"/>
          <w14:textFill>
            <w14:solidFill>
              <w14:schemeClr w14:val="tx1"/>
            </w14:solidFill>
          </w14:textFill>
        </w:rPr>
        <w:t>本人</w:t>
      </w:r>
      <w:r>
        <w:rPr>
          <w:rFonts w:ascii="楷体_GB2312" w:eastAsia="楷体_GB2312" w:cs="楷体_GB2312"/>
          <w:b/>
          <w:bCs/>
          <w:color w:val="000000" w:themeColor="text1"/>
          <w14:textFill>
            <w14:solidFill>
              <w14:schemeClr w14:val="tx1"/>
            </w14:solidFill>
          </w14:textFill>
        </w:rPr>
        <w:t>/本单位已经阅读风险揭示，愿意承担投资风险</w:t>
      </w:r>
      <w:r>
        <w:rPr>
          <w:rFonts w:hint="eastAsia" w:ascii="楷体_GB2312" w:eastAsia="楷体_GB2312" w:cs="楷体_GB2312"/>
          <w:color w:val="000000" w:themeColor="text1"/>
          <w14:textFill>
            <w14:solidFill>
              <w14:schemeClr w14:val="tx1"/>
            </w14:solidFill>
          </w14:textFill>
        </w:rPr>
        <w:t>。）</w:t>
      </w:r>
      <w:r>
        <w:rPr>
          <w:rFonts w:ascii="楷体_GB2312" w:eastAsia="楷体_GB2312" w:cs="楷体_GB2312"/>
          <w:color w:val="000000" w:themeColor="text1"/>
          <w14:textFill>
            <w14:solidFill>
              <w14:schemeClr w14:val="tx1"/>
            </w14:solidFill>
          </w14:textFill>
        </w:rPr>
        <w:t xml:space="preserve"> </w:t>
      </w:r>
    </w:p>
    <w:p w14:paraId="4FF2E31E">
      <w:pPr>
        <w:snapToGrid w:val="0"/>
        <w:rPr>
          <w:rFonts w:ascii="楷体_GB2312" w:eastAsia="楷体_GB2312"/>
          <w:color w:val="000000" w:themeColor="text1"/>
          <w14:textFill>
            <w14:solidFill>
              <w14:schemeClr w14:val="tx1"/>
            </w14:solidFill>
          </w14:textFill>
        </w:rPr>
      </w:pPr>
      <w:r>
        <w:rPr>
          <w:rFonts w:ascii="楷体_GB2312" w:eastAsia="楷体_GB2312"/>
          <w:color w:val="000000" w:themeColor="text1"/>
          <w:u w:val="single"/>
          <w14:textFill>
            <w14:solidFill>
              <w14:schemeClr w14:val="tx1"/>
            </w14:solidFill>
          </w14:textFill>
        </w:rPr>
        <w:t>                                 </w:t>
      </w:r>
    </w:p>
    <w:p w14:paraId="51572647">
      <w:pPr>
        <w:snapToGrid w:val="0"/>
        <w:ind w:right="440"/>
        <w:rPr>
          <w:rFonts w:ascii="楷体_GB2312" w:eastAsia="楷体_GB2312" w:cs="楷体_GB2312"/>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个人客户（签字）：</w:t>
      </w:r>
      <w:r>
        <w:rPr>
          <w:rFonts w:ascii="黑体" w:hAnsi="Times New Roman" w:eastAsia="黑体" w:cs="Arial"/>
          <w:color w:val="000000" w:themeColor="text1"/>
          <w14:textFill>
            <w14:solidFill>
              <w14:schemeClr w14:val="tx1"/>
            </w14:solidFill>
          </w14:textFill>
        </w:rPr>
        <w:t xml:space="preserve">                </w:t>
      </w:r>
      <w:r>
        <w:rPr>
          <w:rFonts w:hint="eastAsia" w:ascii="黑体" w:hAnsi="Times New Roman" w:eastAsia="黑体" w:cs="Arial"/>
          <w:color w:val="000000" w:themeColor="text1"/>
          <w14:textFill>
            <w14:solidFill>
              <w14:schemeClr w14:val="tx1"/>
            </w14:solidFill>
          </w14:textFill>
        </w:rPr>
        <w:t>机构客户（盖章）：</w:t>
      </w:r>
    </w:p>
    <w:p w14:paraId="194C0625">
      <w:pPr>
        <w:snapToGrid w:val="0"/>
        <w:ind w:left="-426" w:right="440"/>
        <w:rPr>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                               法定代表人或负责人（签字或签章）：</w:t>
      </w:r>
    </w:p>
    <w:p w14:paraId="5E1755E7">
      <w:pPr>
        <w:snapToGrid w:val="0"/>
        <w:ind w:right="440"/>
        <w:rPr>
          <w:color w:val="000000" w:themeColor="text1"/>
          <w14:textFill>
            <w14:solidFill>
              <w14:schemeClr w14:val="tx1"/>
            </w14:solidFill>
          </w14:textFill>
        </w:rPr>
      </w:pPr>
      <w:r>
        <w:rPr>
          <w:color w:val="000000" w:themeColor="text1"/>
          <w14:textFill>
            <w14:solidFill>
              <w14:schemeClr w14:val="tx1"/>
            </w14:solidFill>
          </w14:textFill>
        </w:rPr>
        <w:t> </w:t>
      </w:r>
    </w:p>
    <w:p w14:paraId="59EBAFA5">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日期：年</w:t>
      </w:r>
      <w:r>
        <w:rPr>
          <w:rFonts w:ascii="黑体" w:hAnsi="Times New Roman" w:eastAsia="黑体" w:cs="Arial"/>
          <w:color w:val="000000" w:themeColor="text1"/>
          <w14:textFill>
            <w14:solidFill>
              <w14:schemeClr w14:val="tx1"/>
            </w14:solidFill>
          </w14:textFill>
        </w:rPr>
        <w:t xml:space="preserve"> </w:t>
      </w:r>
      <w:r>
        <w:rPr>
          <w:rFonts w:hint="eastAsia" w:ascii="黑体" w:hAnsi="Times New Roman" w:eastAsia="黑体" w:cs="Arial"/>
          <w:color w:val="000000" w:themeColor="text1"/>
          <w14:textFill>
            <w14:solidFill>
              <w14:schemeClr w14:val="tx1"/>
            </w14:solidFill>
          </w14:textFill>
        </w:rPr>
        <w:t>月</w:t>
      </w:r>
      <w:r>
        <w:rPr>
          <w:rFonts w:ascii="黑体" w:hAnsi="Times New Roman" w:eastAsia="黑体" w:cs="Arial"/>
          <w:color w:val="000000" w:themeColor="text1"/>
          <w14:textFill>
            <w14:solidFill>
              <w14:schemeClr w14:val="tx1"/>
            </w14:solidFill>
          </w14:textFill>
        </w:rPr>
        <w:t xml:space="preserve"> </w:t>
      </w:r>
      <w:r>
        <w:rPr>
          <w:rFonts w:hint="eastAsia" w:ascii="黑体" w:hAnsi="Times New Roman" w:eastAsia="黑体" w:cs="Arial"/>
          <w:color w:val="000000" w:themeColor="text1"/>
          <w14:textFill>
            <w14:solidFill>
              <w14:schemeClr w14:val="tx1"/>
            </w14:solidFill>
          </w14:textFill>
        </w:rPr>
        <w:t>日</w:t>
      </w:r>
      <w:r>
        <w:rPr>
          <w:rFonts w:ascii="黑体" w:hAnsi="Times New Roman" w:eastAsia="黑体" w:cs="Arial"/>
          <w:color w:val="000000" w:themeColor="text1"/>
          <w14:textFill>
            <w14:solidFill>
              <w14:schemeClr w14:val="tx1"/>
            </w14:solidFill>
          </w14:textFill>
        </w:rPr>
        <w:t xml:space="preserve">                    </w:t>
      </w:r>
      <w:r>
        <w:rPr>
          <w:rFonts w:hint="eastAsia" w:ascii="黑体" w:hAnsi="Times New Roman" w:eastAsia="黑体" w:cs="Arial"/>
          <w:color w:val="000000" w:themeColor="text1"/>
          <w14:textFill>
            <w14:solidFill>
              <w14:schemeClr w14:val="tx1"/>
            </w14:solidFill>
          </w14:textFill>
        </w:rPr>
        <w:t>日期：年</w:t>
      </w:r>
      <w:r>
        <w:rPr>
          <w:rFonts w:ascii="黑体" w:hAnsi="Times New Roman" w:eastAsia="黑体" w:cs="Arial"/>
          <w:color w:val="000000" w:themeColor="text1"/>
          <w14:textFill>
            <w14:solidFill>
              <w14:schemeClr w14:val="tx1"/>
            </w14:solidFill>
          </w14:textFill>
        </w:rPr>
        <w:t xml:space="preserve"> </w:t>
      </w:r>
      <w:r>
        <w:rPr>
          <w:rFonts w:hint="eastAsia" w:ascii="黑体" w:hAnsi="Times New Roman" w:eastAsia="黑体" w:cs="Arial"/>
          <w:color w:val="000000" w:themeColor="text1"/>
          <w14:textFill>
            <w14:solidFill>
              <w14:schemeClr w14:val="tx1"/>
            </w14:solidFill>
          </w14:textFill>
        </w:rPr>
        <w:t>月</w:t>
      </w:r>
      <w:r>
        <w:rPr>
          <w:rFonts w:ascii="黑体" w:hAnsi="Times New Roman" w:eastAsia="黑体" w:cs="Arial"/>
          <w:color w:val="000000" w:themeColor="text1"/>
          <w14:textFill>
            <w14:solidFill>
              <w14:schemeClr w14:val="tx1"/>
            </w14:solidFill>
          </w14:textFill>
        </w:rPr>
        <w:t xml:space="preserve"> </w:t>
      </w:r>
      <w:r>
        <w:rPr>
          <w:rFonts w:hint="eastAsia" w:ascii="黑体" w:hAnsi="Times New Roman" w:eastAsia="黑体" w:cs="Arial"/>
          <w:color w:val="000000" w:themeColor="text1"/>
          <w14:textFill>
            <w14:solidFill>
              <w14:schemeClr w14:val="tx1"/>
            </w14:solidFill>
          </w14:textFill>
        </w:rPr>
        <w:t>日</w:t>
      </w:r>
      <w:bookmarkStart w:id="0" w:name="_GoBack"/>
      <w:bookmarkEnd w:id="0"/>
    </w:p>
    <w:sectPr>
      <w:headerReference r:id="rId3" w:type="default"/>
      <w:footerReference r:id="rId4" w:type="default"/>
      <w:pgSz w:w="11906" w:h="16838"/>
      <w:pgMar w:top="1440" w:right="1800" w:bottom="1440" w:left="1800" w:header="851" w:footer="992"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9C789E">
    <w:pPr>
      <w:pStyle w:val="4"/>
      <w:jc w:val="center"/>
      <w:rPr>
        <w:color w:val="000000" w:themeColor="text1"/>
        <w14:textFill>
          <w14:solidFill>
            <w14:schemeClr w14:val="tx1"/>
          </w14:solidFill>
        </w14:textFill>
      </w:rPr>
    </w:pP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第</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15</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Arabic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21</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14:paraId="440F424E">
    <w:pPr>
      <w:pStyle w:val="4"/>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330A9C">
    <w:pPr>
      <w:pStyle w:val="5"/>
    </w:pPr>
    <w:r>
      <w:rPr>
        <w:rFonts w:hint="eastAsia"/>
      </w:rPr>
      <w:t>本产品风险评级为【P</w:t>
    </w:r>
    <w:r>
      <w:t>R2</w:t>
    </w:r>
    <w:r>
      <w:rPr>
        <w:rFonts w:hint="eastAsia"/>
      </w:rPr>
      <w:t>】</w:t>
    </w:r>
    <w:r>
      <w:t xml:space="preserve">                                 理财非存款、产品有风险、投资须谨慎</w:t>
    </w:r>
  </w:p>
  <w:p w14:paraId="0B58A3B9">
    <w:pPr>
      <w:jc w:val="both"/>
      <w:rPr>
        <w:rFonts w:ascii="黑体" w:hAnsi="黑体" w:eastAsia="黑体"/>
        <w:b/>
        <w:color w:val="000000" w:themeColor="text1"/>
        <w:sz w:val="18"/>
        <w:szCs w:val="18"/>
        <w:u w:val="single"/>
        <w14:textFill>
          <w14:solidFill>
            <w14:schemeClr w14:val="tx1"/>
          </w14:solidFill>
        </w14:textFil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dit="trackedChanges" w:enforcement="0"/>
  <w:defaultTabStop w:val="420"/>
  <w:drawingGridHorizontalSpacing w:val="0"/>
  <w:drawingGridVerticalSpacing w:val="0"/>
  <w:displayHorizontalDrawingGridEvery w:val="0"/>
  <w:displayVerticalDrawingGridEvery w:val="2"/>
  <w:characterSpacingControl w:val="doNotCompress"/>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6C6"/>
    <w:rsid w:val="00000D44"/>
    <w:rsid w:val="0000196F"/>
    <w:rsid w:val="00001C03"/>
    <w:rsid w:val="00001DC5"/>
    <w:rsid w:val="00003525"/>
    <w:rsid w:val="00004BEE"/>
    <w:rsid w:val="00006491"/>
    <w:rsid w:val="000112B7"/>
    <w:rsid w:val="000126B2"/>
    <w:rsid w:val="00014B73"/>
    <w:rsid w:val="000155CB"/>
    <w:rsid w:val="000160B3"/>
    <w:rsid w:val="00016C3A"/>
    <w:rsid w:val="0002679A"/>
    <w:rsid w:val="00027122"/>
    <w:rsid w:val="00032F3B"/>
    <w:rsid w:val="00033CE5"/>
    <w:rsid w:val="00035980"/>
    <w:rsid w:val="00035D4E"/>
    <w:rsid w:val="000363A0"/>
    <w:rsid w:val="00036A9C"/>
    <w:rsid w:val="0003776D"/>
    <w:rsid w:val="000426F9"/>
    <w:rsid w:val="00043AA8"/>
    <w:rsid w:val="00044325"/>
    <w:rsid w:val="00044A7F"/>
    <w:rsid w:val="00044D26"/>
    <w:rsid w:val="00047F09"/>
    <w:rsid w:val="00050D87"/>
    <w:rsid w:val="000512BB"/>
    <w:rsid w:val="0005210C"/>
    <w:rsid w:val="0005413C"/>
    <w:rsid w:val="000548A7"/>
    <w:rsid w:val="0005652B"/>
    <w:rsid w:val="00057AF1"/>
    <w:rsid w:val="00060380"/>
    <w:rsid w:val="0006039E"/>
    <w:rsid w:val="0006073B"/>
    <w:rsid w:val="000607E2"/>
    <w:rsid w:val="00060CF8"/>
    <w:rsid w:val="000610D4"/>
    <w:rsid w:val="00061294"/>
    <w:rsid w:val="00062B01"/>
    <w:rsid w:val="00062C0F"/>
    <w:rsid w:val="000637A0"/>
    <w:rsid w:val="00063F74"/>
    <w:rsid w:val="000642FF"/>
    <w:rsid w:val="00064EAD"/>
    <w:rsid w:val="00064EC6"/>
    <w:rsid w:val="000658A0"/>
    <w:rsid w:val="00065A18"/>
    <w:rsid w:val="0006668E"/>
    <w:rsid w:val="000728B5"/>
    <w:rsid w:val="00073BD2"/>
    <w:rsid w:val="00074951"/>
    <w:rsid w:val="00074C93"/>
    <w:rsid w:val="00077050"/>
    <w:rsid w:val="000771DC"/>
    <w:rsid w:val="00080C43"/>
    <w:rsid w:val="000818FE"/>
    <w:rsid w:val="00083FDD"/>
    <w:rsid w:val="000842BB"/>
    <w:rsid w:val="00084A58"/>
    <w:rsid w:val="00084DE7"/>
    <w:rsid w:val="000854AC"/>
    <w:rsid w:val="00085A4A"/>
    <w:rsid w:val="0008615C"/>
    <w:rsid w:val="00086D83"/>
    <w:rsid w:val="00087153"/>
    <w:rsid w:val="0008737E"/>
    <w:rsid w:val="00090945"/>
    <w:rsid w:val="00090A7C"/>
    <w:rsid w:val="000912BC"/>
    <w:rsid w:val="0009250D"/>
    <w:rsid w:val="00092F9D"/>
    <w:rsid w:val="000932A3"/>
    <w:rsid w:val="00093E27"/>
    <w:rsid w:val="00096806"/>
    <w:rsid w:val="00096A3A"/>
    <w:rsid w:val="000971E3"/>
    <w:rsid w:val="000A044F"/>
    <w:rsid w:val="000A0575"/>
    <w:rsid w:val="000A327A"/>
    <w:rsid w:val="000A3596"/>
    <w:rsid w:val="000A3794"/>
    <w:rsid w:val="000A3ED5"/>
    <w:rsid w:val="000A5B13"/>
    <w:rsid w:val="000A7618"/>
    <w:rsid w:val="000B5F5D"/>
    <w:rsid w:val="000C04B7"/>
    <w:rsid w:val="000C0E92"/>
    <w:rsid w:val="000C0EBF"/>
    <w:rsid w:val="000C19F3"/>
    <w:rsid w:val="000C2603"/>
    <w:rsid w:val="000C33FA"/>
    <w:rsid w:val="000C3AF8"/>
    <w:rsid w:val="000C4C04"/>
    <w:rsid w:val="000C57C0"/>
    <w:rsid w:val="000C6B2C"/>
    <w:rsid w:val="000C6FFC"/>
    <w:rsid w:val="000D0148"/>
    <w:rsid w:val="000D1511"/>
    <w:rsid w:val="000D2C6E"/>
    <w:rsid w:val="000D540C"/>
    <w:rsid w:val="000D69C3"/>
    <w:rsid w:val="000D70BA"/>
    <w:rsid w:val="000E07B2"/>
    <w:rsid w:val="000E10B6"/>
    <w:rsid w:val="000E3008"/>
    <w:rsid w:val="000E380F"/>
    <w:rsid w:val="000E59C5"/>
    <w:rsid w:val="000E6792"/>
    <w:rsid w:val="000E7046"/>
    <w:rsid w:val="000F1C10"/>
    <w:rsid w:val="000F1F2E"/>
    <w:rsid w:val="000F26F4"/>
    <w:rsid w:val="000F412B"/>
    <w:rsid w:val="000F7582"/>
    <w:rsid w:val="000F798A"/>
    <w:rsid w:val="00103F63"/>
    <w:rsid w:val="00104F74"/>
    <w:rsid w:val="0010616C"/>
    <w:rsid w:val="00110BCF"/>
    <w:rsid w:val="00110E7B"/>
    <w:rsid w:val="001114CE"/>
    <w:rsid w:val="00112931"/>
    <w:rsid w:val="00112CB3"/>
    <w:rsid w:val="00113152"/>
    <w:rsid w:val="001155EC"/>
    <w:rsid w:val="001157E8"/>
    <w:rsid w:val="00115B02"/>
    <w:rsid w:val="00117652"/>
    <w:rsid w:val="00122C68"/>
    <w:rsid w:val="00123C90"/>
    <w:rsid w:val="00125253"/>
    <w:rsid w:val="001260B9"/>
    <w:rsid w:val="001266EA"/>
    <w:rsid w:val="00126DB3"/>
    <w:rsid w:val="00130901"/>
    <w:rsid w:val="00132E82"/>
    <w:rsid w:val="001339CB"/>
    <w:rsid w:val="0013467D"/>
    <w:rsid w:val="001353DA"/>
    <w:rsid w:val="00136105"/>
    <w:rsid w:val="0014090C"/>
    <w:rsid w:val="001427D7"/>
    <w:rsid w:val="00142C0C"/>
    <w:rsid w:val="00143455"/>
    <w:rsid w:val="001452EC"/>
    <w:rsid w:val="00151544"/>
    <w:rsid w:val="00151D12"/>
    <w:rsid w:val="001521EB"/>
    <w:rsid w:val="001537DC"/>
    <w:rsid w:val="001549C8"/>
    <w:rsid w:val="001576D6"/>
    <w:rsid w:val="001606EE"/>
    <w:rsid w:val="00164277"/>
    <w:rsid w:val="001649F3"/>
    <w:rsid w:val="00167B0D"/>
    <w:rsid w:val="00171827"/>
    <w:rsid w:val="00172A27"/>
    <w:rsid w:val="00172E18"/>
    <w:rsid w:val="00182E25"/>
    <w:rsid w:val="00184D24"/>
    <w:rsid w:val="00184DC0"/>
    <w:rsid w:val="001850A8"/>
    <w:rsid w:val="00186A62"/>
    <w:rsid w:val="00190A62"/>
    <w:rsid w:val="001915B8"/>
    <w:rsid w:val="00191737"/>
    <w:rsid w:val="00194DE7"/>
    <w:rsid w:val="00197081"/>
    <w:rsid w:val="001A2FFC"/>
    <w:rsid w:val="001A30BE"/>
    <w:rsid w:val="001A5283"/>
    <w:rsid w:val="001A71A7"/>
    <w:rsid w:val="001A720A"/>
    <w:rsid w:val="001A73B3"/>
    <w:rsid w:val="001A7BE3"/>
    <w:rsid w:val="001B01FF"/>
    <w:rsid w:val="001B2542"/>
    <w:rsid w:val="001B35C0"/>
    <w:rsid w:val="001B3E8F"/>
    <w:rsid w:val="001B6029"/>
    <w:rsid w:val="001C1F96"/>
    <w:rsid w:val="001C2A78"/>
    <w:rsid w:val="001C36DA"/>
    <w:rsid w:val="001C3D71"/>
    <w:rsid w:val="001C4890"/>
    <w:rsid w:val="001C4C70"/>
    <w:rsid w:val="001C4FAF"/>
    <w:rsid w:val="001C5D78"/>
    <w:rsid w:val="001C6D57"/>
    <w:rsid w:val="001C6F2B"/>
    <w:rsid w:val="001C72BC"/>
    <w:rsid w:val="001D03C4"/>
    <w:rsid w:val="001D176C"/>
    <w:rsid w:val="001D40D2"/>
    <w:rsid w:val="001D48D6"/>
    <w:rsid w:val="001D51DA"/>
    <w:rsid w:val="001E269C"/>
    <w:rsid w:val="001E5D3C"/>
    <w:rsid w:val="001E6503"/>
    <w:rsid w:val="001F6640"/>
    <w:rsid w:val="001F6AE8"/>
    <w:rsid w:val="001F7114"/>
    <w:rsid w:val="001F7597"/>
    <w:rsid w:val="001F76C8"/>
    <w:rsid w:val="001F77A5"/>
    <w:rsid w:val="0020078B"/>
    <w:rsid w:val="00200AAD"/>
    <w:rsid w:val="0020185E"/>
    <w:rsid w:val="00202368"/>
    <w:rsid w:val="00202515"/>
    <w:rsid w:val="0020290B"/>
    <w:rsid w:val="00202E2D"/>
    <w:rsid w:val="00203EAD"/>
    <w:rsid w:val="002046D5"/>
    <w:rsid w:val="0020479E"/>
    <w:rsid w:val="0020493D"/>
    <w:rsid w:val="0020571D"/>
    <w:rsid w:val="00206FE3"/>
    <w:rsid w:val="00210108"/>
    <w:rsid w:val="00211658"/>
    <w:rsid w:val="002121B1"/>
    <w:rsid w:val="00212962"/>
    <w:rsid w:val="00214442"/>
    <w:rsid w:val="002153F5"/>
    <w:rsid w:val="00217384"/>
    <w:rsid w:val="00217805"/>
    <w:rsid w:val="0022225E"/>
    <w:rsid w:val="002255EE"/>
    <w:rsid w:val="00226CD2"/>
    <w:rsid w:val="00226ED1"/>
    <w:rsid w:val="00227275"/>
    <w:rsid w:val="00227A37"/>
    <w:rsid w:val="00227E5E"/>
    <w:rsid w:val="00233296"/>
    <w:rsid w:val="0023369F"/>
    <w:rsid w:val="00233AC8"/>
    <w:rsid w:val="00236C74"/>
    <w:rsid w:val="00236D3D"/>
    <w:rsid w:val="002370EE"/>
    <w:rsid w:val="00242513"/>
    <w:rsid w:val="00245D5A"/>
    <w:rsid w:val="002465F7"/>
    <w:rsid w:val="0025002B"/>
    <w:rsid w:val="002502BE"/>
    <w:rsid w:val="00250C86"/>
    <w:rsid w:val="002518C0"/>
    <w:rsid w:val="00253360"/>
    <w:rsid w:val="00253FDB"/>
    <w:rsid w:val="00254944"/>
    <w:rsid w:val="00254AB2"/>
    <w:rsid w:val="00255F6F"/>
    <w:rsid w:val="00257D24"/>
    <w:rsid w:val="002605F2"/>
    <w:rsid w:val="0026099E"/>
    <w:rsid w:val="00262588"/>
    <w:rsid w:val="00262EFA"/>
    <w:rsid w:val="00263626"/>
    <w:rsid w:val="0026420B"/>
    <w:rsid w:val="00266948"/>
    <w:rsid w:val="00266D74"/>
    <w:rsid w:val="00266F6D"/>
    <w:rsid w:val="00271488"/>
    <w:rsid w:val="00273BD6"/>
    <w:rsid w:val="002754B9"/>
    <w:rsid w:val="002761EB"/>
    <w:rsid w:val="0027693C"/>
    <w:rsid w:val="00277102"/>
    <w:rsid w:val="002808D0"/>
    <w:rsid w:val="00283FB0"/>
    <w:rsid w:val="00287256"/>
    <w:rsid w:val="00287DCD"/>
    <w:rsid w:val="00290755"/>
    <w:rsid w:val="00292667"/>
    <w:rsid w:val="00292E5F"/>
    <w:rsid w:val="00293163"/>
    <w:rsid w:val="00295A54"/>
    <w:rsid w:val="00296187"/>
    <w:rsid w:val="0029634A"/>
    <w:rsid w:val="00296760"/>
    <w:rsid w:val="002969A9"/>
    <w:rsid w:val="002A101B"/>
    <w:rsid w:val="002A118E"/>
    <w:rsid w:val="002A284E"/>
    <w:rsid w:val="002A37AD"/>
    <w:rsid w:val="002A3AB3"/>
    <w:rsid w:val="002A448B"/>
    <w:rsid w:val="002A5E24"/>
    <w:rsid w:val="002A6162"/>
    <w:rsid w:val="002A6FFD"/>
    <w:rsid w:val="002B17F0"/>
    <w:rsid w:val="002B195C"/>
    <w:rsid w:val="002B2EC5"/>
    <w:rsid w:val="002B53E3"/>
    <w:rsid w:val="002B68A0"/>
    <w:rsid w:val="002B7006"/>
    <w:rsid w:val="002B7859"/>
    <w:rsid w:val="002B7874"/>
    <w:rsid w:val="002B7DA9"/>
    <w:rsid w:val="002C0721"/>
    <w:rsid w:val="002C07C8"/>
    <w:rsid w:val="002C0DAE"/>
    <w:rsid w:val="002C0DF5"/>
    <w:rsid w:val="002C17C9"/>
    <w:rsid w:val="002C348D"/>
    <w:rsid w:val="002C3870"/>
    <w:rsid w:val="002C6C6D"/>
    <w:rsid w:val="002C6E82"/>
    <w:rsid w:val="002C7A65"/>
    <w:rsid w:val="002D0DD6"/>
    <w:rsid w:val="002D223E"/>
    <w:rsid w:val="002D2351"/>
    <w:rsid w:val="002D2C5D"/>
    <w:rsid w:val="002D3636"/>
    <w:rsid w:val="002D38B7"/>
    <w:rsid w:val="002D46D0"/>
    <w:rsid w:val="002D67DC"/>
    <w:rsid w:val="002D6E0E"/>
    <w:rsid w:val="002D7249"/>
    <w:rsid w:val="002E0FF1"/>
    <w:rsid w:val="002E1CEB"/>
    <w:rsid w:val="002E3954"/>
    <w:rsid w:val="002E4E91"/>
    <w:rsid w:val="002E5746"/>
    <w:rsid w:val="002F0F28"/>
    <w:rsid w:val="002F14A9"/>
    <w:rsid w:val="002F1A8B"/>
    <w:rsid w:val="002F265B"/>
    <w:rsid w:val="002F320A"/>
    <w:rsid w:val="002F7FA0"/>
    <w:rsid w:val="00301333"/>
    <w:rsid w:val="00304587"/>
    <w:rsid w:val="00306D2D"/>
    <w:rsid w:val="003075EA"/>
    <w:rsid w:val="00307DCB"/>
    <w:rsid w:val="00307EE8"/>
    <w:rsid w:val="00310EC2"/>
    <w:rsid w:val="00311784"/>
    <w:rsid w:val="0031212B"/>
    <w:rsid w:val="00312A2B"/>
    <w:rsid w:val="003132B9"/>
    <w:rsid w:val="003133C9"/>
    <w:rsid w:val="0031533D"/>
    <w:rsid w:val="00316DEC"/>
    <w:rsid w:val="003175C8"/>
    <w:rsid w:val="003211D9"/>
    <w:rsid w:val="00321CAD"/>
    <w:rsid w:val="00321ED4"/>
    <w:rsid w:val="0032334C"/>
    <w:rsid w:val="003242D1"/>
    <w:rsid w:val="003259DD"/>
    <w:rsid w:val="003313E2"/>
    <w:rsid w:val="00331993"/>
    <w:rsid w:val="00332EB9"/>
    <w:rsid w:val="00335B1F"/>
    <w:rsid w:val="003361BF"/>
    <w:rsid w:val="003413CC"/>
    <w:rsid w:val="00344E13"/>
    <w:rsid w:val="003452C4"/>
    <w:rsid w:val="00346433"/>
    <w:rsid w:val="00354663"/>
    <w:rsid w:val="00354FAB"/>
    <w:rsid w:val="00356364"/>
    <w:rsid w:val="003563BB"/>
    <w:rsid w:val="003576A4"/>
    <w:rsid w:val="00361614"/>
    <w:rsid w:val="00362735"/>
    <w:rsid w:val="00363912"/>
    <w:rsid w:val="0036565F"/>
    <w:rsid w:val="00365828"/>
    <w:rsid w:val="0036597B"/>
    <w:rsid w:val="00366351"/>
    <w:rsid w:val="00366D41"/>
    <w:rsid w:val="003709FB"/>
    <w:rsid w:val="00370AD9"/>
    <w:rsid w:val="003722EF"/>
    <w:rsid w:val="003735E5"/>
    <w:rsid w:val="00373CDD"/>
    <w:rsid w:val="0037708C"/>
    <w:rsid w:val="00380548"/>
    <w:rsid w:val="00380C44"/>
    <w:rsid w:val="00381BBC"/>
    <w:rsid w:val="003822F0"/>
    <w:rsid w:val="00382F22"/>
    <w:rsid w:val="0038413F"/>
    <w:rsid w:val="0038563B"/>
    <w:rsid w:val="00386290"/>
    <w:rsid w:val="00387B6D"/>
    <w:rsid w:val="003903BF"/>
    <w:rsid w:val="0039091A"/>
    <w:rsid w:val="00390CFD"/>
    <w:rsid w:val="00391106"/>
    <w:rsid w:val="00392188"/>
    <w:rsid w:val="00392670"/>
    <w:rsid w:val="00392AFF"/>
    <w:rsid w:val="00394EF2"/>
    <w:rsid w:val="003955A1"/>
    <w:rsid w:val="003957BE"/>
    <w:rsid w:val="00396A2B"/>
    <w:rsid w:val="00397ED6"/>
    <w:rsid w:val="003A0843"/>
    <w:rsid w:val="003A0B51"/>
    <w:rsid w:val="003A2BFB"/>
    <w:rsid w:val="003A3A91"/>
    <w:rsid w:val="003A3EC5"/>
    <w:rsid w:val="003B278B"/>
    <w:rsid w:val="003B3842"/>
    <w:rsid w:val="003B4081"/>
    <w:rsid w:val="003B4DB7"/>
    <w:rsid w:val="003B5259"/>
    <w:rsid w:val="003B62CB"/>
    <w:rsid w:val="003B7CAE"/>
    <w:rsid w:val="003C209C"/>
    <w:rsid w:val="003C61BE"/>
    <w:rsid w:val="003C70E3"/>
    <w:rsid w:val="003C727B"/>
    <w:rsid w:val="003C77EF"/>
    <w:rsid w:val="003C7AEF"/>
    <w:rsid w:val="003D3F19"/>
    <w:rsid w:val="003D5992"/>
    <w:rsid w:val="003D6740"/>
    <w:rsid w:val="003D6E7F"/>
    <w:rsid w:val="003D6EB5"/>
    <w:rsid w:val="003E231B"/>
    <w:rsid w:val="003E2E0B"/>
    <w:rsid w:val="003E3698"/>
    <w:rsid w:val="003E53B4"/>
    <w:rsid w:val="003E547A"/>
    <w:rsid w:val="003E6901"/>
    <w:rsid w:val="003E710F"/>
    <w:rsid w:val="003F2084"/>
    <w:rsid w:val="003F3C37"/>
    <w:rsid w:val="003F5CC9"/>
    <w:rsid w:val="003F7F7C"/>
    <w:rsid w:val="00400F04"/>
    <w:rsid w:val="004025B0"/>
    <w:rsid w:val="00403F2B"/>
    <w:rsid w:val="0040426A"/>
    <w:rsid w:val="004043C5"/>
    <w:rsid w:val="004057B9"/>
    <w:rsid w:val="00405B1C"/>
    <w:rsid w:val="00412DD6"/>
    <w:rsid w:val="00412EB7"/>
    <w:rsid w:val="00413B11"/>
    <w:rsid w:val="00415393"/>
    <w:rsid w:val="00415933"/>
    <w:rsid w:val="00415D0E"/>
    <w:rsid w:val="004163B7"/>
    <w:rsid w:val="00420285"/>
    <w:rsid w:val="004202B4"/>
    <w:rsid w:val="004205C0"/>
    <w:rsid w:val="00420C90"/>
    <w:rsid w:val="004210C6"/>
    <w:rsid w:val="00421F37"/>
    <w:rsid w:val="004220BE"/>
    <w:rsid w:val="004243EB"/>
    <w:rsid w:val="00424486"/>
    <w:rsid w:val="00424F9E"/>
    <w:rsid w:val="00426ED5"/>
    <w:rsid w:val="004276D2"/>
    <w:rsid w:val="00430677"/>
    <w:rsid w:val="00431443"/>
    <w:rsid w:val="00433133"/>
    <w:rsid w:val="004349AB"/>
    <w:rsid w:val="00435358"/>
    <w:rsid w:val="00436006"/>
    <w:rsid w:val="00441E3A"/>
    <w:rsid w:val="0044468D"/>
    <w:rsid w:val="00445495"/>
    <w:rsid w:val="00445508"/>
    <w:rsid w:val="004468BE"/>
    <w:rsid w:val="00450D5C"/>
    <w:rsid w:val="0045200A"/>
    <w:rsid w:val="0045444C"/>
    <w:rsid w:val="0045782F"/>
    <w:rsid w:val="004600AE"/>
    <w:rsid w:val="00460930"/>
    <w:rsid w:val="00461A21"/>
    <w:rsid w:val="00463F1F"/>
    <w:rsid w:val="00465DE6"/>
    <w:rsid w:val="004702CE"/>
    <w:rsid w:val="0047057B"/>
    <w:rsid w:val="00470FB6"/>
    <w:rsid w:val="0047108F"/>
    <w:rsid w:val="004713F0"/>
    <w:rsid w:val="0047199F"/>
    <w:rsid w:val="00472722"/>
    <w:rsid w:val="004735EC"/>
    <w:rsid w:val="00475B81"/>
    <w:rsid w:val="00475C7B"/>
    <w:rsid w:val="0048072D"/>
    <w:rsid w:val="00480C2E"/>
    <w:rsid w:val="0048138C"/>
    <w:rsid w:val="0048246F"/>
    <w:rsid w:val="00482619"/>
    <w:rsid w:val="0048455C"/>
    <w:rsid w:val="00487CC8"/>
    <w:rsid w:val="00491D21"/>
    <w:rsid w:val="00491EAE"/>
    <w:rsid w:val="004933E0"/>
    <w:rsid w:val="00493E01"/>
    <w:rsid w:val="00493FBA"/>
    <w:rsid w:val="0049560E"/>
    <w:rsid w:val="00497A0F"/>
    <w:rsid w:val="00497E6F"/>
    <w:rsid w:val="004A045E"/>
    <w:rsid w:val="004A0C4B"/>
    <w:rsid w:val="004A24DD"/>
    <w:rsid w:val="004A382D"/>
    <w:rsid w:val="004A3C1C"/>
    <w:rsid w:val="004A4CB6"/>
    <w:rsid w:val="004A73A9"/>
    <w:rsid w:val="004B0F38"/>
    <w:rsid w:val="004B3BD5"/>
    <w:rsid w:val="004B3E7F"/>
    <w:rsid w:val="004B49C4"/>
    <w:rsid w:val="004B4B7E"/>
    <w:rsid w:val="004B4E0C"/>
    <w:rsid w:val="004B5EE1"/>
    <w:rsid w:val="004B683E"/>
    <w:rsid w:val="004B7645"/>
    <w:rsid w:val="004C0143"/>
    <w:rsid w:val="004C0279"/>
    <w:rsid w:val="004C2BBE"/>
    <w:rsid w:val="004C3474"/>
    <w:rsid w:val="004C46A4"/>
    <w:rsid w:val="004C49DC"/>
    <w:rsid w:val="004C5D6E"/>
    <w:rsid w:val="004D1573"/>
    <w:rsid w:val="004D1EAE"/>
    <w:rsid w:val="004D3168"/>
    <w:rsid w:val="004D3982"/>
    <w:rsid w:val="004D440D"/>
    <w:rsid w:val="004D4C24"/>
    <w:rsid w:val="004D79DB"/>
    <w:rsid w:val="004E0E51"/>
    <w:rsid w:val="004E1E20"/>
    <w:rsid w:val="004E2636"/>
    <w:rsid w:val="004E2B94"/>
    <w:rsid w:val="004E326E"/>
    <w:rsid w:val="004E3690"/>
    <w:rsid w:val="004E3FA9"/>
    <w:rsid w:val="004E7622"/>
    <w:rsid w:val="004E7A67"/>
    <w:rsid w:val="004F08A6"/>
    <w:rsid w:val="004F1681"/>
    <w:rsid w:val="004F23CE"/>
    <w:rsid w:val="004F2C00"/>
    <w:rsid w:val="004F47CE"/>
    <w:rsid w:val="004F49FC"/>
    <w:rsid w:val="004F6BE4"/>
    <w:rsid w:val="0050023D"/>
    <w:rsid w:val="005029E8"/>
    <w:rsid w:val="00503B4E"/>
    <w:rsid w:val="00504DA4"/>
    <w:rsid w:val="00505BE4"/>
    <w:rsid w:val="0050603A"/>
    <w:rsid w:val="0050607E"/>
    <w:rsid w:val="00506276"/>
    <w:rsid w:val="00510E0C"/>
    <w:rsid w:val="005127D4"/>
    <w:rsid w:val="00517930"/>
    <w:rsid w:val="005204CE"/>
    <w:rsid w:val="005220C7"/>
    <w:rsid w:val="005221AA"/>
    <w:rsid w:val="005237D3"/>
    <w:rsid w:val="00524101"/>
    <w:rsid w:val="005251A7"/>
    <w:rsid w:val="00525CB4"/>
    <w:rsid w:val="00526733"/>
    <w:rsid w:val="00527BAE"/>
    <w:rsid w:val="00530FEA"/>
    <w:rsid w:val="00531C79"/>
    <w:rsid w:val="005347A9"/>
    <w:rsid w:val="0053502F"/>
    <w:rsid w:val="00537091"/>
    <w:rsid w:val="00537627"/>
    <w:rsid w:val="00540252"/>
    <w:rsid w:val="00540C44"/>
    <w:rsid w:val="0054113B"/>
    <w:rsid w:val="00542BD1"/>
    <w:rsid w:val="0054435B"/>
    <w:rsid w:val="0054504E"/>
    <w:rsid w:val="00545208"/>
    <w:rsid w:val="00547F06"/>
    <w:rsid w:val="00551A7A"/>
    <w:rsid w:val="005530C9"/>
    <w:rsid w:val="00557038"/>
    <w:rsid w:val="00561499"/>
    <w:rsid w:val="005616A3"/>
    <w:rsid w:val="00562F86"/>
    <w:rsid w:val="0056311A"/>
    <w:rsid w:val="00566105"/>
    <w:rsid w:val="005677B6"/>
    <w:rsid w:val="00567895"/>
    <w:rsid w:val="00570679"/>
    <w:rsid w:val="005733BC"/>
    <w:rsid w:val="00573B2A"/>
    <w:rsid w:val="005755E0"/>
    <w:rsid w:val="00575AA3"/>
    <w:rsid w:val="005769C1"/>
    <w:rsid w:val="005773A9"/>
    <w:rsid w:val="00577699"/>
    <w:rsid w:val="00580CAC"/>
    <w:rsid w:val="00581BEA"/>
    <w:rsid w:val="005828C6"/>
    <w:rsid w:val="00582D53"/>
    <w:rsid w:val="00583D51"/>
    <w:rsid w:val="005862B0"/>
    <w:rsid w:val="005865C3"/>
    <w:rsid w:val="005903F1"/>
    <w:rsid w:val="0059646B"/>
    <w:rsid w:val="00597DBA"/>
    <w:rsid w:val="005A099D"/>
    <w:rsid w:val="005A0E20"/>
    <w:rsid w:val="005A199B"/>
    <w:rsid w:val="005A20DA"/>
    <w:rsid w:val="005A2FE5"/>
    <w:rsid w:val="005A3C8F"/>
    <w:rsid w:val="005A41E3"/>
    <w:rsid w:val="005A4BB1"/>
    <w:rsid w:val="005A4F1E"/>
    <w:rsid w:val="005A5EC0"/>
    <w:rsid w:val="005B0BE3"/>
    <w:rsid w:val="005B1608"/>
    <w:rsid w:val="005B1D91"/>
    <w:rsid w:val="005B26C0"/>
    <w:rsid w:val="005B2BD9"/>
    <w:rsid w:val="005B2DB0"/>
    <w:rsid w:val="005B2FCA"/>
    <w:rsid w:val="005B4B89"/>
    <w:rsid w:val="005C1012"/>
    <w:rsid w:val="005C26A1"/>
    <w:rsid w:val="005C2BE9"/>
    <w:rsid w:val="005C338B"/>
    <w:rsid w:val="005C3873"/>
    <w:rsid w:val="005C42A6"/>
    <w:rsid w:val="005C67EC"/>
    <w:rsid w:val="005C6EF7"/>
    <w:rsid w:val="005C7D77"/>
    <w:rsid w:val="005D039E"/>
    <w:rsid w:val="005D2357"/>
    <w:rsid w:val="005D25FF"/>
    <w:rsid w:val="005D357E"/>
    <w:rsid w:val="005D45A1"/>
    <w:rsid w:val="005D62A3"/>
    <w:rsid w:val="005D756C"/>
    <w:rsid w:val="005E0A11"/>
    <w:rsid w:val="005E4210"/>
    <w:rsid w:val="005E7116"/>
    <w:rsid w:val="005E729A"/>
    <w:rsid w:val="005F076E"/>
    <w:rsid w:val="005F1399"/>
    <w:rsid w:val="005F16A2"/>
    <w:rsid w:val="005F369A"/>
    <w:rsid w:val="005F5CE4"/>
    <w:rsid w:val="005F5F1C"/>
    <w:rsid w:val="005F6EBA"/>
    <w:rsid w:val="00601D9E"/>
    <w:rsid w:val="00603005"/>
    <w:rsid w:val="0060591E"/>
    <w:rsid w:val="00606F08"/>
    <w:rsid w:val="00607679"/>
    <w:rsid w:val="00611B92"/>
    <w:rsid w:val="00612511"/>
    <w:rsid w:val="006130F7"/>
    <w:rsid w:val="00617119"/>
    <w:rsid w:val="006173BA"/>
    <w:rsid w:val="0061743D"/>
    <w:rsid w:val="00621EF3"/>
    <w:rsid w:val="006222B7"/>
    <w:rsid w:val="006223DC"/>
    <w:rsid w:val="006235CB"/>
    <w:rsid w:val="00623A07"/>
    <w:rsid w:val="0062630B"/>
    <w:rsid w:val="00626BED"/>
    <w:rsid w:val="00627679"/>
    <w:rsid w:val="00627B39"/>
    <w:rsid w:val="00630777"/>
    <w:rsid w:val="00631B83"/>
    <w:rsid w:val="0063231F"/>
    <w:rsid w:val="006368D3"/>
    <w:rsid w:val="00637A0A"/>
    <w:rsid w:val="00640235"/>
    <w:rsid w:val="006412AE"/>
    <w:rsid w:val="00646863"/>
    <w:rsid w:val="006509E5"/>
    <w:rsid w:val="00650E7B"/>
    <w:rsid w:val="0065148A"/>
    <w:rsid w:val="0065191B"/>
    <w:rsid w:val="00651DB2"/>
    <w:rsid w:val="006526BE"/>
    <w:rsid w:val="0065402A"/>
    <w:rsid w:val="0065475E"/>
    <w:rsid w:val="00655589"/>
    <w:rsid w:val="00655856"/>
    <w:rsid w:val="00655959"/>
    <w:rsid w:val="0065724F"/>
    <w:rsid w:val="006627C0"/>
    <w:rsid w:val="00662B2A"/>
    <w:rsid w:val="006647C0"/>
    <w:rsid w:val="00664AB0"/>
    <w:rsid w:val="0066536D"/>
    <w:rsid w:val="00665606"/>
    <w:rsid w:val="00665DA1"/>
    <w:rsid w:val="006667FB"/>
    <w:rsid w:val="00666C5E"/>
    <w:rsid w:val="00670261"/>
    <w:rsid w:val="00670CE2"/>
    <w:rsid w:val="00671D41"/>
    <w:rsid w:val="006741B2"/>
    <w:rsid w:val="006748AC"/>
    <w:rsid w:val="00674A3A"/>
    <w:rsid w:val="00675773"/>
    <w:rsid w:val="00680BF4"/>
    <w:rsid w:val="00683ADB"/>
    <w:rsid w:val="00687B21"/>
    <w:rsid w:val="0069257C"/>
    <w:rsid w:val="00692C48"/>
    <w:rsid w:val="0069652B"/>
    <w:rsid w:val="006974C3"/>
    <w:rsid w:val="006975BC"/>
    <w:rsid w:val="006976C9"/>
    <w:rsid w:val="006A07DF"/>
    <w:rsid w:val="006A1119"/>
    <w:rsid w:val="006A19F9"/>
    <w:rsid w:val="006A7AC1"/>
    <w:rsid w:val="006B4B13"/>
    <w:rsid w:val="006B5645"/>
    <w:rsid w:val="006B7649"/>
    <w:rsid w:val="006C0090"/>
    <w:rsid w:val="006C0ABB"/>
    <w:rsid w:val="006C1134"/>
    <w:rsid w:val="006C175C"/>
    <w:rsid w:val="006C1A97"/>
    <w:rsid w:val="006C284C"/>
    <w:rsid w:val="006C4FBC"/>
    <w:rsid w:val="006C5373"/>
    <w:rsid w:val="006C5D6D"/>
    <w:rsid w:val="006C71BD"/>
    <w:rsid w:val="006C774E"/>
    <w:rsid w:val="006D11C9"/>
    <w:rsid w:val="006D380D"/>
    <w:rsid w:val="006D41B2"/>
    <w:rsid w:val="006D621E"/>
    <w:rsid w:val="006D70AD"/>
    <w:rsid w:val="006D78A9"/>
    <w:rsid w:val="006D7DF5"/>
    <w:rsid w:val="006E0C09"/>
    <w:rsid w:val="006E0F1E"/>
    <w:rsid w:val="006E10CF"/>
    <w:rsid w:val="006E308C"/>
    <w:rsid w:val="006E30F2"/>
    <w:rsid w:val="006E3116"/>
    <w:rsid w:val="006E4B6F"/>
    <w:rsid w:val="006E4D8B"/>
    <w:rsid w:val="006E730A"/>
    <w:rsid w:val="006F04C3"/>
    <w:rsid w:val="006F04C6"/>
    <w:rsid w:val="006F0E73"/>
    <w:rsid w:val="006F166D"/>
    <w:rsid w:val="006F1790"/>
    <w:rsid w:val="006F4028"/>
    <w:rsid w:val="006F415D"/>
    <w:rsid w:val="006F692A"/>
    <w:rsid w:val="00701D14"/>
    <w:rsid w:val="00701D1A"/>
    <w:rsid w:val="0070335C"/>
    <w:rsid w:val="007075DF"/>
    <w:rsid w:val="0071213F"/>
    <w:rsid w:val="00712DEB"/>
    <w:rsid w:val="00712DF4"/>
    <w:rsid w:val="007146CC"/>
    <w:rsid w:val="007160F3"/>
    <w:rsid w:val="00716F0D"/>
    <w:rsid w:val="00720700"/>
    <w:rsid w:val="0072217D"/>
    <w:rsid w:val="00722807"/>
    <w:rsid w:val="0072328E"/>
    <w:rsid w:val="00724020"/>
    <w:rsid w:val="0072578C"/>
    <w:rsid w:val="00726055"/>
    <w:rsid w:val="007271E2"/>
    <w:rsid w:val="00731B32"/>
    <w:rsid w:val="0073319B"/>
    <w:rsid w:val="00733458"/>
    <w:rsid w:val="00733D84"/>
    <w:rsid w:val="007341D7"/>
    <w:rsid w:val="0073572E"/>
    <w:rsid w:val="00736C6D"/>
    <w:rsid w:val="00742D4B"/>
    <w:rsid w:val="00743001"/>
    <w:rsid w:val="007439E8"/>
    <w:rsid w:val="00747AD7"/>
    <w:rsid w:val="00747EE7"/>
    <w:rsid w:val="00747F07"/>
    <w:rsid w:val="007535A2"/>
    <w:rsid w:val="00755E0B"/>
    <w:rsid w:val="00756E6B"/>
    <w:rsid w:val="007574A2"/>
    <w:rsid w:val="0076007B"/>
    <w:rsid w:val="007605BD"/>
    <w:rsid w:val="0076099D"/>
    <w:rsid w:val="007618D4"/>
    <w:rsid w:val="00762E9A"/>
    <w:rsid w:val="007634BA"/>
    <w:rsid w:val="00764467"/>
    <w:rsid w:val="00765762"/>
    <w:rsid w:val="00765D62"/>
    <w:rsid w:val="00766900"/>
    <w:rsid w:val="007709FB"/>
    <w:rsid w:val="00770AED"/>
    <w:rsid w:val="0077131D"/>
    <w:rsid w:val="0077233F"/>
    <w:rsid w:val="00772F06"/>
    <w:rsid w:val="00773EF6"/>
    <w:rsid w:val="0077550E"/>
    <w:rsid w:val="007808F5"/>
    <w:rsid w:val="00781A2A"/>
    <w:rsid w:val="00782433"/>
    <w:rsid w:val="00782961"/>
    <w:rsid w:val="00782BD3"/>
    <w:rsid w:val="00783598"/>
    <w:rsid w:val="00783654"/>
    <w:rsid w:val="0078380F"/>
    <w:rsid w:val="00784653"/>
    <w:rsid w:val="007851DF"/>
    <w:rsid w:val="00786149"/>
    <w:rsid w:val="00786BE9"/>
    <w:rsid w:val="007902BE"/>
    <w:rsid w:val="007905D3"/>
    <w:rsid w:val="007909B9"/>
    <w:rsid w:val="00790CC2"/>
    <w:rsid w:val="0079138E"/>
    <w:rsid w:val="007929F7"/>
    <w:rsid w:val="00792E50"/>
    <w:rsid w:val="007A1863"/>
    <w:rsid w:val="007A21A1"/>
    <w:rsid w:val="007A2FFD"/>
    <w:rsid w:val="007A38A6"/>
    <w:rsid w:val="007A4008"/>
    <w:rsid w:val="007A792C"/>
    <w:rsid w:val="007A79D6"/>
    <w:rsid w:val="007A7B18"/>
    <w:rsid w:val="007B05FD"/>
    <w:rsid w:val="007B0FB2"/>
    <w:rsid w:val="007B16F7"/>
    <w:rsid w:val="007B37FA"/>
    <w:rsid w:val="007B5B47"/>
    <w:rsid w:val="007B7D9D"/>
    <w:rsid w:val="007C2C0B"/>
    <w:rsid w:val="007C2FC3"/>
    <w:rsid w:val="007C3128"/>
    <w:rsid w:val="007C3B98"/>
    <w:rsid w:val="007C4EA6"/>
    <w:rsid w:val="007D0A11"/>
    <w:rsid w:val="007D1EC7"/>
    <w:rsid w:val="007D7593"/>
    <w:rsid w:val="007E043B"/>
    <w:rsid w:val="007E04C1"/>
    <w:rsid w:val="007E1068"/>
    <w:rsid w:val="007E29BB"/>
    <w:rsid w:val="007E3841"/>
    <w:rsid w:val="007E6676"/>
    <w:rsid w:val="007E7634"/>
    <w:rsid w:val="007F094F"/>
    <w:rsid w:val="007F0B7D"/>
    <w:rsid w:val="007F287A"/>
    <w:rsid w:val="007F52AA"/>
    <w:rsid w:val="007F7379"/>
    <w:rsid w:val="007F779B"/>
    <w:rsid w:val="00800062"/>
    <w:rsid w:val="0080146A"/>
    <w:rsid w:val="00801C95"/>
    <w:rsid w:val="00803588"/>
    <w:rsid w:val="00803B53"/>
    <w:rsid w:val="00803C1D"/>
    <w:rsid w:val="008048AB"/>
    <w:rsid w:val="00805AE9"/>
    <w:rsid w:val="00806515"/>
    <w:rsid w:val="008069CD"/>
    <w:rsid w:val="0080753F"/>
    <w:rsid w:val="00807588"/>
    <w:rsid w:val="008077EC"/>
    <w:rsid w:val="00807CA4"/>
    <w:rsid w:val="00810BD4"/>
    <w:rsid w:val="00815CD7"/>
    <w:rsid w:val="00816DF3"/>
    <w:rsid w:val="008178C4"/>
    <w:rsid w:val="00820B08"/>
    <w:rsid w:val="00821110"/>
    <w:rsid w:val="00821D35"/>
    <w:rsid w:val="00822EB0"/>
    <w:rsid w:val="008241B9"/>
    <w:rsid w:val="008247C2"/>
    <w:rsid w:val="0082485C"/>
    <w:rsid w:val="008248E5"/>
    <w:rsid w:val="00824EDA"/>
    <w:rsid w:val="008276D5"/>
    <w:rsid w:val="0083053C"/>
    <w:rsid w:val="00831228"/>
    <w:rsid w:val="008328F6"/>
    <w:rsid w:val="00832BAC"/>
    <w:rsid w:val="008342FE"/>
    <w:rsid w:val="00834740"/>
    <w:rsid w:val="0083530F"/>
    <w:rsid w:val="00835642"/>
    <w:rsid w:val="008357D1"/>
    <w:rsid w:val="00837988"/>
    <w:rsid w:val="00837AA9"/>
    <w:rsid w:val="00842495"/>
    <w:rsid w:val="008424E6"/>
    <w:rsid w:val="008437E9"/>
    <w:rsid w:val="008466DD"/>
    <w:rsid w:val="00847469"/>
    <w:rsid w:val="00847971"/>
    <w:rsid w:val="00850703"/>
    <w:rsid w:val="0085303E"/>
    <w:rsid w:val="008548FE"/>
    <w:rsid w:val="00857D7A"/>
    <w:rsid w:val="00860EDD"/>
    <w:rsid w:val="008619AD"/>
    <w:rsid w:val="00863ADD"/>
    <w:rsid w:val="00864636"/>
    <w:rsid w:val="00865BAE"/>
    <w:rsid w:val="0086720D"/>
    <w:rsid w:val="00867B11"/>
    <w:rsid w:val="008734E7"/>
    <w:rsid w:val="00873F3A"/>
    <w:rsid w:val="008802D9"/>
    <w:rsid w:val="008802E0"/>
    <w:rsid w:val="00882723"/>
    <w:rsid w:val="008829FC"/>
    <w:rsid w:val="00882FCC"/>
    <w:rsid w:val="0088574C"/>
    <w:rsid w:val="008859E1"/>
    <w:rsid w:val="008876D2"/>
    <w:rsid w:val="008906E1"/>
    <w:rsid w:val="00890816"/>
    <w:rsid w:val="00890D1C"/>
    <w:rsid w:val="0089154C"/>
    <w:rsid w:val="00891A87"/>
    <w:rsid w:val="008A0CA2"/>
    <w:rsid w:val="008A2CDF"/>
    <w:rsid w:val="008A39D6"/>
    <w:rsid w:val="008A411C"/>
    <w:rsid w:val="008A4906"/>
    <w:rsid w:val="008A4B55"/>
    <w:rsid w:val="008A6EBC"/>
    <w:rsid w:val="008A783D"/>
    <w:rsid w:val="008A7EB4"/>
    <w:rsid w:val="008B06B0"/>
    <w:rsid w:val="008B1F4C"/>
    <w:rsid w:val="008B2747"/>
    <w:rsid w:val="008B2B11"/>
    <w:rsid w:val="008B4408"/>
    <w:rsid w:val="008B4CCC"/>
    <w:rsid w:val="008B52FB"/>
    <w:rsid w:val="008B5BC5"/>
    <w:rsid w:val="008B7931"/>
    <w:rsid w:val="008C1224"/>
    <w:rsid w:val="008C2067"/>
    <w:rsid w:val="008C33C9"/>
    <w:rsid w:val="008C390D"/>
    <w:rsid w:val="008C5AA5"/>
    <w:rsid w:val="008C5B3C"/>
    <w:rsid w:val="008C6EB3"/>
    <w:rsid w:val="008D437D"/>
    <w:rsid w:val="008D50F2"/>
    <w:rsid w:val="008D5779"/>
    <w:rsid w:val="008D6F47"/>
    <w:rsid w:val="008D742F"/>
    <w:rsid w:val="008D7679"/>
    <w:rsid w:val="008E0B45"/>
    <w:rsid w:val="008E1358"/>
    <w:rsid w:val="008E2351"/>
    <w:rsid w:val="008E3191"/>
    <w:rsid w:val="008E5E61"/>
    <w:rsid w:val="008E796F"/>
    <w:rsid w:val="008E7AC3"/>
    <w:rsid w:val="008F1276"/>
    <w:rsid w:val="008F17D6"/>
    <w:rsid w:val="008F2378"/>
    <w:rsid w:val="008F473B"/>
    <w:rsid w:val="008F4915"/>
    <w:rsid w:val="008F5554"/>
    <w:rsid w:val="00900C38"/>
    <w:rsid w:val="00902206"/>
    <w:rsid w:val="00903D64"/>
    <w:rsid w:val="00904330"/>
    <w:rsid w:val="00904916"/>
    <w:rsid w:val="009105DF"/>
    <w:rsid w:val="00911440"/>
    <w:rsid w:val="009136A2"/>
    <w:rsid w:val="009146B0"/>
    <w:rsid w:val="00916142"/>
    <w:rsid w:val="00916769"/>
    <w:rsid w:val="0092093A"/>
    <w:rsid w:val="009210DA"/>
    <w:rsid w:val="00922284"/>
    <w:rsid w:val="009238E1"/>
    <w:rsid w:val="00924A90"/>
    <w:rsid w:val="009252A0"/>
    <w:rsid w:val="009252DC"/>
    <w:rsid w:val="00925A45"/>
    <w:rsid w:val="00925ABF"/>
    <w:rsid w:val="00926170"/>
    <w:rsid w:val="00930C38"/>
    <w:rsid w:val="0093120E"/>
    <w:rsid w:val="00931A97"/>
    <w:rsid w:val="00934714"/>
    <w:rsid w:val="00935DD4"/>
    <w:rsid w:val="00940B4D"/>
    <w:rsid w:val="009421CA"/>
    <w:rsid w:val="009437CB"/>
    <w:rsid w:val="00944077"/>
    <w:rsid w:val="00944564"/>
    <w:rsid w:val="0094593C"/>
    <w:rsid w:val="00951827"/>
    <w:rsid w:val="009525FD"/>
    <w:rsid w:val="009561B3"/>
    <w:rsid w:val="00956597"/>
    <w:rsid w:val="00961F75"/>
    <w:rsid w:val="009647FC"/>
    <w:rsid w:val="0096558D"/>
    <w:rsid w:val="00965700"/>
    <w:rsid w:val="009674D8"/>
    <w:rsid w:val="00967A57"/>
    <w:rsid w:val="0097118F"/>
    <w:rsid w:val="0097254F"/>
    <w:rsid w:val="00973F7A"/>
    <w:rsid w:val="00974963"/>
    <w:rsid w:val="0097502E"/>
    <w:rsid w:val="00975A17"/>
    <w:rsid w:val="0097694B"/>
    <w:rsid w:val="00976AFC"/>
    <w:rsid w:val="00977330"/>
    <w:rsid w:val="00977354"/>
    <w:rsid w:val="00984988"/>
    <w:rsid w:val="00985402"/>
    <w:rsid w:val="00986603"/>
    <w:rsid w:val="00986EBC"/>
    <w:rsid w:val="00987855"/>
    <w:rsid w:val="00990416"/>
    <w:rsid w:val="00991685"/>
    <w:rsid w:val="009927D5"/>
    <w:rsid w:val="00994FCB"/>
    <w:rsid w:val="00995489"/>
    <w:rsid w:val="00996D44"/>
    <w:rsid w:val="00997ADB"/>
    <w:rsid w:val="009A18DB"/>
    <w:rsid w:val="009A303C"/>
    <w:rsid w:val="009A45FE"/>
    <w:rsid w:val="009A4690"/>
    <w:rsid w:val="009A489C"/>
    <w:rsid w:val="009A51C5"/>
    <w:rsid w:val="009A675F"/>
    <w:rsid w:val="009A6C99"/>
    <w:rsid w:val="009A77B9"/>
    <w:rsid w:val="009B38D1"/>
    <w:rsid w:val="009B3CC6"/>
    <w:rsid w:val="009B56EF"/>
    <w:rsid w:val="009B6B54"/>
    <w:rsid w:val="009B6D89"/>
    <w:rsid w:val="009B7656"/>
    <w:rsid w:val="009C0046"/>
    <w:rsid w:val="009C0C53"/>
    <w:rsid w:val="009C0D3A"/>
    <w:rsid w:val="009C0DD8"/>
    <w:rsid w:val="009C187E"/>
    <w:rsid w:val="009C1DC1"/>
    <w:rsid w:val="009C24DC"/>
    <w:rsid w:val="009C367E"/>
    <w:rsid w:val="009C4D47"/>
    <w:rsid w:val="009C5CA1"/>
    <w:rsid w:val="009C61F2"/>
    <w:rsid w:val="009C6E8C"/>
    <w:rsid w:val="009D02B9"/>
    <w:rsid w:val="009D3197"/>
    <w:rsid w:val="009D4B49"/>
    <w:rsid w:val="009E18BD"/>
    <w:rsid w:val="009E253B"/>
    <w:rsid w:val="009E6C2C"/>
    <w:rsid w:val="009E74E9"/>
    <w:rsid w:val="009F0713"/>
    <w:rsid w:val="009F2387"/>
    <w:rsid w:val="009F3A6B"/>
    <w:rsid w:val="009F4DDF"/>
    <w:rsid w:val="009F5C6A"/>
    <w:rsid w:val="009F63BA"/>
    <w:rsid w:val="009F7493"/>
    <w:rsid w:val="009F7E21"/>
    <w:rsid w:val="00A009A8"/>
    <w:rsid w:val="00A037C9"/>
    <w:rsid w:val="00A04383"/>
    <w:rsid w:val="00A05548"/>
    <w:rsid w:val="00A11C2A"/>
    <w:rsid w:val="00A123E3"/>
    <w:rsid w:val="00A13F92"/>
    <w:rsid w:val="00A15FD3"/>
    <w:rsid w:val="00A1651C"/>
    <w:rsid w:val="00A167A3"/>
    <w:rsid w:val="00A16D0B"/>
    <w:rsid w:val="00A16E9F"/>
    <w:rsid w:val="00A17DCA"/>
    <w:rsid w:val="00A21691"/>
    <w:rsid w:val="00A217CD"/>
    <w:rsid w:val="00A22514"/>
    <w:rsid w:val="00A22533"/>
    <w:rsid w:val="00A2361C"/>
    <w:rsid w:val="00A2391B"/>
    <w:rsid w:val="00A25672"/>
    <w:rsid w:val="00A26E51"/>
    <w:rsid w:val="00A271B6"/>
    <w:rsid w:val="00A322DE"/>
    <w:rsid w:val="00A33A66"/>
    <w:rsid w:val="00A33A98"/>
    <w:rsid w:val="00A3557B"/>
    <w:rsid w:val="00A35D39"/>
    <w:rsid w:val="00A36D31"/>
    <w:rsid w:val="00A408EB"/>
    <w:rsid w:val="00A40EFC"/>
    <w:rsid w:val="00A40F80"/>
    <w:rsid w:val="00A4272A"/>
    <w:rsid w:val="00A45DE0"/>
    <w:rsid w:val="00A46540"/>
    <w:rsid w:val="00A52506"/>
    <w:rsid w:val="00A53B68"/>
    <w:rsid w:val="00A54BA1"/>
    <w:rsid w:val="00A54CF5"/>
    <w:rsid w:val="00A56C74"/>
    <w:rsid w:val="00A61C27"/>
    <w:rsid w:val="00A632C2"/>
    <w:rsid w:val="00A6470A"/>
    <w:rsid w:val="00A65794"/>
    <w:rsid w:val="00A700B0"/>
    <w:rsid w:val="00A7040A"/>
    <w:rsid w:val="00A74E7A"/>
    <w:rsid w:val="00A7596B"/>
    <w:rsid w:val="00A75EE9"/>
    <w:rsid w:val="00A7690D"/>
    <w:rsid w:val="00A77CC1"/>
    <w:rsid w:val="00A84324"/>
    <w:rsid w:val="00A8483D"/>
    <w:rsid w:val="00A86923"/>
    <w:rsid w:val="00A87ABC"/>
    <w:rsid w:val="00A903C9"/>
    <w:rsid w:val="00A90C5B"/>
    <w:rsid w:val="00A90F6A"/>
    <w:rsid w:val="00A90F99"/>
    <w:rsid w:val="00A91ECB"/>
    <w:rsid w:val="00A9276D"/>
    <w:rsid w:val="00A930C7"/>
    <w:rsid w:val="00A93BF6"/>
    <w:rsid w:val="00A956AD"/>
    <w:rsid w:val="00AA13F8"/>
    <w:rsid w:val="00AA2E4C"/>
    <w:rsid w:val="00AA3BFD"/>
    <w:rsid w:val="00AA5CB2"/>
    <w:rsid w:val="00AA643C"/>
    <w:rsid w:val="00AB0CBF"/>
    <w:rsid w:val="00AB268C"/>
    <w:rsid w:val="00AB29D0"/>
    <w:rsid w:val="00AB30EC"/>
    <w:rsid w:val="00AB3B1E"/>
    <w:rsid w:val="00AB4C0B"/>
    <w:rsid w:val="00AB5DF7"/>
    <w:rsid w:val="00AC2BE4"/>
    <w:rsid w:val="00AC37F5"/>
    <w:rsid w:val="00AC4A02"/>
    <w:rsid w:val="00AC71C0"/>
    <w:rsid w:val="00AD0D6B"/>
    <w:rsid w:val="00AD1722"/>
    <w:rsid w:val="00AD1FE5"/>
    <w:rsid w:val="00AD206B"/>
    <w:rsid w:val="00AD3163"/>
    <w:rsid w:val="00AD5938"/>
    <w:rsid w:val="00AD5C44"/>
    <w:rsid w:val="00AE158D"/>
    <w:rsid w:val="00AE1A21"/>
    <w:rsid w:val="00AE22BA"/>
    <w:rsid w:val="00AE3747"/>
    <w:rsid w:val="00AE4E72"/>
    <w:rsid w:val="00AE6247"/>
    <w:rsid w:val="00AE6718"/>
    <w:rsid w:val="00AE6808"/>
    <w:rsid w:val="00AE7012"/>
    <w:rsid w:val="00AF0557"/>
    <w:rsid w:val="00AF0C5C"/>
    <w:rsid w:val="00AF2C00"/>
    <w:rsid w:val="00AF2D3A"/>
    <w:rsid w:val="00AF3A2F"/>
    <w:rsid w:val="00AF3C89"/>
    <w:rsid w:val="00AF660D"/>
    <w:rsid w:val="00AF7872"/>
    <w:rsid w:val="00AF7BEC"/>
    <w:rsid w:val="00B00A25"/>
    <w:rsid w:val="00B03631"/>
    <w:rsid w:val="00B04414"/>
    <w:rsid w:val="00B04D83"/>
    <w:rsid w:val="00B05BE6"/>
    <w:rsid w:val="00B07607"/>
    <w:rsid w:val="00B100CE"/>
    <w:rsid w:val="00B11419"/>
    <w:rsid w:val="00B1183E"/>
    <w:rsid w:val="00B140C3"/>
    <w:rsid w:val="00B1731F"/>
    <w:rsid w:val="00B17FC5"/>
    <w:rsid w:val="00B20513"/>
    <w:rsid w:val="00B21109"/>
    <w:rsid w:val="00B230BA"/>
    <w:rsid w:val="00B24B2B"/>
    <w:rsid w:val="00B2555E"/>
    <w:rsid w:val="00B27A3E"/>
    <w:rsid w:val="00B30613"/>
    <w:rsid w:val="00B3200F"/>
    <w:rsid w:val="00B331C0"/>
    <w:rsid w:val="00B3407C"/>
    <w:rsid w:val="00B35F6D"/>
    <w:rsid w:val="00B40410"/>
    <w:rsid w:val="00B41274"/>
    <w:rsid w:val="00B416CA"/>
    <w:rsid w:val="00B417BD"/>
    <w:rsid w:val="00B41994"/>
    <w:rsid w:val="00B42CDD"/>
    <w:rsid w:val="00B45671"/>
    <w:rsid w:val="00B51166"/>
    <w:rsid w:val="00B5193E"/>
    <w:rsid w:val="00B5267D"/>
    <w:rsid w:val="00B55E40"/>
    <w:rsid w:val="00B6066D"/>
    <w:rsid w:val="00B609AF"/>
    <w:rsid w:val="00B6170E"/>
    <w:rsid w:val="00B627D4"/>
    <w:rsid w:val="00B64EEB"/>
    <w:rsid w:val="00B65C11"/>
    <w:rsid w:val="00B65E51"/>
    <w:rsid w:val="00B673C1"/>
    <w:rsid w:val="00B7025F"/>
    <w:rsid w:val="00B70461"/>
    <w:rsid w:val="00B71490"/>
    <w:rsid w:val="00B72C4F"/>
    <w:rsid w:val="00B75B5B"/>
    <w:rsid w:val="00B75F05"/>
    <w:rsid w:val="00B7611D"/>
    <w:rsid w:val="00B76E5A"/>
    <w:rsid w:val="00B77E4F"/>
    <w:rsid w:val="00B80717"/>
    <w:rsid w:val="00B81A6D"/>
    <w:rsid w:val="00B8302F"/>
    <w:rsid w:val="00B83367"/>
    <w:rsid w:val="00B844D7"/>
    <w:rsid w:val="00B8483F"/>
    <w:rsid w:val="00B85ECF"/>
    <w:rsid w:val="00B90964"/>
    <w:rsid w:val="00B92D59"/>
    <w:rsid w:val="00B95A27"/>
    <w:rsid w:val="00B96B8F"/>
    <w:rsid w:val="00B9728F"/>
    <w:rsid w:val="00BA02EB"/>
    <w:rsid w:val="00BA03A6"/>
    <w:rsid w:val="00BA43AC"/>
    <w:rsid w:val="00BA707B"/>
    <w:rsid w:val="00BB0C5E"/>
    <w:rsid w:val="00BB1C90"/>
    <w:rsid w:val="00BB3AC1"/>
    <w:rsid w:val="00BB3D31"/>
    <w:rsid w:val="00BB56E1"/>
    <w:rsid w:val="00BB6914"/>
    <w:rsid w:val="00BB7026"/>
    <w:rsid w:val="00BB78FE"/>
    <w:rsid w:val="00BB7B35"/>
    <w:rsid w:val="00BC0F00"/>
    <w:rsid w:val="00BC4F45"/>
    <w:rsid w:val="00BC641A"/>
    <w:rsid w:val="00BC7731"/>
    <w:rsid w:val="00BC7AB3"/>
    <w:rsid w:val="00BC7F2E"/>
    <w:rsid w:val="00BD1B90"/>
    <w:rsid w:val="00BD4F2A"/>
    <w:rsid w:val="00BD6055"/>
    <w:rsid w:val="00BD60FE"/>
    <w:rsid w:val="00BE0C23"/>
    <w:rsid w:val="00BE3245"/>
    <w:rsid w:val="00BE5733"/>
    <w:rsid w:val="00BE6AF6"/>
    <w:rsid w:val="00BF06E1"/>
    <w:rsid w:val="00BF1BF1"/>
    <w:rsid w:val="00BF23C0"/>
    <w:rsid w:val="00BF272B"/>
    <w:rsid w:val="00BF2FC4"/>
    <w:rsid w:val="00BF3591"/>
    <w:rsid w:val="00BF3DDB"/>
    <w:rsid w:val="00BF5419"/>
    <w:rsid w:val="00BF7E48"/>
    <w:rsid w:val="00C0010B"/>
    <w:rsid w:val="00C02A0B"/>
    <w:rsid w:val="00C03CF5"/>
    <w:rsid w:val="00C045A6"/>
    <w:rsid w:val="00C04640"/>
    <w:rsid w:val="00C04E3C"/>
    <w:rsid w:val="00C05C2D"/>
    <w:rsid w:val="00C07363"/>
    <w:rsid w:val="00C10AA1"/>
    <w:rsid w:val="00C127EB"/>
    <w:rsid w:val="00C15EB3"/>
    <w:rsid w:val="00C169CF"/>
    <w:rsid w:val="00C2022D"/>
    <w:rsid w:val="00C209E9"/>
    <w:rsid w:val="00C2349F"/>
    <w:rsid w:val="00C2365D"/>
    <w:rsid w:val="00C24BE4"/>
    <w:rsid w:val="00C24C09"/>
    <w:rsid w:val="00C24C46"/>
    <w:rsid w:val="00C24E0C"/>
    <w:rsid w:val="00C250C7"/>
    <w:rsid w:val="00C26961"/>
    <w:rsid w:val="00C26F36"/>
    <w:rsid w:val="00C27CD0"/>
    <w:rsid w:val="00C31EE4"/>
    <w:rsid w:val="00C32C0D"/>
    <w:rsid w:val="00C32F38"/>
    <w:rsid w:val="00C42069"/>
    <w:rsid w:val="00C43848"/>
    <w:rsid w:val="00C456AC"/>
    <w:rsid w:val="00C46031"/>
    <w:rsid w:val="00C4764F"/>
    <w:rsid w:val="00C476AD"/>
    <w:rsid w:val="00C47CDE"/>
    <w:rsid w:val="00C53922"/>
    <w:rsid w:val="00C53A4A"/>
    <w:rsid w:val="00C54066"/>
    <w:rsid w:val="00C5434D"/>
    <w:rsid w:val="00C5458A"/>
    <w:rsid w:val="00C55661"/>
    <w:rsid w:val="00C617F7"/>
    <w:rsid w:val="00C63943"/>
    <w:rsid w:val="00C6515B"/>
    <w:rsid w:val="00C65322"/>
    <w:rsid w:val="00C66210"/>
    <w:rsid w:val="00C66250"/>
    <w:rsid w:val="00C678A9"/>
    <w:rsid w:val="00C67C43"/>
    <w:rsid w:val="00C710C7"/>
    <w:rsid w:val="00C71B36"/>
    <w:rsid w:val="00C762BF"/>
    <w:rsid w:val="00C76545"/>
    <w:rsid w:val="00C76797"/>
    <w:rsid w:val="00C76FCE"/>
    <w:rsid w:val="00C8401A"/>
    <w:rsid w:val="00C86416"/>
    <w:rsid w:val="00C86EA9"/>
    <w:rsid w:val="00C87A50"/>
    <w:rsid w:val="00C9016C"/>
    <w:rsid w:val="00C9083D"/>
    <w:rsid w:val="00C911BB"/>
    <w:rsid w:val="00C9257D"/>
    <w:rsid w:val="00C92B5D"/>
    <w:rsid w:val="00C92F79"/>
    <w:rsid w:val="00C966AE"/>
    <w:rsid w:val="00CA0C12"/>
    <w:rsid w:val="00CA482C"/>
    <w:rsid w:val="00CA544C"/>
    <w:rsid w:val="00CA6D9A"/>
    <w:rsid w:val="00CA7E73"/>
    <w:rsid w:val="00CB0E52"/>
    <w:rsid w:val="00CB3E45"/>
    <w:rsid w:val="00CB4E16"/>
    <w:rsid w:val="00CB66AB"/>
    <w:rsid w:val="00CB6FB9"/>
    <w:rsid w:val="00CB71A8"/>
    <w:rsid w:val="00CC0210"/>
    <w:rsid w:val="00CC241D"/>
    <w:rsid w:val="00CC2725"/>
    <w:rsid w:val="00CC2D86"/>
    <w:rsid w:val="00CC3A96"/>
    <w:rsid w:val="00CC728D"/>
    <w:rsid w:val="00CD2E7A"/>
    <w:rsid w:val="00CD3E47"/>
    <w:rsid w:val="00CD4914"/>
    <w:rsid w:val="00CE02E7"/>
    <w:rsid w:val="00CE1F49"/>
    <w:rsid w:val="00CE3DC3"/>
    <w:rsid w:val="00CE4AAE"/>
    <w:rsid w:val="00CE52D2"/>
    <w:rsid w:val="00CE5890"/>
    <w:rsid w:val="00CE5ED0"/>
    <w:rsid w:val="00CE654A"/>
    <w:rsid w:val="00CE7DD2"/>
    <w:rsid w:val="00CF1E75"/>
    <w:rsid w:val="00CF2634"/>
    <w:rsid w:val="00CF3B5D"/>
    <w:rsid w:val="00CF473D"/>
    <w:rsid w:val="00CF5444"/>
    <w:rsid w:val="00CF5A8D"/>
    <w:rsid w:val="00CF60CB"/>
    <w:rsid w:val="00CF7603"/>
    <w:rsid w:val="00CF77C4"/>
    <w:rsid w:val="00D014B0"/>
    <w:rsid w:val="00D01C4E"/>
    <w:rsid w:val="00D043FD"/>
    <w:rsid w:val="00D072CD"/>
    <w:rsid w:val="00D1009C"/>
    <w:rsid w:val="00D10C8B"/>
    <w:rsid w:val="00D11AA0"/>
    <w:rsid w:val="00D12AA9"/>
    <w:rsid w:val="00D13547"/>
    <w:rsid w:val="00D15CEF"/>
    <w:rsid w:val="00D1615C"/>
    <w:rsid w:val="00D16BA4"/>
    <w:rsid w:val="00D16F9F"/>
    <w:rsid w:val="00D17DC8"/>
    <w:rsid w:val="00D200C6"/>
    <w:rsid w:val="00D20828"/>
    <w:rsid w:val="00D20B2E"/>
    <w:rsid w:val="00D20CEC"/>
    <w:rsid w:val="00D2219A"/>
    <w:rsid w:val="00D22770"/>
    <w:rsid w:val="00D24C31"/>
    <w:rsid w:val="00D25AAD"/>
    <w:rsid w:val="00D267D6"/>
    <w:rsid w:val="00D27FAD"/>
    <w:rsid w:val="00D31086"/>
    <w:rsid w:val="00D328C4"/>
    <w:rsid w:val="00D32EB7"/>
    <w:rsid w:val="00D3309E"/>
    <w:rsid w:val="00D332BB"/>
    <w:rsid w:val="00D34157"/>
    <w:rsid w:val="00D3668B"/>
    <w:rsid w:val="00D371A7"/>
    <w:rsid w:val="00D42DAB"/>
    <w:rsid w:val="00D4437D"/>
    <w:rsid w:val="00D45014"/>
    <w:rsid w:val="00D45050"/>
    <w:rsid w:val="00D465AF"/>
    <w:rsid w:val="00D466F8"/>
    <w:rsid w:val="00D4692F"/>
    <w:rsid w:val="00D47819"/>
    <w:rsid w:val="00D505D6"/>
    <w:rsid w:val="00D50A1F"/>
    <w:rsid w:val="00D51402"/>
    <w:rsid w:val="00D52357"/>
    <w:rsid w:val="00D52608"/>
    <w:rsid w:val="00D5357C"/>
    <w:rsid w:val="00D540C5"/>
    <w:rsid w:val="00D55D57"/>
    <w:rsid w:val="00D5799D"/>
    <w:rsid w:val="00D604D3"/>
    <w:rsid w:val="00D61DF1"/>
    <w:rsid w:val="00D671C9"/>
    <w:rsid w:val="00D6722E"/>
    <w:rsid w:val="00D67640"/>
    <w:rsid w:val="00D70920"/>
    <w:rsid w:val="00D709F2"/>
    <w:rsid w:val="00D73B6B"/>
    <w:rsid w:val="00D74CDA"/>
    <w:rsid w:val="00D75115"/>
    <w:rsid w:val="00D762AE"/>
    <w:rsid w:val="00D807ED"/>
    <w:rsid w:val="00D817FB"/>
    <w:rsid w:val="00D81914"/>
    <w:rsid w:val="00D829E6"/>
    <w:rsid w:val="00D82BBF"/>
    <w:rsid w:val="00D82DAE"/>
    <w:rsid w:val="00D83BE9"/>
    <w:rsid w:val="00D844A0"/>
    <w:rsid w:val="00D854DF"/>
    <w:rsid w:val="00D86EBA"/>
    <w:rsid w:val="00D87850"/>
    <w:rsid w:val="00D904BD"/>
    <w:rsid w:val="00D91398"/>
    <w:rsid w:val="00D93976"/>
    <w:rsid w:val="00D94E7D"/>
    <w:rsid w:val="00D9534E"/>
    <w:rsid w:val="00D95999"/>
    <w:rsid w:val="00DA0106"/>
    <w:rsid w:val="00DA1D20"/>
    <w:rsid w:val="00DA2A7E"/>
    <w:rsid w:val="00DA3510"/>
    <w:rsid w:val="00DA390A"/>
    <w:rsid w:val="00DA3C45"/>
    <w:rsid w:val="00DA428A"/>
    <w:rsid w:val="00DA525D"/>
    <w:rsid w:val="00DA6001"/>
    <w:rsid w:val="00DA6080"/>
    <w:rsid w:val="00DA6E49"/>
    <w:rsid w:val="00DA7BC2"/>
    <w:rsid w:val="00DA7EED"/>
    <w:rsid w:val="00DB2C4A"/>
    <w:rsid w:val="00DB55DB"/>
    <w:rsid w:val="00DB5B91"/>
    <w:rsid w:val="00DB6144"/>
    <w:rsid w:val="00DB6709"/>
    <w:rsid w:val="00DC01E6"/>
    <w:rsid w:val="00DC1009"/>
    <w:rsid w:val="00DC2073"/>
    <w:rsid w:val="00DC5B45"/>
    <w:rsid w:val="00DC61EB"/>
    <w:rsid w:val="00DC6788"/>
    <w:rsid w:val="00DD187E"/>
    <w:rsid w:val="00DD3584"/>
    <w:rsid w:val="00DD36EA"/>
    <w:rsid w:val="00DD44D3"/>
    <w:rsid w:val="00DD537E"/>
    <w:rsid w:val="00DD6DE2"/>
    <w:rsid w:val="00DD77A1"/>
    <w:rsid w:val="00DE0389"/>
    <w:rsid w:val="00DE16EF"/>
    <w:rsid w:val="00DE2627"/>
    <w:rsid w:val="00DE30E5"/>
    <w:rsid w:val="00DE327B"/>
    <w:rsid w:val="00DE6648"/>
    <w:rsid w:val="00DE70C7"/>
    <w:rsid w:val="00DE72AB"/>
    <w:rsid w:val="00DE72C5"/>
    <w:rsid w:val="00DF19DF"/>
    <w:rsid w:val="00DF5E72"/>
    <w:rsid w:val="00DF617F"/>
    <w:rsid w:val="00DF6236"/>
    <w:rsid w:val="00DF74B2"/>
    <w:rsid w:val="00DF7764"/>
    <w:rsid w:val="00E01AAE"/>
    <w:rsid w:val="00E025D2"/>
    <w:rsid w:val="00E062A3"/>
    <w:rsid w:val="00E066E6"/>
    <w:rsid w:val="00E068CF"/>
    <w:rsid w:val="00E07958"/>
    <w:rsid w:val="00E10466"/>
    <w:rsid w:val="00E104EA"/>
    <w:rsid w:val="00E120DE"/>
    <w:rsid w:val="00E13978"/>
    <w:rsid w:val="00E21EC7"/>
    <w:rsid w:val="00E22102"/>
    <w:rsid w:val="00E227B8"/>
    <w:rsid w:val="00E2490B"/>
    <w:rsid w:val="00E258D8"/>
    <w:rsid w:val="00E26776"/>
    <w:rsid w:val="00E27B4E"/>
    <w:rsid w:val="00E30887"/>
    <w:rsid w:val="00E31126"/>
    <w:rsid w:val="00E32280"/>
    <w:rsid w:val="00E3291D"/>
    <w:rsid w:val="00E33155"/>
    <w:rsid w:val="00E33422"/>
    <w:rsid w:val="00E3618F"/>
    <w:rsid w:val="00E36730"/>
    <w:rsid w:val="00E37EC0"/>
    <w:rsid w:val="00E414F2"/>
    <w:rsid w:val="00E423EB"/>
    <w:rsid w:val="00E438A3"/>
    <w:rsid w:val="00E43A23"/>
    <w:rsid w:val="00E45F9C"/>
    <w:rsid w:val="00E46DCE"/>
    <w:rsid w:val="00E50892"/>
    <w:rsid w:val="00E5289E"/>
    <w:rsid w:val="00E53855"/>
    <w:rsid w:val="00E54AFA"/>
    <w:rsid w:val="00E54C68"/>
    <w:rsid w:val="00E56AA1"/>
    <w:rsid w:val="00E56DD2"/>
    <w:rsid w:val="00E62BDD"/>
    <w:rsid w:val="00E64BEC"/>
    <w:rsid w:val="00E656F1"/>
    <w:rsid w:val="00E66160"/>
    <w:rsid w:val="00E672F6"/>
    <w:rsid w:val="00E7052B"/>
    <w:rsid w:val="00E7187F"/>
    <w:rsid w:val="00E72B0E"/>
    <w:rsid w:val="00E74240"/>
    <w:rsid w:val="00E76EB6"/>
    <w:rsid w:val="00E7780E"/>
    <w:rsid w:val="00E7795C"/>
    <w:rsid w:val="00E8082B"/>
    <w:rsid w:val="00E81189"/>
    <w:rsid w:val="00E81BB4"/>
    <w:rsid w:val="00E8241E"/>
    <w:rsid w:val="00E84389"/>
    <w:rsid w:val="00E84C7E"/>
    <w:rsid w:val="00E84F55"/>
    <w:rsid w:val="00E85C33"/>
    <w:rsid w:val="00E87647"/>
    <w:rsid w:val="00E92364"/>
    <w:rsid w:val="00E92830"/>
    <w:rsid w:val="00E9293B"/>
    <w:rsid w:val="00E92B74"/>
    <w:rsid w:val="00E92EC2"/>
    <w:rsid w:val="00E93169"/>
    <w:rsid w:val="00E9579F"/>
    <w:rsid w:val="00EA1519"/>
    <w:rsid w:val="00EA3989"/>
    <w:rsid w:val="00EA45EF"/>
    <w:rsid w:val="00EA47D9"/>
    <w:rsid w:val="00EA63D7"/>
    <w:rsid w:val="00EB092D"/>
    <w:rsid w:val="00EB1C22"/>
    <w:rsid w:val="00EB3777"/>
    <w:rsid w:val="00EB7989"/>
    <w:rsid w:val="00EB7EB9"/>
    <w:rsid w:val="00EB7F08"/>
    <w:rsid w:val="00EC06A8"/>
    <w:rsid w:val="00EC1664"/>
    <w:rsid w:val="00EC3758"/>
    <w:rsid w:val="00EC46BA"/>
    <w:rsid w:val="00EC4F5B"/>
    <w:rsid w:val="00EC58D5"/>
    <w:rsid w:val="00EC63D2"/>
    <w:rsid w:val="00ED0535"/>
    <w:rsid w:val="00ED159E"/>
    <w:rsid w:val="00ED5A10"/>
    <w:rsid w:val="00EE0668"/>
    <w:rsid w:val="00EE271B"/>
    <w:rsid w:val="00EE3F2B"/>
    <w:rsid w:val="00EE4039"/>
    <w:rsid w:val="00EE617F"/>
    <w:rsid w:val="00EE6293"/>
    <w:rsid w:val="00EE649C"/>
    <w:rsid w:val="00EE6B06"/>
    <w:rsid w:val="00EE73D6"/>
    <w:rsid w:val="00EF0B75"/>
    <w:rsid w:val="00EF1882"/>
    <w:rsid w:val="00EF1C65"/>
    <w:rsid w:val="00EF1E83"/>
    <w:rsid w:val="00EF25B3"/>
    <w:rsid w:val="00EF2E96"/>
    <w:rsid w:val="00EF35B6"/>
    <w:rsid w:val="00EF39C1"/>
    <w:rsid w:val="00EF4257"/>
    <w:rsid w:val="00EF5C53"/>
    <w:rsid w:val="00EF6729"/>
    <w:rsid w:val="00F0119B"/>
    <w:rsid w:val="00F05863"/>
    <w:rsid w:val="00F1072D"/>
    <w:rsid w:val="00F156B8"/>
    <w:rsid w:val="00F17338"/>
    <w:rsid w:val="00F17B5C"/>
    <w:rsid w:val="00F2068E"/>
    <w:rsid w:val="00F21039"/>
    <w:rsid w:val="00F21885"/>
    <w:rsid w:val="00F24120"/>
    <w:rsid w:val="00F2719B"/>
    <w:rsid w:val="00F27373"/>
    <w:rsid w:val="00F31BB4"/>
    <w:rsid w:val="00F31DA2"/>
    <w:rsid w:val="00F330D4"/>
    <w:rsid w:val="00F35484"/>
    <w:rsid w:val="00F40EAB"/>
    <w:rsid w:val="00F413D4"/>
    <w:rsid w:val="00F41E02"/>
    <w:rsid w:val="00F4437C"/>
    <w:rsid w:val="00F45AEC"/>
    <w:rsid w:val="00F46434"/>
    <w:rsid w:val="00F51D57"/>
    <w:rsid w:val="00F53675"/>
    <w:rsid w:val="00F55151"/>
    <w:rsid w:val="00F5568E"/>
    <w:rsid w:val="00F558DB"/>
    <w:rsid w:val="00F55B2A"/>
    <w:rsid w:val="00F5753A"/>
    <w:rsid w:val="00F57DCD"/>
    <w:rsid w:val="00F604CB"/>
    <w:rsid w:val="00F62474"/>
    <w:rsid w:val="00F63044"/>
    <w:rsid w:val="00F636DC"/>
    <w:rsid w:val="00F63AC7"/>
    <w:rsid w:val="00F64733"/>
    <w:rsid w:val="00F65FA5"/>
    <w:rsid w:val="00F661E5"/>
    <w:rsid w:val="00F73C96"/>
    <w:rsid w:val="00F76AC8"/>
    <w:rsid w:val="00F80E13"/>
    <w:rsid w:val="00F8147B"/>
    <w:rsid w:val="00F81E91"/>
    <w:rsid w:val="00F81FCF"/>
    <w:rsid w:val="00F82677"/>
    <w:rsid w:val="00F83732"/>
    <w:rsid w:val="00F84A3D"/>
    <w:rsid w:val="00F84EA5"/>
    <w:rsid w:val="00F85664"/>
    <w:rsid w:val="00F86E25"/>
    <w:rsid w:val="00F87C2B"/>
    <w:rsid w:val="00F87C4D"/>
    <w:rsid w:val="00F87E6E"/>
    <w:rsid w:val="00F932A7"/>
    <w:rsid w:val="00F938F9"/>
    <w:rsid w:val="00F93C2D"/>
    <w:rsid w:val="00F93C60"/>
    <w:rsid w:val="00F9417B"/>
    <w:rsid w:val="00F974B8"/>
    <w:rsid w:val="00FA0B48"/>
    <w:rsid w:val="00FA1817"/>
    <w:rsid w:val="00FA2588"/>
    <w:rsid w:val="00FA4047"/>
    <w:rsid w:val="00FA4A84"/>
    <w:rsid w:val="00FA5D90"/>
    <w:rsid w:val="00FA73AB"/>
    <w:rsid w:val="00FA7718"/>
    <w:rsid w:val="00FB1065"/>
    <w:rsid w:val="00FB1294"/>
    <w:rsid w:val="00FB406D"/>
    <w:rsid w:val="00FB5887"/>
    <w:rsid w:val="00FB73A8"/>
    <w:rsid w:val="00FC1000"/>
    <w:rsid w:val="00FC4EE9"/>
    <w:rsid w:val="00FC5B4F"/>
    <w:rsid w:val="00FC5DE9"/>
    <w:rsid w:val="00FD1869"/>
    <w:rsid w:val="00FD1D8C"/>
    <w:rsid w:val="00FD26E4"/>
    <w:rsid w:val="00FD38AD"/>
    <w:rsid w:val="00FD44F7"/>
    <w:rsid w:val="00FD54AD"/>
    <w:rsid w:val="00FD5789"/>
    <w:rsid w:val="00FD72FC"/>
    <w:rsid w:val="00FD77AD"/>
    <w:rsid w:val="00FD7AFD"/>
    <w:rsid w:val="00FE1144"/>
    <w:rsid w:val="00FE18DF"/>
    <w:rsid w:val="00FE260C"/>
    <w:rsid w:val="00FE2642"/>
    <w:rsid w:val="00FE26CF"/>
    <w:rsid w:val="00FE5AC1"/>
    <w:rsid w:val="00FE6EA8"/>
    <w:rsid w:val="00FE702D"/>
    <w:rsid w:val="00FE7414"/>
    <w:rsid w:val="00FE7AAB"/>
    <w:rsid w:val="00FF06A5"/>
    <w:rsid w:val="00FF30C1"/>
    <w:rsid w:val="00FF44A3"/>
    <w:rsid w:val="00FF5072"/>
    <w:rsid w:val="00FF7FB5"/>
    <w:rsid w:val="070E2AA4"/>
    <w:rsid w:val="0EFE233F"/>
    <w:rsid w:val="18047589"/>
    <w:rsid w:val="1A971FE0"/>
    <w:rsid w:val="1D3E66D5"/>
    <w:rsid w:val="1F4D2FA6"/>
    <w:rsid w:val="1FE85FDB"/>
    <w:rsid w:val="20C637EC"/>
    <w:rsid w:val="24C60694"/>
    <w:rsid w:val="2562661D"/>
    <w:rsid w:val="25930B40"/>
    <w:rsid w:val="27DD6975"/>
    <w:rsid w:val="289274BB"/>
    <w:rsid w:val="28A6399D"/>
    <w:rsid w:val="31A160B1"/>
    <w:rsid w:val="33C03C69"/>
    <w:rsid w:val="34DB2740"/>
    <w:rsid w:val="35136331"/>
    <w:rsid w:val="370637B5"/>
    <w:rsid w:val="37940806"/>
    <w:rsid w:val="3A4D44CF"/>
    <w:rsid w:val="3C951C42"/>
    <w:rsid w:val="490C0662"/>
    <w:rsid w:val="4BB7A7B5"/>
    <w:rsid w:val="4C3142F8"/>
    <w:rsid w:val="4F785178"/>
    <w:rsid w:val="520B2179"/>
    <w:rsid w:val="57B6214C"/>
    <w:rsid w:val="57F161C9"/>
    <w:rsid w:val="5963260A"/>
    <w:rsid w:val="63C442F3"/>
    <w:rsid w:val="6A8F39D8"/>
    <w:rsid w:val="6EF96AFD"/>
    <w:rsid w:val="70B74468"/>
    <w:rsid w:val="735F716C"/>
    <w:rsid w:val="787029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qFormat="1" w:unhideWhenUsed="0"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unhideWhenUsed/>
    <w:qFormat/>
    <w:uiPriority w:val="99"/>
  </w:style>
  <w:style w:type="paragraph" w:styleId="3">
    <w:name w:val="Balloon Text"/>
    <w:basedOn w:val="1"/>
    <w:link w:val="15"/>
    <w:qFormat/>
    <w:uiPriority w:val="0"/>
    <w:rPr>
      <w:sz w:val="18"/>
      <w:szCs w:val="18"/>
    </w:rPr>
  </w:style>
  <w:style w:type="paragraph" w:styleId="4">
    <w:name w:val="footer"/>
    <w:basedOn w:val="1"/>
    <w:link w:val="14"/>
    <w:qFormat/>
    <w:uiPriority w:val="99"/>
    <w:pPr>
      <w:tabs>
        <w:tab w:val="center" w:pos="4153"/>
        <w:tab w:val="right" w:pos="8306"/>
      </w:tabs>
      <w:snapToGrid w:val="0"/>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6">
    <w:name w:val="toc 2"/>
    <w:basedOn w:val="1"/>
    <w:next w:val="1"/>
    <w:qFormat/>
    <w:uiPriority w:val="39"/>
    <w:pPr>
      <w:widowControl w:val="0"/>
      <w:ind w:left="420" w:leftChars="200"/>
      <w:jc w:val="both"/>
    </w:pPr>
    <w:rPr>
      <w:rFonts w:ascii="Times New Roman" w:hAnsi="Times New Roman" w:cs="Times New Roman"/>
      <w:kern w:val="2"/>
      <w:sz w:val="21"/>
    </w:rPr>
  </w:style>
  <w:style w:type="paragraph" w:styleId="7">
    <w:name w:val="annotation subject"/>
    <w:basedOn w:val="2"/>
    <w:next w:val="2"/>
    <w:link w:val="18"/>
    <w:semiHidden/>
    <w:unhideWhenUsed/>
    <w:qFormat/>
    <w:uiPriority w:val="0"/>
    <w:rPr>
      <w:b/>
      <w:bCs/>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basedOn w:val="10"/>
    <w:unhideWhenUsed/>
    <w:qFormat/>
    <w:uiPriority w:val="99"/>
    <w:rPr>
      <w:color w:val="0000FF" w:themeColor="hyperlink"/>
      <w:u w:val="single"/>
      <w14:textFill>
        <w14:solidFill>
          <w14:schemeClr w14:val="hlink"/>
        </w14:solidFill>
      </w14:textFill>
    </w:rPr>
  </w:style>
  <w:style w:type="character" w:styleId="12">
    <w:name w:val="annotation reference"/>
    <w:basedOn w:val="10"/>
    <w:semiHidden/>
    <w:unhideWhenUsed/>
    <w:qFormat/>
    <w:uiPriority w:val="0"/>
    <w:rPr>
      <w:sz w:val="21"/>
      <w:szCs w:val="21"/>
    </w:rPr>
  </w:style>
  <w:style w:type="character" w:customStyle="1" w:styleId="13">
    <w:name w:val="页眉 Char"/>
    <w:link w:val="5"/>
    <w:qFormat/>
    <w:uiPriority w:val="99"/>
    <w:rPr>
      <w:rFonts w:ascii="宋体" w:hAnsi="宋体" w:eastAsia="宋体" w:cs="宋体"/>
      <w:sz w:val="18"/>
      <w:szCs w:val="18"/>
    </w:rPr>
  </w:style>
  <w:style w:type="character" w:customStyle="1" w:styleId="14">
    <w:name w:val="页脚 Char"/>
    <w:link w:val="4"/>
    <w:qFormat/>
    <w:uiPriority w:val="99"/>
    <w:rPr>
      <w:rFonts w:ascii="宋体" w:hAnsi="宋体" w:eastAsia="宋体" w:cs="宋体"/>
      <w:sz w:val="18"/>
      <w:szCs w:val="18"/>
    </w:rPr>
  </w:style>
  <w:style w:type="character" w:customStyle="1" w:styleId="15">
    <w:name w:val="批注框文本 Char"/>
    <w:link w:val="3"/>
    <w:qFormat/>
    <w:uiPriority w:val="0"/>
    <w:rPr>
      <w:rFonts w:ascii="宋体" w:hAnsi="宋体" w:eastAsia="宋体" w:cs="宋体"/>
      <w:sz w:val="18"/>
      <w:szCs w:val="18"/>
    </w:rPr>
  </w:style>
  <w:style w:type="paragraph" w:customStyle="1" w:styleId="16">
    <w:name w:val="普通(网站)1"/>
    <w:basedOn w:val="1"/>
    <w:qFormat/>
    <w:uiPriority w:val="0"/>
    <w:pPr>
      <w:spacing w:before="100" w:beforeAutospacing="1" w:after="100" w:afterAutospacing="1"/>
    </w:pPr>
  </w:style>
  <w:style w:type="character" w:customStyle="1" w:styleId="17">
    <w:name w:val="批注文字 Char"/>
    <w:basedOn w:val="10"/>
    <w:link w:val="2"/>
    <w:qFormat/>
    <w:uiPriority w:val="99"/>
    <w:rPr>
      <w:rFonts w:ascii="宋体" w:hAnsi="宋体" w:cs="宋体"/>
      <w:sz w:val="24"/>
      <w:szCs w:val="24"/>
    </w:rPr>
  </w:style>
  <w:style w:type="character" w:customStyle="1" w:styleId="18">
    <w:name w:val="批注主题 Char"/>
    <w:basedOn w:val="17"/>
    <w:link w:val="7"/>
    <w:semiHidden/>
    <w:qFormat/>
    <w:uiPriority w:val="0"/>
    <w:rPr>
      <w:rFonts w:ascii="宋体" w:hAnsi="宋体" w:cs="宋体"/>
      <w:b/>
      <w:bCs/>
      <w:sz w:val="24"/>
      <w:szCs w:val="24"/>
    </w:rPr>
  </w:style>
  <w:style w:type="paragraph" w:styleId="19">
    <w:name w:val="List Paragraph"/>
    <w:basedOn w:val="1"/>
    <w:qFormat/>
    <w:uiPriority w:val="34"/>
    <w:pPr>
      <w:ind w:firstLine="420" w:firstLineChars="200"/>
    </w:pPr>
  </w:style>
  <w:style w:type="paragraph" w:customStyle="1" w:styleId="20">
    <w:name w:val="修订1"/>
    <w:hidden/>
    <w:semiHidden/>
    <w:qFormat/>
    <w:uiPriority w:val="99"/>
    <w:rPr>
      <w:rFonts w:ascii="宋体" w:hAnsi="宋体" w:eastAsia="宋体" w:cs="宋体"/>
      <w:sz w:val="24"/>
      <w:szCs w:val="24"/>
      <w:lang w:val="en-US" w:eastAsia="zh-CN" w:bidi="ar-SA"/>
    </w:rPr>
  </w:style>
  <w:style w:type="paragraph" w:customStyle="1" w:styleId="21">
    <w:name w:val="修订2"/>
    <w:hidden/>
    <w:semiHidden/>
    <w:qFormat/>
    <w:uiPriority w:val="99"/>
    <w:rPr>
      <w:rFonts w:ascii="宋体" w:hAnsi="宋体" w:eastAsia="宋体" w:cs="宋体"/>
      <w:sz w:val="24"/>
      <w:szCs w:val="24"/>
      <w:lang w:val="en-US" w:eastAsia="zh-CN" w:bidi="ar-SA"/>
    </w:rPr>
  </w:style>
  <w:style w:type="paragraph" w:customStyle="1" w:styleId="22">
    <w:name w:val="正文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3">
    <w:name w:val="正文文本缩进 New"/>
    <w:basedOn w:val="1"/>
    <w:qFormat/>
    <w:uiPriority w:val="0"/>
    <w:pPr>
      <w:overflowPunct w:val="0"/>
      <w:autoSpaceDE w:val="0"/>
      <w:autoSpaceDN w:val="0"/>
      <w:adjustRightInd w:val="0"/>
      <w:ind w:left="1134"/>
      <w:textAlignment w:val="baseline"/>
    </w:pPr>
    <w:rPr>
      <w:rFonts w:hAnsi="Times New Roman" w:cs="Times New Roman"/>
      <w:szCs w:val="20"/>
    </w:rPr>
  </w:style>
  <w:style w:type="paragraph" w:customStyle="1" w:styleId="24">
    <w:name w:val="正文 New New New New New New New New New New New"/>
    <w:qFormat/>
    <w:uiPriority w:val="0"/>
    <w:pPr>
      <w:autoSpaceDE w:val="0"/>
      <w:autoSpaceDN w:val="0"/>
      <w:adjustRightInd w:val="0"/>
    </w:pPr>
    <w:rPr>
      <w:rFonts w:ascii="宋体" w:hAnsi="Times New Roman" w:eastAsia="宋体" w:cs="Times New Roman"/>
      <w:lang w:val="en-US" w:eastAsia="zh-CN" w:bidi="ar-SA"/>
    </w:rPr>
  </w:style>
  <w:style w:type="character" w:customStyle="1" w:styleId="25">
    <w:name w:val="Unresolved Mention"/>
    <w:basedOn w:val="10"/>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E8E1EE-3D9B-4B01-B640-D26E70391A53}">
  <ds:schemaRefs/>
</ds:datastoreItem>
</file>

<file path=docProps/app.xml><?xml version="1.0" encoding="utf-8"?>
<Properties xmlns="http://schemas.openxmlformats.org/officeDocument/2006/extended-properties" xmlns:vt="http://schemas.openxmlformats.org/officeDocument/2006/docPropsVTypes">
  <Template>Normal.dotm</Template>
  <Company>citicbank</Company>
  <Pages>3</Pages>
  <Words>4976</Words>
  <Characters>28368</Characters>
  <Lines>236</Lines>
  <Paragraphs>66</Paragraphs>
  <TotalTime>17</TotalTime>
  <ScaleCrop>false</ScaleCrop>
  <LinksUpToDate>false</LinksUpToDate>
  <CharactersWithSpaces>33278</CharactersWithSpaces>
  <Application>WPS Office_12.8.2.20793_F1E327BC-269C-435d-A152-05C5408002CA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2024-10-10T10:16:00Z</dcterms:created>
  <dc:creator>王晓明</dc:creator>
  <cp:lastModifiedBy>xc-chenxinyi</cp:lastModifiedBy>
  <cp:lastPrinted>2024-04-19T17:21:00Z</cp:lastPrinted>
  <dcterms:modified xsi:type="dcterms:W3CDTF">2025-11-13T06:21:16Z</dcterms:modified>
  <dc:title>产品说明书</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2052-12.8.2.20793</vt:lpwstr>
  </property>
  <property fmtid="{D5CDD505-2E9C-101B-9397-08002B2CF9AE}" pid="3" name="ICV">
    <vt:lpwstr>B3D89807B67098974CDFED673D171B0E</vt:lpwstr>
  </property>
</Properties>
</file>