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3D3F402">
      <w:pPr>
        <w:spacing w:line="300" w:lineRule="exact"/>
        <w:jc w:val="both"/>
        <w:rPr>
          <w:color w:val="000000" w:themeColor="text1"/>
          <w14:textFill>
            <w14:solidFill>
              <w14:schemeClr w14:val="tx1"/>
            </w14:solidFill>
          </w14:textFill>
        </w:rPr>
      </w:pPr>
      <w:bookmarkStart w:id="1" w:name="_GoBack"/>
      <w:bookmarkEnd w:id="1"/>
      <w:r>
        <w:rPr>
          <w:rFonts w:hint="eastAsia" w:ascii="黑体" w:eastAsia="黑体" w:cs="黑体"/>
          <w:b/>
          <w:bCs/>
          <w:color w:val="000000" w:themeColor="text1"/>
          <w14:textFill>
            <w14:solidFill>
              <w14:schemeClr w14:val="tx1"/>
            </w14:solidFill>
          </w14:textFill>
        </w:rPr>
        <w:t>理财产品登记编码</w:t>
      </w:r>
      <w:r>
        <w:rPr>
          <w:rFonts w:ascii="黑体" w:eastAsia="黑体" w:cs="黑体"/>
          <w:b/>
          <w:bCs/>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Z7002625002511</w:t>
      </w:r>
      <w:r>
        <w:rPr>
          <w:color w:val="000000" w:themeColor="text1"/>
          <w14:textFill>
            <w14:solidFill>
              <w14:schemeClr w14:val="tx1"/>
            </w14:solidFill>
          </w14:textFill>
        </w:rPr>
        <w:t>】</w:t>
      </w:r>
    </w:p>
    <w:p w14:paraId="74A08DE8">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w:t>
      </w:r>
      <w:r>
        <w:rPr>
          <w:rFonts w:hint="eastAsia" w:ascii="黑体" w:hAnsi="黑体" w:eastAsia="黑体"/>
          <w:sz w:val="21"/>
          <w:szCs w:val="21"/>
        </w:rPr>
        <w:t>金融产品查询平台（www.jrcpcx.cn）或</w:t>
      </w:r>
      <w:r>
        <w:rPr>
          <w:rFonts w:ascii="黑体" w:hAnsi="黑体" w:eastAsia="黑体"/>
          <w:color w:val="000000" w:themeColor="text1"/>
          <w:sz w:val="21"/>
          <w:szCs w:val="21"/>
          <w14:textFill>
            <w14:solidFill>
              <w14:schemeClr w14:val="tx1"/>
            </w14:solidFill>
          </w14:textFill>
        </w:rPr>
        <w:t>中国理财网（www.chinawealth.com.cn）</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14:paraId="512C5C39">
      <w:pPr>
        <w:spacing w:line="300" w:lineRule="exact"/>
        <w:jc w:val="both"/>
        <w:rPr>
          <w:rFonts w:ascii="黑体" w:hAnsi="黑体" w:eastAsia="黑体"/>
          <w:color w:val="000000" w:themeColor="text1"/>
          <w:sz w:val="21"/>
          <w:szCs w:val="21"/>
          <w14:textFill>
            <w14:solidFill>
              <w14:schemeClr w14:val="tx1"/>
            </w14:solidFill>
          </w14:textFill>
        </w:rPr>
      </w:pPr>
    </w:p>
    <w:p w14:paraId="39A8869B">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w:t>
      </w:r>
      <w:r>
        <w:rPr>
          <w:rFonts w:hint="eastAsia" w:ascii="黑体" w:hAnsi="黑体" w:eastAsia="黑体"/>
          <w:b/>
          <w:sz w:val="28"/>
          <w:szCs w:val="28"/>
        </w:rPr>
        <w:t>金融产品查询平台（www.jrcpcx.cn）或</w:t>
      </w:r>
      <w:r>
        <w:rPr>
          <w:rFonts w:hint="eastAsia" w:ascii="黑体" w:hAnsi="黑体" w:eastAsia="黑体"/>
          <w:b/>
          <w:color w:val="000000" w:themeColor="text1"/>
          <w:sz w:val="28"/>
          <w:szCs w:val="28"/>
          <w14:textFill>
            <w14:solidFill>
              <w14:schemeClr w14:val="tx1"/>
            </w14:solidFill>
          </w14:textFill>
        </w:rPr>
        <w:t>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14:paraId="7F2A6CC5">
      <w:pPr>
        <w:spacing w:line="300" w:lineRule="exact"/>
        <w:ind w:right="-792" w:rightChars="-330"/>
        <w:rPr>
          <w:rFonts w:ascii="黑体" w:hAnsi="黑体" w:eastAsia="黑体"/>
          <w:color w:val="000000" w:themeColor="text1"/>
          <w:sz w:val="21"/>
          <w:szCs w:val="21"/>
          <w14:textFill>
            <w14:solidFill>
              <w14:schemeClr w14:val="tx1"/>
            </w14:solidFill>
          </w14:textFill>
        </w:rPr>
      </w:pPr>
    </w:p>
    <w:p w14:paraId="015FD816">
      <w:pPr>
        <w:spacing w:line="300" w:lineRule="exact"/>
        <w:ind w:right="-792" w:rightChars="-330"/>
        <w:rPr>
          <w:rFonts w:ascii="黑体" w:hAnsi="黑体" w:eastAsia="黑体"/>
          <w:color w:val="000000" w:themeColor="text1"/>
          <w:sz w:val="21"/>
          <w:szCs w:val="21"/>
          <w14:textFill>
            <w14:solidFill>
              <w14:schemeClr w14:val="tx1"/>
            </w14:solidFill>
          </w14:textFill>
        </w:rPr>
      </w:pPr>
    </w:p>
    <w:p w14:paraId="6D248BE9">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37862BFA">
      <w:pPr>
        <w:widowControl w:val="0"/>
        <w:spacing w:line="300" w:lineRule="exact"/>
        <w:ind w:right="-792" w:rightChars="-330"/>
        <w:jc w:val="center"/>
        <w:rPr>
          <w:rFonts w:ascii="黑体" w:hAnsi="Calibri"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hint="eastAsia" w:ascii="黑体" w:hAnsi="Calibri" w:eastAsia="黑体" w:cs="黑体"/>
          <w:b/>
          <w:bCs/>
          <w:sz w:val="20"/>
          <w:szCs w:val="20"/>
        </w:rPr>
        <w:t>信银理财</w:t>
      </w:r>
      <w:r>
        <w:rPr>
          <w:rFonts w:hint="eastAsia" w:ascii="黑体" w:hAnsi="Calibri" w:eastAsia="黑体" w:cs="黑体"/>
          <w:b/>
          <w:bCs/>
          <w:sz w:val="20"/>
          <w:szCs w:val="20"/>
          <w:lang w:eastAsia="zh-CN"/>
        </w:rPr>
        <w:t>安盈象固收稳健温暖童行丰收封闭式2号</w:t>
      </w:r>
      <w:r>
        <w:rPr>
          <w:rFonts w:hint="eastAsia" w:ascii="黑体" w:hAnsi="Calibri" w:eastAsia="黑体" w:cs="黑体"/>
          <w:b/>
          <w:bCs/>
          <w:sz w:val="20"/>
          <w:szCs w:val="20"/>
        </w:rPr>
        <w:t>理财产品</w:t>
      </w:r>
      <w:r>
        <w:rPr>
          <w:rFonts w:hint="eastAsia" w:ascii="黑体" w:hAnsi="Calibri" w:eastAsia="黑体" w:cs="黑体"/>
          <w:b/>
          <w:bCs/>
          <w:color w:val="000000" w:themeColor="text1"/>
          <w:sz w:val="20"/>
          <w:szCs w:val="20"/>
          <w14:textFill>
            <w14:solidFill>
              <w14:schemeClr w14:val="tx1"/>
            </w14:solidFill>
          </w14:textFill>
        </w:rPr>
        <w:t xml:space="preserve">】  </w:t>
      </w:r>
    </w:p>
    <w:p w14:paraId="1498C839">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Calibri" w:eastAsia="黑体" w:cs="黑体"/>
          <w:b/>
          <w:bCs/>
          <w:color w:val="000000" w:themeColor="text1"/>
          <w:sz w:val="20"/>
          <w:szCs w:val="20"/>
          <w14:textFill>
            <w14:solidFill>
              <w14:schemeClr w14:val="tx1"/>
            </w14:solidFill>
          </w14:textFill>
        </w:rPr>
        <w:t>产品代码：【</w:t>
      </w:r>
      <w:r>
        <w:rPr>
          <w:rFonts w:hint="eastAsia" w:ascii="黑体" w:hAnsi="Calibri" w:eastAsia="黑体" w:cs="黑体"/>
          <w:b/>
          <w:bCs/>
          <w:sz w:val="20"/>
          <w:szCs w:val="20"/>
          <w:lang w:eastAsia="zh-CN"/>
        </w:rPr>
        <w:t>AF251852</w:t>
      </w:r>
      <w:r>
        <w:rPr>
          <w:rFonts w:hint="eastAsia" w:ascii="黑体" w:hAnsi="Calibri" w:eastAsia="黑体" w:cs="黑体"/>
          <w:b/>
          <w:bCs/>
          <w:color w:val="000000" w:themeColor="text1"/>
          <w:sz w:val="20"/>
          <w:szCs w:val="20"/>
          <w14:textFill>
            <w14:solidFill>
              <w14:schemeClr w14:val="tx1"/>
            </w14:solidFill>
          </w14:textFill>
        </w:rPr>
        <w:t>】</w:t>
      </w:r>
      <w:r>
        <w:rPr>
          <w:rFonts w:hint="eastAsia" w:ascii="黑体" w:hAnsi="Times New Roman" w:eastAsia="黑体" w:cs="黑体"/>
          <w:b/>
          <w:bCs/>
          <w:color w:val="000000" w:themeColor="text1"/>
          <w:sz w:val="20"/>
          <w:szCs w:val="20"/>
          <w14:textFill>
            <w14:solidFill>
              <w14:schemeClr w14:val="tx1"/>
            </w14:solidFill>
          </w14:textFill>
        </w:rPr>
        <w:t>）</w:t>
      </w:r>
    </w:p>
    <w:p w14:paraId="378D81DF">
      <w:pPr>
        <w:spacing w:line="300" w:lineRule="exact"/>
        <w:ind w:right="-792" w:rightChars="-330"/>
        <w:rPr>
          <w:color w:val="000000" w:themeColor="text1"/>
          <w14:textFill>
            <w14:solidFill>
              <w14:schemeClr w14:val="tx1"/>
            </w14:solidFill>
          </w14:textFill>
        </w:rPr>
      </w:pPr>
    </w:p>
    <w:p w14:paraId="53A91EC0">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30E1D028">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．本理财产品的产品期限为【</w:t>
      </w:r>
      <w:r>
        <w:rPr>
          <w:rFonts w:hint="eastAsia" w:ascii="黑体" w:hAnsi="Times New Roman" w:eastAsia="黑体" w:cs="黑体"/>
          <w:b/>
          <w:color w:val="000000" w:themeColor="text1"/>
          <w:sz w:val="20"/>
          <w:szCs w:val="20"/>
          <w:lang w:val="en-US" w:eastAsia="zh-CN"/>
          <w14:textFill>
            <w14:solidFill>
              <w14:schemeClr w14:val="tx1"/>
            </w14:solidFill>
          </w14:textFill>
        </w:rPr>
        <w:t>421</w:t>
      </w:r>
      <w:r>
        <w:rPr>
          <w:rFonts w:hint="eastAsia" w:ascii="黑体" w:hAnsi="Times New Roman" w:eastAsia="黑体" w:cs="黑体"/>
          <w:b/>
          <w:color w:val="000000" w:themeColor="text1"/>
          <w:sz w:val="20"/>
          <w:szCs w:val="20"/>
          <w14:textFill>
            <w14:solidFill>
              <w14:schemeClr w14:val="tx1"/>
            </w14:solidFill>
          </w14:textFill>
        </w:rPr>
        <w:t>】天，到期日为【</w:t>
      </w:r>
      <w:r>
        <w:rPr>
          <w:rFonts w:ascii="黑体" w:hAnsi="Times New Roman" w:eastAsia="黑体" w:cs="黑体"/>
          <w:b/>
          <w:color w:val="000000" w:themeColor="text1"/>
          <w:sz w:val="20"/>
          <w:szCs w:val="20"/>
          <w14:textFill>
            <w14:solidFill>
              <w14:schemeClr w14:val="tx1"/>
            </w14:solidFill>
          </w14:textFill>
        </w:rPr>
        <w:t>202</w:t>
      </w:r>
      <w:r>
        <w:rPr>
          <w:rFonts w:hint="eastAsia" w:ascii="黑体" w:hAnsi="Times New Roman" w:eastAsia="黑体" w:cs="黑体"/>
          <w:b/>
          <w:color w:val="000000" w:themeColor="text1"/>
          <w:sz w:val="20"/>
          <w:szCs w:val="20"/>
          <w:lang w:val="en-US" w:eastAsia="zh-CN"/>
          <w14:textFill>
            <w14:solidFill>
              <w14:schemeClr w14:val="tx1"/>
            </w14:solidFill>
          </w14:textFill>
        </w:rPr>
        <w:t>7</w:t>
      </w:r>
      <w:r>
        <w:rPr>
          <w:rFonts w:hint="eastAsia" w:ascii="黑体" w:hAnsi="Times New Roman" w:eastAsia="黑体" w:cs="黑体"/>
          <w:b/>
          <w:color w:val="000000" w:themeColor="text1"/>
          <w:sz w:val="20"/>
          <w:szCs w:val="20"/>
          <w14:textFill>
            <w14:solidFill>
              <w14:schemeClr w14:val="tx1"/>
            </w14:solidFill>
          </w14:textFill>
        </w:rPr>
        <w:t>】年【</w:t>
      </w:r>
      <w:r>
        <w:rPr>
          <w:rFonts w:hint="eastAsia" w:ascii="黑体" w:hAnsi="Times New Roman" w:eastAsia="黑体" w:cs="黑体"/>
          <w:b/>
          <w:color w:val="000000" w:themeColor="text1"/>
          <w:sz w:val="20"/>
          <w:szCs w:val="20"/>
          <w:lang w:val="en-US" w:eastAsia="zh-CN"/>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】月【</w:t>
      </w:r>
      <w:r>
        <w:rPr>
          <w:rFonts w:hint="eastAsia" w:ascii="黑体" w:hAnsi="Times New Roman" w:eastAsia="黑体" w:cs="黑体"/>
          <w:b/>
          <w:color w:val="000000" w:themeColor="text1"/>
          <w:sz w:val="20"/>
          <w:szCs w:val="20"/>
          <w:lang w:val="en-US" w:eastAsia="zh-CN"/>
          <w14:textFill>
            <w14:solidFill>
              <w14:schemeClr w14:val="tx1"/>
            </w14:solidFill>
          </w14:textFill>
        </w:rPr>
        <w:t>20</w:t>
      </w:r>
      <w:r>
        <w:rPr>
          <w:rFonts w:hint="eastAsia" w:ascii="黑体" w:hAnsi="Times New Roman" w:eastAsia="黑体" w:cs="黑体"/>
          <w:b/>
          <w:color w:val="000000" w:themeColor="text1"/>
          <w:sz w:val="20"/>
          <w:szCs w:val="20"/>
          <w14:textFill>
            <w14:solidFill>
              <w14:schemeClr w14:val="tx1"/>
            </w14:solidFill>
          </w14:textFill>
        </w:rPr>
        <w:t>】日（受运作起始日、提前终止条款等约束，遇非工作日则顺延至下一工作日）。</w:t>
      </w:r>
    </w:p>
    <w:p w14:paraId="4E6C3C55">
      <w:pPr>
        <w:snapToGrid w:val="0"/>
        <w:ind w:firstLine="400" w:firstLineChars="200"/>
        <w:jc w:val="both"/>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304FF498">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41A71BE4">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．在购买本理财产品前，请投资者确保完全明白本理财产品的性质、其中涉及的风险以及投资者的自身情况。投资者若对本产品说明书的内容有任何疑问，请向信银理财或代销机构各营业场所或营业网点咨询。</w:t>
      </w:r>
    </w:p>
    <w:p w14:paraId="078AD8E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6ADFFA06">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3F6DDCA0">
      <w:pPr>
        <w:snapToGrid w:val="0"/>
        <w:ind w:firstLine="400" w:firstLineChars="200"/>
        <w:jc w:val="both"/>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237A30C0">
      <w:pPr>
        <w:snapToGrid w:val="0"/>
        <w:ind w:firstLine="200"/>
        <w:jc w:val="both"/>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2814E5CD">
      <w:pPr>
        <w:snapToGrid w:val="0"/>
        <w:ind w:firstLine="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1F489A0C">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6597D2AA">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78E1EA7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投资者不得赎回，可能导致投资者在需要资金时无法随时变现，并可能导致投资者丧失其他投资机会。为应对流动性风险，保护投资者利益，管理人可以综合运用以下理财产品认购风险应对措施，包括：设定单一投资者认购金额上限、设定理财产品单日净认购比例上限、拒绝大额认购、暂停认购，以及国务院银行业监督管理机构规定的其他措施。</w:t>
      </w:r>
    </w:p>
    <w:p w14:paraId="3337061D">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3099ABE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2148B55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084176E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4D8AC8D2">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47BF6DDA">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理财产品不成立风险：如发生理财产品不成立条款约定之情形，信银理财有权通知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2464336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金融市场危机、投资市场停止交易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25A825C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C159584">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未及时将投资者认购</w:t>
      </w:r>
      <w:r>
        <w:rPr>
          <w:rFonts w:ascii="黑体" w:hAnsi="黑体" w:eastAsia="黑体"/>
          <w:b/>
          <w:color w:val="000000" w:themeColor="text1"/>
          <w:sz w:val="20"/>
          <w:szCs w:val="20"/>
          <w14:textFill>
            <w14:solidFill>
              <w14:schemeClr w14:val="tx1"/>
            </w14:solidFill>
          </w14:textFill>
        </w:rPr>
        <w:t>资金划转至信银理财，将导致投资者无法完成认购，因此造成的损失信银理财不承担责任；在</w:t>
      </w:r>
      <w:r>
        <w:rPr>
          <w:rFonts w:hint="eastAsia" w:ascii="黑体" w:hAnsi="黑体" w:eastAsia="黑体"/>
          <w:b/>
          <w:color w:val="000000" w:themeColor="text1"/>
          <w:sz w:val="20"/>
          <w:szCs w:val="20"/>
          <w14:textFill>
            <w14:solidFill>
              <w14:schemeClr w14:val="tx1"/>
            </w14:solidFill>
          </w14:textFill>
        </w:rPr>
        <w:t>赎回和</w:t>
      </w:r>
      <w:r>
        <w:rPr>
          <w:rFonts w:ascii="黑体" w:hAnsi="黑体" w:eastAsia="黑体"/>
          <w:b/>
          <w:color w:val="000000" w:themeColor="text1"/>
          <w:sz w:val="20"/>
          <w:szCs w:val="20"/>
          <w14:textFill>
            <w14:solidFill>
              <w14:schemeClr w14:val="tx1"/>
            </w14:solidFill>
          </w14:textFill>
        </w:rPr>
        <w:t>到期时，信银理财将投资者应得资金划转至合作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w:t>
      </w:r>
      <w:r>
        <w:rPr>
          <w:rFonts w:ascii="黑体" w:hAnsi="黑体" w:eastAsia="黑体"/>
          <w:b/>
          <w:color w:val="000000" w:themeColor="text1"/>
          <w:sz w:val="20"/>
          <w:szCs w:val="20"/>
          <w14:textFill>
            <w14:solidFill>
              <w14:schemeClr w14:val="tx1"/>
            </w14:solidFill>
          </w14:textFill>
        </w:rPr>
        <w:t>信银理财不承担任何责任。</w:t>
      </w:r>
    </w:p>
    <w:p w14:paraId="671F9040">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4D076D7D">
      <w:pPr>
        <w:spacing w:line="300" w:lineRule="atLeast"/>
        <w:ind w:firstLine="428" w:firstLineChars="213"/>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B82EAB3">
      <w:pPr>
        <w:spacing w:line="300" w:lineRule="atLeast"/>
        <w:ind w:right="36"/>
        <w:rPr>
          <w:rFonts w:ascii="黑体" w:hAnsi="黑体" w:eastAsia="黑体"/>
          <w:color w:val="000000" w:themeColor="text1"/>
          <w:sz w:val="20"/>
          <w:szCs w:val="20"/>
          <w14:textFill>
            <w14:solidFill>
              <w14:schemeClr w14:val="tx1"/>
            </w14:solidFill>
          </w14:textFill>
        </w:rPr>
      </w:pPr>
    </w:p>
    <w:p w14:paraId="2703AC33">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6340DB2B">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775BA01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．信银理财有限责任公司（简称“信银理财”）：为中信银行股份有限公司经国务院银行业监督管理机构批准设立的主要从事理财业务的金融机构。</w:t>
      </w:r>
    </w:p>
    <w:p w14:paraId="2461EFE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．理财业务：指信银理财接受投资者委托，按照与投资者约定的投资策略、风险承担和收益分配方式，对受托的投资者财产进行投资和管理的金融服务。</w:t>
      </w:r>
    </w:p>
    <w:p w14:paraId="3202A68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．理财产品</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：是指信银理财按照约定条件和实际投资收益情况向投资者支付收益、不保证本金支付和收益水平的非保本理财产品。根据募集方式、运作方式、投资性质的不同，理财产品分为多种类型。</w:t>
      </w:r>
    </w:p>
    <w:p w14:paraId="78888AB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．投资者</w:t>
      </w:r>
      <w:r>
        <w:rPr>
          <w:rFonts w:ascii="黑体" w:hAnsi="黑体" w:eastAsia="黑体"/>
          <w:color w:val="000000" w:themeColor="text1"/>
          <w:sz w:val="20"/>
          <w:szCs w:val="20"/>
          <w14:textFill>
            <w14:solidFill>
              <w14:schemeClr w14:val="tx1"/>
            </w14:solidFill>
          </w14:textFill>
        </w:rPr>
        <w:t>/客户</w:t>
      </w:r>
      <w:r>
        <w:rPr>
          <w:rFonts w:hint="eastAsia" w:ascii="黑体" w:hAnsi="黑体" w:eastAsia="黑体"/>
          <w:color w:val="000000" w:themeColor="text1"/>
          <w:sz w:val="20"/>
          <w:szCs w:val="20"/>
          <w14:textFill>
            <w14:solidFill>
              <w14:schemeClr w14:val="tx1"/>
            </w14:solidFill>
          </w14:textFill>
        </w:rPr>
        <w:t>：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07E555C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．理财产品资产净值</w:t>
      </w:r>
      <w:r>
        <w:rPr>
          <w:rFonts w:ascii="黑体" w:hAnsi="黑体" w:eastAsia="黑体"/>
          <w:color w:val="000000" w:themeColor="text1"/>
          <w:sz w:val="20"/>
          <w:szCs w:val="20"/>
          <w14:textFill>
            <w14:solidFill>
              <w14:schemeClr w14:val="tx1"/>
            </w14:solidFill>
          </w14:textFill>
        </w:rPr>
        <w:t>/资产净值/净资产：资产净值=产品资产总值-产品负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60FDB19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6</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w:t>
      </w:r>
      <w:r>
        <w:rPr>
          <w:rFonts w:hint="eastAsia" w:ascii="黑体" w:hAnsi="黑体" w:eastAsia="黑体"/>
          <w:color w:val="000000" w:themeColor="text1"/>
          <w:sz w:val="20"/>
          <w:szCs w:val="20"/>
          <w14:textFill>
            <w14:solidFill>
              <w14:schemeClr w14:val="tx1"/>
            </w14:solidFill>
          </w14:textFill>
        </w:rPr>
        <w:t>。</w:t>
      </w:r>
    </w:p>
    <w:p w14:paraId="524833B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7</w:t>
      </w:r>
      <w:r>
        <w:rPr>
          <w:rFonts w:hint="eastAsia" w:ascii="黑体" w:hAnsi="黑体" w:eastAsia="黑体"/>
          <w:color w:val="000000" w:themeColor="text1"/>
          <w:sz w:val="20"/>
          <w:szCs w:val="20"/>
          <w14:textFill>
            <w14:solidFill>
              <w14:schemeClr w14:val="tx1"/>
            </w14:solidFill>
          </w14:textFill>
        </w:rPr>
        <w:t>．理财</w:t>
      </w:r>
      <w:r>
        <w:rPr>
          <w:rFonts w:ascii="黑体" w:hAnsi="黑体" w:eastAsia="黑体"/>
          <w:color w:val="000000" w:themeColor="text1"/>
          <w:sz w:val="20"/>
          <w:szCs w:val="20"/>
          <w14:textFill>
            <w14:solidFill>
              <w14:schemeClr w14:val="tx1"/>
            </w14:solidFill>
          </w14:textFill>
        </w:rPr>
        <w:t>产品本金/投资本金/本金：指投资者为认购理财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，扣除认购费后</w:t>
      </w:r>
      <w:r>
        <w:rPr>
          <w:rFonts w:ascii="黑体" w:hAnsi="黑体" w:eastAsia="黑体"/>
          <w:color w:val="000000" w:themeColor="text1"/>
          <w:sz w:val="20"/>
          <w:szCs w:val="20"/>
          <w14:textFill>
            <w14:solidFill>
              <w14:schemeClr w14:val="tx1"/>
            </w14:solidFill>
          </w14:textFill>
        </w:rPr>
        <w:t>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10F5CDC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8</w:t>
      </w:r>
      <w:r>
        <w:rPr>
          <w:rFonts w:hint="eastAsia" w:ascii="黑体" w:hAnsi="黑体" w:eastAsia="黑体"/>
          <w:color w:val="000000" w:themeColor="text1"/>
          <w:sz w:val="20"/>
          <w:szCs w:val="20"/>
          <w14:textFill>
            <w14:solidFill>
              <w14:schemeClr w14:val="tx1"/>
            </w14:solidFill>
          </w14:textFill>
        </w:rPr>
        <w:t>．理财产品</w:t>
      </w:r>
      <w:r>
        <w:rPr>
          <w:rFonts w:ascii="黑体" w:hAnsi="黑体" w:eastAsia="黑体"/>
          <w:color w:val="000000" w:themeColor="text1"/>
          <w:sz w:val="20"/>
          <w:szCs w:val="20"/>
          <w14:textFill>
            <w14:solidFill>
              <w14:schemeClr w14:val="tx1"/>
            </w14:solidFill>
          </w14:textFill>
        </w:rPr>
        <w:t>收益/投资收益/收益：</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686AFC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w:t>
      </w:r>
      <w:r>
        <w:rPr>
          <w:rFonts w:ascii="黑体" w:hAnsi="黑体" w:eastAsia="黑体"/>
          <w:color w:val="000000" w:themeColor="text1"/>
          <w:sz w:val="20"/>
          <w:szCs w:val="20"/>
          <w14:textFill>
            <w14:solidFill>
              <w14:schemeClr w14:val="tx1"/>
            </w14:solidFill>
          </w14:textFill>
        </w:rPr>
        <w:t>/代销机构：</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129DA3F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64358A5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509F031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198DE88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56893E9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030F04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46839A9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p>
    <w:p w14:paraId="55DD841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6D6C6D6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13</w:t>
      </w:r>
      <w:r>
        <w:rPr>
          <w:rFonts w:hint="eastAsia" w:ascii="黑体" w:hAnsi="黑体" w:eastAsia="黑体"/>
          <w:color w:val="000000" w:themeColor="text1"/>
          <w:sz w:val="20"/>
          <w:szCs w:val="20"/>
          <w14:textFill>
            <w14:solidFill>
              <w14:schemeClr w14:val="tx1"/>
            </w14:solidFill>
          </w14:textFill>
        </w:rPr>
        <w:t>．流动性受限资产：是指由于法律法规、监管、合同或操作障碍等原因无法以合理价格予以变现的资产，包括到期日在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43EB616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14</w:t>
      </w:r>
      <w:r>
        <w:rPr>
          <w:rFonts w:hint="eastAsia" w:ascii="黑体" w:hAnsi="黑体" w:eastAsia="黑体"/>
          <w:color w:val="000000" w:themeColor="text1"/>
          <w:sz w:val="20"/>
          <w:szCs w:val="20"/>
          <w14:textFill>
            <w14:solidFill>
              <w14:schemeClr w14:val="tx1"/>
            </w14:solidFill>
          </w14:textFill>
        </w:rPr>
        <w:t>．信银理财电子渠道：指信银理财官方网站（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3C2A82E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15</w:t>
      </w:r>
      <w:r>
        <w:rPr>
          <w:rFonts w:hint="eastAsia" w:ascii="黑体" w:hAnsi="黑体" w:eastAsia="黑体"/>
          <w:color w:val="000000" w:themeColor="text1"/>
          <w:sz w:val="20"/>
          <w:szCs w:val="20"/>
          <w14:textFill>
            <w14:solidFill>
              <w14:schemeClr w14:val="tx1"/>
            </w14:solidFill>
          </w14:textFill>
        </w:rPr>
        <w:t>．信银理财直销渠道：指信银理财电子渠道及营业场所。</w:t>
      </w:r>
    </w:p>
    <w:p w14:paraId="1CCD472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．销售机构：指信银理财及代销机构。</w:t>
      </w:r>
    </w:p>
    <w:p w14:paraId="2A6EFC9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17</w:t>
      </w:r>
      <w:r>
        <w:rPr>
          <w:rFonts w:hint="eastAsia" w:ascii="黑体" w:hAnsi="黑体" w:eastAsia="黑体"/>
          <w:color w:val="000000" w:themeColor="text1"/>
          <w:sz w:val="20"/>
          <w:szCs w:val="20"/>
          <w14:textFill>
            <w14:solidFill>
              <w14:schemeClr w14:val="tx1"/>
            </w14:solidFill>
          </w14:textFill>
        </w:rPr>
        <w:t>．理财产品合同：指本理财产品的《信银理财理财产品说明书》、《信银理财理财产品风险揭示书》和《信银理财理财产品投资协议书》及其不时有效修订与补充。</w:t>
      </w:r>
    </w:p>
    <w:p w14:paraId="0D981EC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18</w:t>
      </w:r>
      <w:r>
        <w:rPr>
          <w:rFonts w:hint="eastAsia" w:ascii="黑体" w:hAnsi="黑体" w:eastAsia="黑体"/>
          <w:color w:val="000000" w:themeColor="text1"/>
          <w:sz w:val="20"/>
          <w:szCs w:val="20"/>
          <w14:textFill>
            <w14:solidFill>
              <w14:schemeClr w14:val="tx1"/>
            </w14:solidFill>
          </w14:textFill>
        </w:rPr>
        <w:t>．销售文件：指本理财产品的理财产品合同及《信银理财理财产品销售总协议》（含附件：客户权益须知专页）（或合作销售机构向投资者提供的理财产品销售协议文本）等文件及其不时有效修订与补充。</w:t>
      </w:r>
    </w:p>
    <w:p w14:paraId="2A704F9E">
      <w:pPr>
        <w:pStyle w:val="19"/>
        <w:numPr>
          <w:ilvl w:val="255"/>
          <w:numId w:val="0"/>
        </w:numPr>
        <w:spacing w:line="300" w:lineRule="atLeast"/>
        <w:ind w:right="36" w:firstLine="400" w:firstLineChars="200"/>
        <w:rPr>
          <w:rFonts w:ascii="黑体" w:hAnsi="黑体" w:eastAsia="黑体"/>
          <w:color w:val="000000" w:themeColor="text1"/>
          <w:sz w:val="20"/>
          <w:szCs w:val="20"/>
          <w14:textFill>
            <w14:solidFill>
              <w14:schemeClr w14:val="tx1"/>
            </w14:solidFill>
          </w14:textFill>
        </w:rPr>
      </w:pPr>
    </w:p>
    <w:p w14:paraId="379E9C2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理财产品风险评级及与投资者类型对应关系：</w:t>
      </w:r>
    </w:p>
    <w:p w14:paraId="6FC6AB84">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6"/>
        <w:gridCol w:w="2368"/>
        <w:gridCol w:w="3768"/>
      </w:tblGrid>
      <w:tr w14:paraId="1C643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31DC3E5B">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78D16088">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4327" w:type="dxa"/>
            <w:vAlign w:val="center"/>
          </w:tcPr>
          <w:p w14:paraId="3617D956">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341AC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3DE89B1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6FD4AA08">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327" w:type="dxa"/>
            <w:vAlign w:val="center"/>
          </w:tcPr>
          <w:p w14:paraId="71C55146">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3E79E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64251F7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4EC77C6E">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327" w:type="dxa"/>
            <w:vAlign w:val="center"/>
          </w:tcPr>
          <w:p w14:paraId="422547EE">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1C5E4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147900E2">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037C0EB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327" w:type="dxa"/>
            <w:vAlign w:val="center"/>
          </w:tcPr>
          <w:p w14:paraId="2297692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66F9F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5B404B59">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0822C6DA">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327" w:type="dxa"/>
            <w:vAlign w:val="center"/>
          </w:tcPr>
          <w:p w14:paraId="7705290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68F00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1A5CF5AB">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66C0FF42">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327" w:type="dxa"/>
            <w:vAlign w:val="center"/>
          </w:tcPr>
          <w:p w14:paraId="3733D046">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648CA5FA">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046E9AB7">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4FA8C121">
      <w:pPr>
        <w:snapToGrid w:val="0"/>
        <w:ind w:left="433" w:right="53" w:rightChars="22" w:hanging="435"/>
        <w:outlineLvl w:val="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．产品投资策略：</w:t>
      </w:r>
    </w:p>
    <w:p w14:paraId="69236F81">
      <w:pPr>
        <w:spacing w:line="300" w:lineRule="exact"/>
        <w:ind w:left="-2" w:leftChars="-1" w:right="36" w:rightChars="15" w:firstLine="422"/>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通过综合分析经济形势、货币政策、利率走势、行业状况、信用风险等因素，自上而下判断宏观趋势和利率趋势，并自下而上结合内部信用评级制度，分析企业的市场地位、管理水平、发展趋势和财务状况等，作为产品投资的重要依据，以获取长期稳定的收益。</w:t>
      </w:r>
    </w:p>
    <w:p w14:paraId="3110CF8A">
      <w:pPr>
        <w:spacing w:line="300" w:lineRule="exact"/>
        <w:ind w:left="-2" w:right="36" w:rightChars="15"/>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39DAD5D4">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1）债权类资产</w:t>
      </w:r>
    </w:p>
    <w:p w14:paraId="732CE8EF">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货币市场类：现金、存款、大额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06440080">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b.固定收益类：国债、地方政府债券、中央银行票据、政府机构债券、金融债券、公司信用类债券、在银行间市场和证券交易所市场发行的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3AE61537">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）权益类资产：</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hint="eastAsia" w:ascii="Times New Roman" w:hAnsi="Times New Roman" w:eastAsia="楷体_GB2312"/>
          <w:color w:val="000000" w:themeColor="text1"/>
          <w:sz w:val="20"/>
          <w:szCs w:val="20"/>
          <w14:textFill>
            <w14:solidFill>
              <w14:schemeClr w14:val="tx1"/>
            </w14:solidFill>
          </w14:textFill>
        </w:rPr>
        <w:t>。</w:t>
      </w:r>
    </w:p>
    <w:p w14:paraId="66FB3718">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及金融衍生品类资产：商品现货，互换、远期、掉期、期货、期权、信用风险缓释工具等衍生工具及其他资产或者资产组合（管理人将通过其他资产管理产品以及其他符合法律法规的投资渠道和方式实现对商品及金融衍生品类资产的投资）。</w:t>
      </w:r>
    </w:p>
    <w:p w14:paraId="3718502A">
      <w:pPr>
        <w:spacing w:line="300" w:lineRule="exact"/>
        <w:ind w:right="36" w:rightChars="15"/>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各投资对象投资比例为：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14:paraId="5031C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472813A">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1C45E457">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6B504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4B2796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11BB9DB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80%-100%</w:t>
            </w:r>
            <w:r>
              <w:rPr>
                <w:rFonts w:hint="eastAsia" w:ascii="楷体" w:hAnsi="楷体" w:eastAsia="楷体"/>
                <w:color w:val="000000" w:themeColor="text1"/>
                <w:sz w:val="20"/>
                <w:szCs w:val="20"/>
                <w14:textFill>
                  <w14:solidFill>
                    <w14:schemeClr w14:val="tx1"/>
                  </w14:solidFill>
                </w14:textFill>
              </w:rPr>
              <w:t>】</w:t>
            </w:r>
          </w:p>
        </w:tc>
      </w:tr>
      <w:tr w14:paraId="65C91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5C0EE3C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2A3E138E">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0%-49%】</w:t>
            </w:r>
          </w:p>
        </w:tc>
      </w:tr>
      <w:tr w14:paraId="57588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BDF498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2BC236E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0%</w:t>
            </w:r>
            <w:r>
              <w:rPr>
                <w:rFonts w:hint="eastAsia" w:ascii="楷体" w:hAnsi="楷体" w:eastAsia="楷体"/>
                <w:color w:val="000000" w:themeColor="text1"/>
                <w:sz w:val="20"/>
                <w:szCs w:val="20"/>
                <w14:textFill>
                  <w14:solidFill>
                    <w14:schemeClr w14:val="tx1"/>
                  </w14:solidFill>
                </w14:textFill>
              </w:rPr>
              <w:t>】</w:t>
            </w:r>
          </w:p>
        </w:tc>
      </w:tr>
      <w:tr w14:paraId="10B361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64A1D15">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684DA304">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0%-20%</w:t>
            </w:r>
            <w:r>
              <w:rPr>
                <w:rFonts w:hint="eastAsia" w:ascii="楷体" w:hAnsi="楷体" w:eastAsia="楷体"/>
                <w:color w:val="000000" w:themeColor="text1"/>
                <w:sz w:val="20"/>
                <w:szCs w:val="20"/>
                <w14:textFill>
                  <w14:solidFill>
                    <w14:schemeClr w14:val="tx1"/>
                  </w14:solidFill>
                </w14:textFill>
              </w:rPr>
              <w:t>】</w:t>
            </w:r>
          </w:p>
        </w:tc>
      </w:tr>
      <w:tr w14:paraId="3D07F5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24A31C47">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014283C4">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0%-20%</w:t>
            </w:r>
            <w:r>
              <w:rPr>
                <w:rFonts w:hint="eastAsia" w:ascii="楷体" w:hAnsi="楷体" w:eastAsia="楷体"/>
                <w:color w:val="000000" w:themeColor="text1"/>
                <w:sz w:val="20"/>
                <w:szCs w:val="20"/>
                <w14:textFill>
                  <w14:solidFill>
                    <w14:schemeClr w14:val="tx1"/>
                  </w14:solidFill>
                </w14:textFill>
              </w:rPr>
              <w:t>】</w:t>
            </w:r>
          </w:p>
        </w:tc>
      </w:tr>
    </w:tbl>
    <w:p w14:paraId="3AA3CB00">
      <w:pPr>
        <w:spacing w:line="300" w:lineRule="exact"/>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575D7C96">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持有人按公允价格转让本产品所投资的全部或部分投资标的。</w:t>
      </w:r>
    </w:p>
    <w:p w14:paraId="317CC77B">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w:t>
      </w:r>
      <w:r>
        <w:rPr>
          <w:rFonts w:hint="eastAsia" w:ascii="Times New Roman" w:hAnsi="Times New Roman" w:eastAsia="楷体_GB2312" w:cs="楷体_GB2312"/>
          <w:color w:val="000000" w:themeColor="text1"/>
          <w:sz w:val="20"/>
          <w:szCs w:val="20"/>
          <w14:textFill>
            <w14:solidFill>
              <w14:schemeClr w14:val="tx1"/>
            </w14:solidFill>
          </w14:textFill>
        </w:rPr>
        <w:t>非因管理人主观因素导致突破前述比例限制的，管理人应在流动性受限资产可出售、可转让或者恢复交易的</w:t>
      </w:r>
      <w:r>
        <w:rPr>
          <w:rFonts w:ascii="Times New Roman" w:hAnsi="Times New Roman" w:eastAsia="楷体_GB2312" w:cs="楷体_GB2312"/>
          <w:color w:val="000000" w:themeColor="text1"/>
          <w:sz w:val="20"/>
          <w:szCs w:val="20"/>
          <w14:textFill>
            <w14:solidFill>
              <w14:schemeClr w14:val="tx1"/>
            </w14:solidFill>
          </w14:textFill>
        </w:rPr>
        <w:t>15</w:t>
      </w:r>
      <w:r>
        <w:rPr>
          <w:rFonts w:hint="eastAsia" w:ascii="Times New Roman" w:hAnsi="Times New Roman" w:eastAsia="楷体_GB2312" w:cs="楷体_GB2312"/>
          <w:color w:val="000000" w:themeColor="text1"/>
          <w:sz w:val="20"/>
          <w:szCs w:val="20"/>
          <w14:textFill>
            <w14:solidFill>
              <w14:schemeClr w14:val="tx1"/>
            </w14:solidFill>
          </w14:textFill>
        </w:rPr>
        <w:t>个交易日内调整至至符合要求，国务院银行业监督管理机构规定的特殊情形除外。</w:t>
      </w:r>
    </w:p>
    <w:p w14:paraId="3A69DF0C">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w:t>
      </w:r>
      <w:r>
        <w:rPr>
          <w:rFonts w:ascii="楷体_GB2312" w:eastAsia="楷体_GB2312" w:cs="楷体_GB2312"/>
          <w:sz w:val="20"/>
          <w:szCs w:val="20"/>
        </w:rPr>
        <w:t>整</w:t>
      </w:r>
      <w:r>
        <w:rPr>
          <w:rFonts w:hint="eastAsia" w:ascii="楷体_GB2312" w:eastAsia="楷体_GB2312" w:cs="楷体_GB2312"/>
          <w:sz w:val="20"/>
          <w:szCs w:val="20"/>
        </w:rPr>
        <w:t>。投资者</w:t>
      </w:r>
      <w:r>
        <w:rPr>
          <w:rFonts w:ascii="楷体_GB2312" w:eastAsia="楷体_GB2312" w:cs="楷体_GB2312"/>
          <w:sz w:val="20"/>
          <w:szCs w:val="20"/>
        </w:rPr>
        <w:t>不接受的，可</w:t>
      </w:r>
      <w:r>
        <w:rPr>
          <w:rFonts w:hint="eastAsia" w:ascii="楷体_GB2312" w:eastAsia="楷体_GB2312" w:cs="楷体_GB2312"/>
          <w:sz w:val="20"/>
          <w:szCs w:val="20"/>
        </w:rPr>
        <w:t>提前</w:t>
      </w:r>
      <w:r>
        <w:rPr>
          <w:rFonts w:ascii="楷体_GB2312" w:eastAsia="楷体_GB2312" w:cs="楷体_GB2312"/>
          <w:sz w:val="20"/>
          <w:szCs w:val="20"/>
        </w:rPr>
        <w:t>赎回理财产品，</w:t>
      </w:r>
      <w:r>
        <w:rPr>
          <w:rFonts w:hint="eastAsia" w:ascii="楷体_GB2312" w:eastAsia="楷体_GB2312" w:cs="楷体_GB2312"/>
          <w:sz w:val="20"/>
          <w:szCs w:val="20"/>
        </w:rPr>
        <w:t>信银理财有权根据情况设立临时的赎回开放日</w:t>
      </w:r>
      <w:r>
        <w:rPr>
          <w:rFonts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7CC26231">
      <w:pPr>
        <w:spacing w:line="300" w:lineRule="exact"/>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投资限制：</w:t>
      </w:r>
    </w:p>
    <w:p w14:paraId="61DCE379">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1</w:t>
      </w:r>
      <w:r>
        <w:rPr>
          <w:rFonts w:hint="eastAsia" w:ascii="Times New Roman" w:hAnsi="Times New Roman" w:eastAsia="楷体_GB2312" w:cs="楷体_GB2312"/>
          <w:color w:val="000000" w:themeColor="text1"/>
          <w:sz w:val="20"/>
          <w:szCs w:val="20"/>
          <w14:textFill>
            <w14:solidFill>
              <w14:schemeClr w14:val="tx1"/>
            </w14:solidFill>
          </w14:textFill>
        </w:rPr>
        <w:t>）本产品总资产不得超过净资产的</w:t>
      </w:r>
      <w:r>
        <w:rPr>
          <w:rFonts w:ascii="Times New Roman" w:hAnsi="Times New Roman" w:eastAsia="楷体_GB2312" w:cs="楷体_GB2312"/>
          <w:color w:val="000000" w:themeColor="text1"/>
          <w:sz w:val="20"/>
          <w:szCs w:val="20"/>
          <w14:textFill>
            <w14:solidFill>
              <w14:schemeClr w14:val="tx1"/>
            </w14:solidFill>
          </w14:textFill>
        </w:rPr>
        <w:t>200%</w:t>
      </w:r>
      <w:r>
        <w:rPr>
          <w:rFonts w:hint="eastAsia" w:ascii="Times New Roman" w:hAnsi="Times New Roman" w:eastAsia="楷体_GB2312" w:cs="楷体_GB2312"/>
          <w:color w:val="000000" w:themeColor="text1"/>
          <w:sz w:val="20"/>
          <w:szCs w:val="20"/>
          <w14:textFill>
            <w14:solidFill>
              <w14:schemeClr w14:val="tx1"/>
            </w14:solidFill>
          </w14:textFill>
        </w:rPr>
        <w:t>；</w:t>
      </w:r>
    </w:p>
    <w:p w14:paraId="5DACB8D0">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2</w:t>
      </w:r>
      <w:r>
        <w:rPr>
          <w:rFonts w:hint="eastAsia" w:ascii="Times New Roman" w:hAnsi="Times New Roman" w:eastAsia="楷体_GB2312" w:cs="楷体_GB2312"/>
          <w:color w:val="000000" w:themeColor="text1"/>
          <w:sz w:val="20"/>
          <w:szCs w:val="20"/>
          <w14:textFill>
            <w14:solidFill>
              <w14:schemeClr w14:val="tx1"/>
            </w14:solidFill>
          </w14:textFill>
        </w:rPr>
        <w:t>）本产品投资单只证券或者单只公募证券投资基金的市值不得超过产品净资产的</w:t>
      </w:r>
      <w:r>
        <w:rPr>
          <w:rFonts w:ascii="Times New Roman" w:hAnsi="Times New Roman" w:eastAsia="楷体_GB2312" w:cs="楷体_GB2312"/>
          <w:color w:val="000000" w:themeColor="text1"/>
          <w:sz w:val="20"/>
          <w:szCs w:val="20"/>
          <w14:textFill>
            <w14:solidFill>
              <w14:schemeClr w14:val="tx1"/>
            </w14:solidFill>
          </w14:textFill>
        </w:rPr>
        <w:t>10%</w:t>
      </w:r>
      <w:r>
        <w:rPr>
          <w:rFonts w:hint="eastAsia" w:ascii="Times New Roman" w:hAnsi="Times New Roman" w:eastAsia="楷体_GB2312" w:cs="楷体_GB2312"/>
          <w:color w:val="000000" w:themeColor="text1"/>
          <w:sz w:val="20"/>
          <w:szCs w:val="20"/>
          <w14:textFill>
            <w14:solidFill>
              <w14:schemeClr w14:val="tx1"/>
            </w14:solidFill>
          </w14:textFill>
        </w:rPr>
        <w:t>，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w:t>
      </w:r>
      <w:r>
        <w:rPr>
          <w:rFonts w:ascii="Times New Roman" w:hAnsi="Times New Roman" w:eastAsia="楷体_GB2312" w:cs="楷体_GB2312"/>
          <w:color w:val="000000" w:themeColor="text1"/>
          <w:sz w:val="20"/>
          <w:szCs w:val="20"/>
          <w14:textFill>
            <w14:solidFill>
              <w14:schemeClr w14:val="tx1"/>
            </w14:solidFill>
          </w14:textFill>
        </w:rPr>
        <w:t>10</w:t>
      </w:r>
      <w:r>
        <w:rPr>
          <w:rFonts w:hint="eastAsia" w:ascii="Times New Roman" w:hAnsi="Times New Roman" w:eastAsia="楷体_GB2312" w:cs="楷体_GB2312"/>
          <w:color w:val="000000" w:themeColor="text1"/>
          <w:sz w:val="20"/>
          <w:szCs w:val="20"/>
          <w14:textFill>
            <w14:solidFill>
              <w14:schemeClr w14:val="tx1"/>
            </w14:solidFill>
          </w14:textFill>
        </w:rPr>
        <w:t>个交易日内调整至符合要求，国务院银行业监督管理机构规定的特殊情形除外。</w:t>
      </w:r>
    </w:p>
    <w:p w14:paraId="0D4319AC">
      <w:pPr>
        <w:spacing w:line="300" w:lineRule="exact"/>
        <w:ind w:firstLine="426" w:firstLineChars="213"/>
        <w:jc w:val="both"/>
        <w:rPr>
          <w:rFonts w:ascii="Times New Roman" w:hAnsi="Times New Roman" w:eastAsia="楷体_GB2312" w:cs="楷体_GB2312"/>
          <w:b/>
          <w:bCs/>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3</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b/>
          <w:bCs/>
          <w:color w:val="000000" w:themeColor="text1"/>
          <w:sz w:val="20"/>
          <w:szCs w:val="20"/>
          <w14:textFill>
            <w14:solidFill>
              <w14:schemeClr w14:val="tx1"/>
            </w14:solidFill>
          </w14:textFill>
        </w:rPr>
        <w:t>本产品可以同时出现下述两种情形（具体以本产品说明书约定和实际运作情况为准）：</w:t>
      </w:r>
    </w:p>
    <w:p w14:paraId="67BF328F">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a</w:t>
      </w:r>
      <w:r>
        <w:rPr>
          <w:rFonts w:hint="eastAsia" w:ascii="Times New Roman" w:hAnsi="Times New Roman" w:eastAsia="楷体_GB2312" w:cs="楷体_GB2312"/>
          <w:color w:val="000000" w:themeColor="text1"/>
          <w:sz w:val="20"/>
          <w:szCs w:val="20"/>
          <w14:textFill>
            <w14:solidFill>
              <w14:schemeClr w14:val="tx1"/>
            </w14:solidFill>
          </w14:textFill>
        </w:rPr>
        <w:t>）计划投资不存在活跃交易市场，并且需要采用估值技术确定公允价值的资产；</w:t>
      </w:r>
    </w:p>
    <w:p w14:paraId="395D4492">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b</w:t>
      </w:r>
      <w:r>
        <w:rPr>
          <w:rFonts w:hint="eastAsia" w:ascii="Times New Roman" w:hAnsi="Times New Roman" w:eastAsia="楷体_GB2312" w:cs="楷体_GB2312"/>
          <w:color w:val="000000" w:themeColor="text1"/>
          <w:sz w:val="20"/>
          <w:szCs w:val="20"/>
          <w14:textFill>
            <w14:solidFill>
              <w14:schemeClr w14:val="tx1"/>
            </w14:solidFill>
          </w14:textFill>
        </w:rPr>
        <w:t>）计划投资上述资产的比例达到产品净资产</w:t>
      </w:r>
      <w:r>
        <w:rPr>
          <w:rFonts w:ascii="Times New Roman" w:hAnsi="Times New Roman" w:eastAsia="楷体_GB2312" w:cs="楷体_GB2312"/>
          <w:color w:val="000000" w:themeColor="text1"/>
          <w:sz w:val="20"/>
          <w:szCs w:val="20"/>
          <w14:textFill>
            <w14:solidFill>
              <w14:schemeClr w14:val="tx1"/>
            </w14:solidFill>
          </w14:textFill>
        </w:rPr>
        <w:t>50%</w:t>
      </w:r>
      <w:r>
        <w:rPr>
          <w:rFonts w:hint="eastAsia" w:ascii="Times New Roman" w:hAnsi="Times New Roman" w:eastAsia="楷体_GB2312" w:cs="楷体_GB2312"/>
          <w:color w:val="000000" w:themeColor="text1"/>
          <w:sz w:val="20"/>
          <w:szCs w:val="20"/>
          <w14:textFill>
            <w14:solidFill>
              <w14:schemeClr w14:val="tx1"/>
            </w14:solidFill>
          </w14:textFill>
        </w:rPr>
        <w:t>以上。</w:t>
      </w:r>
    </w:p>
    <w:p w14:paraId="4F5BADC4">
      <w:pPr>
        <w:spacing w:line="300" w:lineRule="exact"/>
        <w:ind w:left="-2" w:right="36" w:rightChars="15" w:firstLine="400" w:firstLineChars="200"/>
        <w:rPr>
          <w:rFonts w:ascii="楷体_GB2312" w:eastAsia="楷体_GB2312"/>
          <w:color w:val="000000" w:themeColor="text1"/>
          <w:sz w:val="20"/>
          <w:szCs w:val="20"/>
          <w14:textFill>
            <w14:solidFill>
              <w14:schemeClr w14:val="tx1"/>
            </w14:solidFill>
          </w14:textFill>
        </w:rPr>
      </w:pPr>
      <w:bookmarkStart w:id="0" w:name="_Hlk37143861"/>
      <w:r>
        <w:rPr>
          <w:rFonts w:ascii="楷体_GB2312" w:eastAsia="楷体_GB2312"/>
          <w:color w:val="000000" w:themeColor="text1"/>
          <w:sz w:val="20"/>
          <w:szCs w:val="20"/>
          <w14:textFill>
            <w14:solidFill>
              <w14:schemeClr w14:val="tx1"/>
            </w14:solidFill>
          </w14:textFill>
        </w:rPr>
        <w:t>5.</w:t>
      </w:r>
      <w:r>
        <w:t xml:space="preserve"> </w:t>
      </w:r>
      <w:r>
        <w:rPr>
          <w:rFonts w:hint="eastAsia" w:ascii="楷体_GB2312" w:eastAsia="楷体_GB2312"/>
          <w:color w:val="000000" w:themeColor="text1"/>
          <w:sz w:val="20"/>
          <w:szCs w:val="20"/>
          <w14:textFill>
            <w14:solidFill>
              <w14:schemeClr w14:val="tx1"/>
            </w14:solidFill>
          </w14:textFill>
        </w:rPr>
        <w:t>本理财产品的捐赠合作机构为【浙江省慈善联合总会】（网址https://www.zcf.org.cn</w:t>
      </w:r>
      <w:r>
        <w:rPr>
          <w:rFonts w:ascii="楷体_GB2312" w:eastAsia="楷体_GB2312"/>
          <w:color w:val="000000" w:themeColor="text1"/>
          <w:sz w:val="20"/>
          <w:szCs w:val="20"/>
          <w14:textFill>
            <w14:solidFill>
              <w14:schemeClr w14:val="tx1"/>
            </w14:solidFill>
          </w14:textFill>
        </w:rPr>
        <w:t xml:space="preserve"> </w:t>
      </w:r>
      <w:r>
        <w:rPr>
          <w:rFonts w:hint="eastAsia" w:ascii="楷体_GB2312" w:eastAsia="楷体_GB2312"/>
          <w:color w:val="000000" w:themeColor="text1"/>
          <w:sz w:val="20"/>
          <w:szCs w:val="20"/>
          <w14:textFill>
            <w14:solidFill>
              <w14:schemeClr w14:val="tx1"/>
            </w14:solidFill>
          </w14:textFill>
        </w:rPr>
        <w:t>，地方性公募基金会），地址【</w:t>
      </w:r>
      <w:r>
        <w:rPr>
          <w:rFonts w:ascii="楷体_GB2312" w:eastAsia="楷体_GB2312"/>
          <w:color w:val="000000" w:themeColor="text1"/>
          <w:sz w:val="20"/>
          <w:szCs w:val="20"/>
          <w14:textFill>
            <w14:solidFill>
              <w14:schemeClr w14:val="tx1"/>
            </w14:solidFill>
          </w14:textFill>
        </w:rPr>
        <w:t>浙江省杭州市西湖区保</w:t>
      </w:r>
      <w:r>
        <w:rPr>
          <w:rFonts w:ascii="微软雅黑" w:hAnsi="微软雅黑" w:eastAsia="微软雅黑" w:cs="微软雅黑"/>
          <w:color w:val="000000" w:themeColor="text1"/>
          <w:sz w:val="20"/>
          <w:szCs w:val="20"/>
          <w14:textFill>
            <w14:solidFill>
              <w14:schemeClr w14:val="tx1"/>
            </w14:solidFill>
          </w14:textFill>
        </w:rPr>
        <w:t>俶</w:t>
      </w:r>
      <w:r>
        <w:rPr>
          <w:rFonts w:ascii="楷体_GB2312" w:eastAsia="楷体_GB2312"/>
          <w:color w:val="000000" w:themeColor="text1"/>
          <w:sz w:val="20"/>
          <w:szCs w:val="20"/>
          <w14:textFill>
            <w14:solidFill>
              <w14:schemeClr w14:val="tx1"/>
            </w14:solidFill>
          </w14:textFill>
        </w:rPr>
        <w:t>北路</w:t>
      </w:r>
      <w:r>
        <w:rPr>
          <w:rFonts w:hint="eastAsia" w:ascii="楷体_GB2312" w:eastAsia="楷体_GB2312"/>
          <w:color w:val="000000" w:themeColor="text1"/>
          <w:sz w:val="20"/>
          <w:szCs w:val="20"/>
          <w14:textFill>
            <w14:solidFill>
              <w14:schemeClr w14:val="tx1"/>
            </w14:solidFill>
          </w14:textFill>
        </w:rPr>
        <w:t>8</w:t>
      </w:r>
      <w:r>
        <w:rPr>
          <w:rFonts w:ascii="楷体_GB2312" w:eastAsia="楷体_GB2312"/>
          <w:color w:val="000000" w:themeColor="text1"/>
          <w:sz w:val="20"/>
          <w:szCs w:val="20"/>
          <w14:textFill>
            <w14:solidFill>
              <w14:schemeClr w14:val="tx1"/>
            </w14:solidFill>
          </w14:textFill>
        </w:rPr>
        <w:t>3号】，联系电话【0571-28950831】</w:t>
      </w:r>
      <w:r>
        <w:rPr>
          <w:rFonts w:hint="eastAsia" w:ascii="楷体_GB2312" w:eastAsia="楷体_GB2312"/>
          <w:color w:val="000000" w:themeColor="text1"/>
          <w:sz w:val="20"/>
          <w:szCs w:val="20"/>
          <w14:textFill>
            <w14:solidFill>
              <w14:schemeClr w14:val="tx1"/>
            </w14:solidFill>
          </w14:textFill>
        </w:rPr>
        <w:t>。</w:t>
      </w:r>
    </w:p>
    <w:bookmarkEnd w:id="0"/>
    <w:p w14:paraId="6D680078">
      <w:pPr>
        <w:spacing w:line="300" w:lineRule="exact"/>
        <w:ind w:left="-2" w:right="36"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7B6A49EC">
      <w:pPr>
        <w:spacing w:line="300" w:lineRule="exact"/>
        <w:ind w:left="-2" w:right="36"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7</w:t>
      </w:r>
      <w:r>
        <w:rPr>
          <w:rFonts w:hint="eastAsia" w:ascii="楷体_GB2312" w:eastAsia="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686520F9">
      <w:pPr>
        <w:spacing w:line="300" w:lineRule="exact"/>
        <w:ind w:left="-2" w:right="36"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8</w:t>
      </w:r>
      <w:r>
        <w:rPr>
          <w:rFonts w:hint="eastAsia" w:ascii="楷体_GB2312" w:eastAsia="楷体_GB2312"/>
          <w:color w:val="000000" w:themeColor="text1"/>
          <w:sz w:val="20"/>
          <w:szCs w:val="20"/>
          <w14:textFill>
            <w14:solidFill>
              <w14:schemeClr w14:val="tx1"/>
            </w14:solidFill>
          </w14:textFill>
        </w:rPr>
        <w:t>．非标准化</w:t>
      </w:r>
      <w:r>
        <w:rPr>
          <w:rFonts w:ascii="楷体_GB2312" w:eastAsia="楷体_GB2312"/>
          <w:color w:val="000000" w:themeColor="text1"/>
          <w:sz w:val="20"/>
          <w:szCs w:val="20"/>
          <w14:textFill>
            <w14:solidFill>
              <w14:schemeClr w14:val="tx1"/>
            </w14:solidFill>
          </w14:textFill>
        </w:rPr>
        <w:t>债权</w:t>
      </w:r>
      <w:r>
        <w:rPr>
          <w:rFonts w:hint="eastAsia" w:ascii="楷体_GB2312" w:eastAsia="楷体_GB2312"/>
          <w:color w:val="000000" w:themeColor="text1"/>
          <w:sz w:val="20"/>
          <w:szCs w:val="20"/>
          <w14:textFill>
            <w14:solidFill>
              <w14:schemeClr w14:val="tx1"/>
            </w14:solidFill>
          </w14:textFill>
        </w:rPr>
        <w:t>资产信息</w:t>
      </w:r>
      <w:r>
        <w:rPr>
          <w:rFonts w:ascii="楷体_GB2312" w:eastAsia="楷体_GB2312"/>
          <w:color w:val="000000" w:themeColor="text1"/>
          <w:sz w:val="20"/>
          <w:szCs w:val="20"/>
          <w14:textFill>
            <w14:solidFill>
              <w14:schemeClr w14:val="tx1"/>
            </w14:solidFill>
          </w14:textFill>
        </w:rPr>
        <w:t>披露</w:t>
      </w:r>
    </w:p>
    <w:p w14:paraId="2A0DEE21">
      <w:pPr>
        <w:spacing w:line="300" w:lineRule="exact"/>
        <w:ind w:firstLine="400" w:firstLineChars="200"/>
        <w:rPr>
          <w:rFonts w:ascii="楷体" w:hAnsi="楷体" w:eastAsia="楷体" w:cs="黑体"/>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本产品可投资于非标准化债权类资产，信银理财将按照监管规定，向投资者披露产品投资每笔非标准化债权类资产的融资客户、项目名称、剩余融资期限、到期收益分配、交易结构、风险状况等资产信息。</w:t>
      </w:r>
    </w:p>
    <w:p w14:paraId="5D07169C">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3C7E8035">
      <w:pPr>
        <w:spacing w:line="300" w:lineRule="exact"/>
        <w:ind w:right="48" w:rightChars="20"/>
        <w:jc w:val="both"/>
        <w:rPr>
          <w:color w:val="000000" w:themeColor="text1"/>
          <w14:textFill>
            <w14:solidFill>
              <w14:schemeClr w14:val="tx1"/>
            </w14:solidFill>
          </w14:textFill>
        </w:rPr>
      </w:pPr>
    </w:p>
    <w:p w14:paraId="5DD85C99">
      <w:pPr>
        <w:snapToGrid w:val="0"/>
        <w:ind w:left="-2" w:leftChars="-1" w:right="53" w:rightChars="22"/>
        <w:outlineLvl w:val="0"/>
        <w:rPr>
          <w:rFonts w:ascii="楷体" w:hAnsi="楷体" w:eastAsia="楷体"/>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9"/>
        <w:gridCol w:w="6323"/>
      </w:tblGrid>
      <w:tr w14:paraId="0EF41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B3DF33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10" w:type="pct"/>
            <w:vAlign w:val="center"/>
          </w:tcPr>
          <w:p w14:paraId="16C24B91">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信银理财</w:t>
            </w:r>
            <w:r>
              <w:rPr>
                <w:rFonts w:hint="eastAsia" w:ascii="楷体_GB2312" w:eastAsia="楷体_GB2312" w:cs="楷体_GB2312"/>
                <w:color w:val="000000"/>
                <w:sz w:val="20"/>
                <w:szCs w:val="20"/>
                <w:lang w:eastAsia="zh-CN"/>
              </w:rPr>
              <w:t>安盈象固收稳健温暖童行丰收封闭式2号</w:t>
            </w:r>
            <w:r>
              <w:rPr>
                <w:rFonts w:hint="eastAsia" w:ascii="楷体_GB2312" w:eastAsia="楷体_GB2312" w:cs="楷体_GB2312"/>
                <w:color w:val="000000"/>
                <w:sz w:val="20"/>
                <w:szCs w:val="20"/>
              </w:rPr>
              <w:t>理财产品</w:t>
            </w:r>
            <w:r>
              <w:rPr>
                <w:rFonts w:hint="eastAsia" w:ascii="楷体_GB2312" w:eastAsia="楷体_GB2312" w:cs="楷体_GB2312"/>
                <w:color w:val="000000" w:themeColor="text1"/>
                <w:sz w:val="20"/>
                <w:szCs w:val="20"/>
                <w14:textFill>
                  <w14:solidFill>
                    <w14:schemeClr w14:val="tx1"/>
                  </w14:solidFill>
                </w14:textFill>
              </w:rPr>
              <w:t>】</w:t>
            </w:r>
          </w:p>
        </w:tc>
      </w:tr>
      <w:tr w14:paraId="7D074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AD2CB5D">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10" w:type="pct"/>
            <w:vAlign w:val="center"/>
          </w:tcPr>
          <w:p w14:paraId="535C97E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lang w:eastAsia="zh-CN"/>
                <w14:textFill>
                  <w14:solidFill>
                    <w14:schemeClr w14:val="tx1"/>
                  </w14:solidFill>
                </w14:textFill>
              </w:rPr>
              <w:t>Z7002625002511</w:t>
            </w:r>
            <w:r>
              <w:rPr>
                <w:rFonts w:ascii="楷体_GB2312" w:eastAsia="楷体_GB2312"/>
                <w:color w:val="000000" w:themeColor="text1"/>
                <w:sz w:val="20"/>
                <w:szCs w:val="20"/>
                <w14:textFill>
                  <w14:solidFill>
                    <w14:schemeClr w14:val="tx1"/>
                  </w14:solidFill>
                </w14:textFill>
              </w:rPr>
              <w:t>】</w:t>
            </w:r>
          </w:p>
        </w:tc>
      </w:tr>
      <w:tr w14:paraId="5E232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442601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10" w:type="pct"/>
            <w:vAlign w:val="center"/>
          </w:tcPr>
          <w:p w14:paraId="464D7EE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sz w:val="20"/>
                <w:szCs w:val="20"/>
                <w:lang w:eastAsia="zh-CN"/>
              </w:rPr>
              <w:t>AF251852</w:t>
            </w:r>
            <w:r>
              <w:rPr>
                <w:rFonts w:ascii="楷体_GB2312" w:eastAsia="楷体_GB2312" w:cs="楷体_GB2312"/>
                <w:color w:val="000000" w:themeColor="text1"/>
                <w:sz w:val="20"/>
                <w:szCs w:val="20"/>
                <w14:textFill>
                  <w14:solidFill>
                    <w14:schemeClr w14:val="tx1"/>
                  </w14:solidFill>
                </w14:textFill>
              </w:rPr>
              <w:t>】</w:t>
            </w:r>
          </w:p>
        </w:tc>
      </w:tr>
      <w:tr w14:paraId="0DD30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B5C3A05">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10" w:type="pct"/>
            <w:vAlign w:val="center"/>
          </w:tcPr>
          <w:p w14:paraId="259304D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公募</w:t>
            </w:r>
            <w:r>
              <w:rPr>
                <w:rFonts w:ascii="楷体_GB2312" w:eastAsia="楷体_GB2312" w:cs="楷体_GB2312"/>
                <w:color w:val="000000" w:themeColor="text1"/>
                <w:sz w:val="20"/>
                <w:szCs w:val="20"/>
                <w14:textFill>
                  <w14:solidFill>
                    <w14:schemeClr w14:val="tx1"/>
                  </w14:solidFill>
                </w14:textFill>
              </w:rPr>
              <w:t>、【固定收益类】、封闭式</w:t>
            </w:r>
          </w:p>
        </w:tc>
      </w:tr>
      <w:tr w14:paraId="2FD8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A90B6C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10" w:type="pct"/>
            <w:vAlign w:val="center"/>
          </w:tcPr>
          <w:p w14:paraId="6C2A5594">
            <w:pPr>
              <w:spacing w:line="300" w:lineRule="exact"/>
              <w:ind w:left="-2" w:leftChars="-1" w:right="36" w:rightChars="15"/>
              <w:rPr>
                <w:rFonts w:ascii="楷体_GB2312" w:eastAsia="楷体_GB2312" w:cs="楷体_GB2312"/>
                <w:color w:val="000000"/>
                <w:sz w:val="20"/>
                <w:szCs w:val="20"/>
              </w:rPr>
            </w:pPr>
            <w:r>
              <w:rPr>
                <w:rFonts w:ascii="楷体_GB2312" w:eastAsia="楷体_GB2312" w:cs="楷体_GB2312"/>
                <w:sz w:val="20"/>
                <w:szCs w:val="20"/>
              </w:rPr>
              <w:t>PR</w:t>
            </w:r>
            <w:r>
              <w:rPr>
                <w:rFonts w:hint="eastAsia" w:ascii="楷体_GB2312" w:eastAsia="楷体_GB2312" w:cs="楷体_GB2312"/>
                <w:sz w:val="20"/>
                <w:szCs w:val="20"/>
              </w:rPr>
              <w:t>【</w:t>
            </w:r>
            <w:r>
              <w:rPr>
                <w:rFonts w:ascii="楷体_GB2312" w:eastAsia="楷体_GB2312" w:cs="楷体_GB2312"/>
                <w:sz w:val="20"/>
                <w:szCs w:val="20"/>
              </w:rPr>
              <w:t>2</w:t>
            </w:r>
            <w:r>
              <w:rPr>
                <w:rFonts w:hint="eastAsia" w:ascii="楷体_GB2312" w:eastAsia="楷体_GB2312" w:cs="楷体_GB2312"/>
                <w:sz w:val="20"/>
                <w:szCs w:val="20"/>
              </w:rPr>
              <w:t>】级（【稳健】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sz w:val="20"/>
                <w:szCs w:val="20"/>
              </w:rPr>
              <w:t>。本风险分级为信银理财自行评定，仅供参考。</w:t>
            </w:r>
          </w:p>
          <w:p w14:paraId="1F9918F8">
            <w:pPr>
              <w:spacing w:line="300" w:lineRule="exact"/>
              <w:ind w:left="-2" w:leftChars="-1" w:right="36" w:rightChars="15"/>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color w:val="000000"/>
                <w:sz w:val="20"/>
                <w:szCs w:val="20"/>
              </w:rPr>
              <w:t>理财</w:t>
            </w:r>
            <w:r>
              <w:rPr>
                <w:rFonts w:ascii="楷体_GB2312" w:eastAsia="楷体_GB2312" w:cs="楷体_GB2312"/>
                <w:color w:val="000000"/>
                <w:sz w:val="20"/>
                <w:szCs w:val="20"/>
              </w:rPr>
              <w:t>产品通过代销机构销售的，代销机构将</w:t>
            </w:r>
            <w:r>
              <w:rPr>
                <w:rFonts w:hint="eastAsia" w:ascii="楷体_GB2312" w:eastAsia="楷体_GB2312" w:cs="楷体_GB2312"/>
                <w:color w:val="000000"/>
                <w:sz w:val="20"/>
                <w:szCs w:val="20"/>
              </w:rPr>
              <w:t>对</w:t>
            </w:r>
            <w:r>
              <w:rPr>
                <w:rFonts w:ascii="楷体_GB2312" w:eastAsia="楷体_GB2312" w:cs="楷体_GB2312"/>
                <w:color w:val="000000"/>
                <w:sz w:val="20"/>
                <w:szCs w:val="20"/>
              </w:rPr>
              <w:t>理财产品进行风险评级</w:t>
            </w:r>
            <w:r>
              <w:rPr>
                <w:rFonts w:hint="eastAsia" w:ascii="楷体_GB2312" w:eastAsia="楷体_GB2312" w:cs="楷体_GB2312"/>
                <w:color w:val="000000"/>
                <w:sz w:val="20"/>
                <w:szCs w:val="20"/>
              </w:rPr>
              <w:t>并</w:t>
            </w:r>
            <w:r>
              <w:rPr>
                <w:rFonts w:ascii="楷体_GB2312" w:eastAsia="楷体_GB2312" w:cs="楷体_GB2312"/>
                <w:color w:val="000000"/>
                <w:sz w:val="20"/>
                <w:szCs w:val="20"/>
              </w:rPr>
              <w:t>对投资者进行风险</w:t>
            </w:r>
            <w:r>
              <w:rPr>
                <w:rFonts w:hint="eastAsia" w:ascii="楷体_GB2312" w:eastAsia="楷体_GB2312" w:cs="楷体_GB2312"/>
                <w:color w:val="000000"/>
                <w:sz w:val="20"/>
                <w:szCs w:val="20"/>
              </w:rPr>
              <w:t>承受</w:t>
            </w:r>
            <w:r>
              <w:rPr>
                <w:rFonts w:ascii="楷体_GB2312" w:eastAsia="楷体_GB2312" w:cs="楷体_GB2312"/>
                <w:color w:val="000000"/>
                <w:sz w:val="20"/>
                <w:szCs w:val="20"/>
              </w:rPr>
              <w:t>能力测评</w:t>
            </w:r>
            <w:r>
              <w:rPr>
                <w:rFonts w:hint="eastAsia" w:ascii="楷体_GB2312" w:eastAsia="楷体_GB2312" w:cs="楷体_GB2312"/>
                <w:color w:val="000000"/>
                <w:sz w:val="20"/>
                <w:szCs w:val="20"/>
              </w:rPr>
              <w:t>，</w:t>
            </w:r>
            <w:r>
              <w:rPr>
                <w:rFonts w:hint="eastAsia" w:ascii="楷体_GB2312" w:eastAsia="楷体_GB2312" w:cs="楷体_GB2312"/>
                <w:b/>
                <w:color w:val="000000"/>
                <w:sz w:val="20"/>
                <w:szCs w:val="20"/>
              </w:rPr>
              <w:t>理财产品评级应当以代销机构最终披露的评级结果为准</w:t>
            </w:r>
            <w:r>
              <w:rPr>
                <w:rFonts w:ascii="楷体_GB2312" w:eastAsia="楷体_GB2312" w:cs="楷体_GB2312"/>
                <w:color w:val="000000"/>
                <w:sz w:val="20"/>
                <w:szCs w:val="20"/>
              </w:rPr>
              <w:t>。</w:t>
            </w:r>
            <w:r>
              <w:rPr>
                <w:rFonts w:hint="eastAsia" w:ascii="楷体_GB2312" w:eastAsia="楷体_GB2312" w:cs="楷体_GB2312"/>
                <w:color w:val="000000"/>
                <w:sz w:val="20"/>
                <w:szCs w:val="20"/>
              </w:rPr>
              <w:t>代销</w:t>
            </w:r>
            <w:r>
              <w:rPr>
                <w:rFonts w:ascii="楷体_GB2312" w:eastAsia="楷体_GB2312" w:cs="楷体_GB2312"/>
                <w:color w:val="000000"/>
                <w:sz w:val="20"/>
                <w:szCs w:val="20"/>
              </w:rPr>
              <w:t>机构对</w:t>
            </w:r>
            <w:r>
              <w:rPr>
                <w:rFonts w:hint="eastAsia" w:ascii="楷体_GB2312" w:eastAsia="楷体_GB2312" w:cs="楷体_GB2312"/>
                <w:color w:val="000000"/>
                <w:sz w:val="20"/>
                <w:szCs w:val="20"/>
              </w:rPr>
              <w:t>产品的</w:t>
            </w:r>
            <w:r>
              <w:rPr>
                <w:rFonts w:ascii="楷体_GB2312" w:eastAsia="楷体_GB2312" w:cs="楷体_GB2312"/>
                <w:color w:val="000000"/>
                <w:sz w:val="20"/>
                <w:szCs w:val="20"/>
              </w:rPr>
              <w:t>风险</w:t>
            </w:r>
            <w:r>
              <w:rPr>
                <w:rFonts w:hint="eastAsia" w:ascii="楷体_GB2312" w:eastAsia="楷体_GB2312" w:cs="楷体_GB2312"/>
                <w:color w:val="000000"/>
                <w:sz w:val="20"/>
                <w:szCs w:val="20"/>
              </w:rPr>
              <w:t>评级</w:t>
            </w:r>
            <w:r>
              <w:rPr>
                <w:rFonts w:ascii="楷体_GB2312" w:eastAsia="楷体_GB2312" w:cs="楷体_GB2312"/>
                <w:color w:val="000000"/>
                <w:sz w:val="20"/>
                <w:szCs w:val="20"/>
              </w:rPr>
              <w:t>结果与信银理财不一致的，将采用对应较高风险</w:t>
            </w:r>
            <w:r>
              <w:rPr>
                <w:rFonts w:hint="eastAsia" w:ascii="楷体_GB2312" w:eastAsia="楷体_GB2312" w:cs="楷体_GB2312"/>
                <w:color w:val="000000"/>
                <w:sz w:val="20"/>
                <w:szCs w:val="20"/>
              </w:rPr>
              <w:t>等级</w:t>
            </w:r>
            <w:r>
              <w:rPr>
                <w:rFonts w:ascii="楷体_GB2312" w:eastAsia="楷体_GB2312" w:cs="楷体_GB2312"/>
                <w:color w:val="000000"/>
                <w:sz w:val="20"/>
                <w:szCs w:val="20"/>
              </w:rPr>
              <w:t>的评级结果。</w:t>
            </w:r>
          </w:p>
        </w:tc>
      </w:tr>
      <w:tr w14:paraId="0045E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BFB432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10" w:type="pct"/>
            <w:vAlign w:val="center"/>
          </w:tcPr>
          <w:p w14:paraId="34995A3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/机构】</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适合</w:t>
            </w:r>
            <w:r>
              <w:rPr>
                <w:rFonts w:hint="eastAsia" w:ascii="楷体_GB2312" w:eastAsia="楷体_GB2312" w:cs="楷体_GB2312"/>
                <w:sz w:val="20"/>
                <w:szCs w:val="20"/>
              </w:rPr>
              <w:t>【</w:t>
            </w:r>
            <w:r>
              <w:rPr>
                <w:rFonts w:hint="eastAsia" w:ascii="楷体_GB2312" w:eastAsia="楷体_GB2312" w:cs="Times New Roman"/>
                <w:sz w:val="20"/>
                <w:szCs w:val="20"/>
              </w:rPr>
              <w:t>稳健型</w:t>
            </w:r>
            <w:r>
              <w:rPr>
                <w:rFonts w:hint="eastAsia" w:ascii="楷体_GB2312" w:eastAsia="楷体_GB2312" w:cs="楷体_GB2312"/>
                <w:sz w:val="20"/>
                <w:szCs w:val="20"/>
              </w:rPr>
              <w:t>】【</w:t>
            </w:r>
            <w:r>
              <w:rPr>
                <w:rFonts w:hint="eastAsia" w:ascii="楷体_GB2312" w:eastAsia="楷体_GB2312" w:cs="Times New Roman"/>
                <w:sz w:val="20"/>
                <w:szCs w:val="20"/>
              </w:rPr>
              <w:t>平衡型</w:t>
            </w:r>
            <w:r>
              <w:rPr>
                <w:rFonts w:hint="eastAsia" w:ascii="楷体_GB2312" w:eastAsia="楷体_GB2312" w:cs="楷体_GB2312"/>
                <w:sz w:val="20"/>
                <w:szCs w:val="20"/>
              </w:rPr>
              <w:t>】</w:t>
            </w:r>
            <w:r>
              <w:rPr>
                <w:rFonts w:hint="eastAsia" w:ascii="楷体_GB2312" w:eastAsia="楷体_GB2312" w:cs="Times New Roman"/>
                <w:sz w:val="20"/>
                <w:szCs w:val="20"/>
              </w:rPr>
              <w:t>【</w:t>
            </w:r>
            <w:r>
              <w:rPr>
                <w:rFonts w:hint="eastAsia" w:ascii="楷体_GB2312" w:eastAsia="楷体_GB2312" w:cs="楷体_GB2312"/>
                <w:sz w:val="20"/>
                <w:szCs w:val="20"/>
              </w:rPr>
              <w:t>进取型</w:t>
            </w:r>
            <w:r>
              <w:rPr>
                <w:rFonts w:hint="eastAsia" w:ascii="楷体_GB2312" w:eastAsia="楷体_GB2312" w:cs="Times New Roman"/>
                <w:sz w:val="20"/>
                <w:szCs w:val="20"/>
              </w:rPr>
              <w:t>】</w:t>
            </w:r>
            <w:r>
              <w:rPr>
                <w:rFonts w:hint="eastAsia" w:ascii="楷体_GB2312" w:eastAsia="楷体_GB2312" w:cs="楷体_GB2312"/>
                <w:sz w:val="20"/>
                <w:szCs w:val="20"/>
              </w:rPr>
              <w:t>【激进型】</w:t>
            </w:r>
            <w:r>
              <w:rPr>
                <w:rFonts w:hint="eastAsia" w:ascii="楷体_GB2312" w:eastAsia="楷体_GB2312" w:cs="楷体_GB2312"/>
                <w:color w:val="000000"/>
                <w:sz w:val="20"/>
                <w:szCs w:val="20"/>
              </w:rPr>
              <w:t>投资者。</w:t>
            </w:r>
            <w:r>
              <w:rPr>
                <w:rFonts w:hint="eastAsia" w:ascii="楷体_GB2312" w:eastAsia="楷体_GB2312" w:cs="楷体_GB2312"/>
                <w:sz w:val="20"/>
                <w:szCs w:val="20"/>
              </w:rPr>
              <w:t>代销机构对产品的发行对象与信银理财不一致的，以代销机构为准。</w:t>
            </w:r>
          </w:p>
        </w:tc>
      </w:tr>
      <w:tr w14:paraId="1BE2A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B5E7D6B">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10" w:type="pct"/>
            <w:vAlign w:val="center"/>
          </w:tcPr>
          <w:p w14:paraId="45C2B996">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2ACC8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E023EF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10" w:type="pct"/>
            <w:vAlign w:val="center"/>
          </w:tcPr>
          <w:p w14:paraId="0D33BDF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销售合同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3E0D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A435B2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10" w:type="pct"/>
            <w:vAlign w:val="center"/>
          </w:tcPr>
          <w:p w14:paraId="4449B9B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】1元。</w:t>
            </w:r>
          </w:p>
        </w:tc>
      </w:tr>
      <w:tr w14:paraId="058A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A183AC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10" w:type="pct"/>
            <w:vAlign w:val="center"/>
          </w:tcPr>
          <w:p w14:paraId="5C72BE00">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lang w:val="en-US" w:eastAsia="zh-CN"/>
              </w:rPr>
              <w:t>B</w:t>
            </w:r>
            <w:r>
              <w:rPr>
                <w:rFonts w:ascii="楷体_GB2312" w:eastAsia="楷体_GB2312" w:cs="楷体_GB2312"/>
                <w:sz w:val="20"/>
                <w:szCs w:val="20"/>
              </w:rPr>
              <w:t>类份额：</w:t>
            </w:r>
            <w:r>
              <w:rPr>
                <w:rFonts w:hint="eastAsia" w:ascii="楷体_GB2312" w:eastAsia="楷体_GB2312" w:cs="楷体_GB2312"/>
                <w:sz w:val="20"/>
                <w:szCs w:val="20"/>
              </w:rPr>
              <w:t>份额</w:t>
            </w:r>
            <w:r>
              <w:rPr>
                <w:rFonts w:ascii="楷体_GB2312" w:eastAsia="楷体_GB2312" w:cs="楷体_GB2312"/>
                <w:sz w:val="20"/>
                <w:szCs w:val="20"/>
              </w:rPr>
              <w:t>代码【</w:t>
            </w:r>
            <w:r>
              <w:rPr>
                <w:rFonts w:hint="eastAsia" w:ascii="楷体_GB2312" w:eastAsia="楷体_GB2312" w:cs="楷体_GB2312"/>
                <w:sz w:val="20"/>
                <w:szCs w:val="20"/>
                <w:lang w:eastAsia="zh-CN"/>
              </w:rPr>
              <w:t>AF251852</w:t>
            </w:r>
            <w:r>
              <w:rPr>
                <w:rFonts w:hint="eastAsia" w:ascii="楷体_GB2312" w:eastAsia="楷体_GB2312" w:cs="楷体_GB2312"/>
                <w:sz w:val="20"/>
                <w:szCs w:val="20"/>
                <w:lang w:val="en-US" w:eastAsia="zh-CN"/>
              </w:rPr>
              <w:t>B</w:t>
            </w:r>
            <w:r>
              <w:rPr>
                <w:rFonts w:ascii="楷体_GB2312" w:eastAsia="楷体_GB2312" w:cs="楷体_GB2312"/>
                <w:sz w:val="20"/>
                <w:szCs w:val="20"/>
              </w:rPr>
              <w:t>】</w:t>
            </w:r>
          </w:p>
          <w:p w14:paraId="3F3EAEF7">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lang w:val="en-US" w:eastAsia="zh-CN"/>
              </w:rPr>
              <w:t>G</w:t>
            </w:r>
            <w:r>
              <w:rPr>
                <w:rFonts w:ascii="楷体_GB2312" w:eastAsia="楷体_GB2312" w:cs="楷体_GB2312"/>
                <w:sz w:val="20"/>
                <w:szCs w:val="20"/>
              </w:rPr>
              <w:t>类份额：</w:t>
            </w:r>
            <w:r>
              <w:rPr>
                <w:rFonts w:hint="eastAsia" w:ascii="楷体_GB2312" w:eastAsia="楷体_GB2312" w:cs="楷体_GB2312"/>
                <w:sz w:val="20"/>
                <w:szCs w:val="20"/>
              </w:rPr>
              <w:t>份额</w:t>
            </w:r>
            <w:r>
              <w:rPr>
                <w:rFonts w:ascii="楷体_GB2312" w:eastAsia="楷体_GB2312" w:cs="楷体_GB2312"/>
                <w:sz w:val="20"/>
                <w:szCs w:val="20"/>
              </w:rPr>
              <w:t>代码【</w:t>
            </w:r>
            <w:r>
              <w:rPr>
                <w:rFonts w:hint="eastAsia" w:ascii="楷体_GB2312" w:eastAsia="楷体_GB2312" w:cs="楷体_GB2312"/>
                <w:sz w:val="20"/>
                <w:szCs w:val="20"/>
                <w:lang w:eastAsia="zh-CN"/>
              </w:rPr>
              <w:t>AF251852</w:t>
            </w:r>
            <w:r>
              <w:rPr>
                <w:rFonts w:hint="eastAsia" w:ascii="楷体_GB2312" w:eastAsia="楷体_GB2312" w:cs="楷体_GB2312"/>
                <w:sz w:val="20"/>
                <w:szCs w:val="20"/>
                <w:lang w:val="en-US" w:eastAsia="zh-CN"/>
              </w:rPr>
              <w:t>G</w:t>
            </w:r>
            <w:r>
              <w:rPr>
                <w:rFonts w:ascii="楷体_GB2312" w:eastAsia="楷体_GB2312" w:cs="楷体_GB2312"/>
                <w:sz w:val="20"/>
                <w:szCs w:val="20"/>
              </w:rPr>
              <w:t>】</w:t>
            </w:r>
          </w:p>
          <w:p w14:paraId="500E0C12">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lang w:val="en-US" w:eastAsia="zh-CN"/>
              </w:rPr>
              <w:t>M</w:t>
            </w:r>
            <w:r>
              <w:rPr>
                <w:rFonts w:ascii="楷体_GB2312" w:eastAsia="楷体_GB2312" w:cs="楷体_GB2312"/>
                <w:sz w:val="20"/>
                <w:szCs w:val="20"/>
              </w:rPr>
              <w:t>类份额：</w:t>
            </w:r>
            <w:r>
              <w:rPr>
                <w:rFonts w:hint="eastAsia" w:ascii="楷体_GB2312" w:eastAsia="楷体_GB2312" w:cs="楷体_GB2312"/>
                <w:sz w:val="20"/>
                <w:szCs w:val="20"/>
              </w:rPr>
              <w:t>份额</w:t>
            </w:r>
            <w:r>
              <w:rPr>
                <w:rFonts w:ascii="楷体_GB2312" w:eastAsia="楷体_GB2312" w:cs="楷体_GB2312"/>
                <w:sz w:val="20"/>
                <w:szCs w:val="20"/>
              </w:rPr>
              <w:t>代码【</w:t>
            </w:r>
            <w:r>
              <w:rPr>
                <w:rFonts w:hint="eastAsia" w:ascii="楷体_GB2312" w:eastAsia="楷体_GB2312" w:cs="楷体_GB2312"/>
                <w:sz w:val="20"/>
                <w:szCs w:val="20"/>
                <w:lang w:eastAsia="zh-CN"/>
              </w:rPr>
              <w:t>AF251852</w:t>
            </w:r>
            <w:r>
              <w:rPr>
                <w:rFonts w:hint="eastAsia" w:ascii="楷体_GB2312" w:eastAsia="楷体_GB2312" w:cs="楷体_GB2312"/>
                <w:sz w:val="20"/>
                <w:szCs w:val="20"/>
                <w:lang w:val="en-US" w:eastAsia="zh-CN"/>
              </w:rPr>
              <w:t>M</w:t>
            </w:r>
            <w:r>
              <w:rPr>
                <w:rFonts w:ascii="楷体_GB2312" w:eastAsia="楷体_GB2312" w:cs="楷体_GB2312"/>
                <w:sz w:val="20"/>
                <w:szCs w:val="20"/>
              </w:rPr>
              <w:t>】</w:t>
            </w:r>
          </w:p>
          <w:p w14:paraId="30ACDBCE">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14:paraId="19AEA3E5">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65863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6E5EF1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10" w:type="pct"/>
            <w:vAlign w:val="center"/>
          </w:tcPr>
          <w:p w14:paraId="7D99EEE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2B3F3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3EAE7A2">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10" w:type="pct"/>
            <w:vAlign w:val="center"/>
          </w:tcPr>
          <w:p w14:paraId="2985F338">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202</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17</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至【</w:t>
            </w:r>
            <w:r>
              <w:rPr>
                <w:rFonts w:ascii="楷体_GB2312" w:eastAsia="楷体_GB2312" w:cs="楷体_GB2312"/>
                <w:color w:val="000000" w:themeColor="text1"/>
                <w:sz w:val="20"/>
                <w:szCs w:val="20"/>
                <w14:textFill>
                  <w14:solidFill>
                    <w14:schemeClr w14:val="tx1"/>
                  </w14:solidFill>
                </w14:textFill>
              </w:rPr>
              <w:t>202</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24</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管理人有权提前结束募集期并提前成立产品或者延长募集期。</w:t>
            </w:r>
          </w:p>
          <w:p w14:paraId="3241F165">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投资者在信银理财直销渠道购买产品的，募集期内【可以】撤单。撤单具体规则以信银理财说明或公布的操作方式为准。</w:t>
            </w:r>
          </w:p>
          <w:p w14:paraId="09D425BC">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投资者在代销机构购买理财产品的，募集期内是否可以撤单以及撤单规则，以代销机构说明或公布的操作方式为准。</w:t>
            </w:r>
          </w:p>
          <w:p w14:paraId="24D9CC85">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“可以撤单”则意味着投资者有权撤销其已向信银理财或代销机构提交的认购申请。</w:t>
            </w:r>
          </w:p>
          <w:p w14:paraId="51548566">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11450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3C18DC4">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运作起始日</w:t>
            </w:r>
          </w:p>
        </w:tc>
        <w:tc>
          <w:tcPr>
            <w:tcW w:w="3710" w:type="pct"/>
            <w:vAlign w:val="center"/>
          </w:tcPr>
          <w:p w14:paraId="5AE56494">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202</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25</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Times New Roman" w:hAnsi="Times New Roman" w:eastAsia="楷体_GB2312" w:cs="Times New Roman"/>
                <w:color w:val="000000" w:themeColor="text1"/>
                <w:sz w:val="20"/>
                <w:szCs w:val="20"/>
                <w14:textFill>
                  <w14:solidFill>
                    <w14:schemeClr w14:val="tx1"/>
                  </w14:solidFill>
                </w14:textFill>
              </w:rPr>
              <w:t>（如管理人调整募集期，则运作起始日将相应调整。）</w:t>
            </w:r>
          </w:p>
        </w:tc>
      </w:tr>
      <w:tr w14:paraId="525C9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519B37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10" w:type="pct"/>
            <w:vAlign w:val="center"/>
          </w:tcPr>
          <w:p w14:paraId="2B8D942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202</w:t>
            </w:r>
            <w:r>
              <w:rPr>
                <w:rFonts w:hint="eastAsia" w:ascii="楷体_GB2312" w:eastAsia="楷体_GB2312" w:cs="楷体_GB2312"/>
                <w:color w:val="000000" w:themeColor="text1"/>
                <w:sz w:val="20"/>
                <w:szCs w:val="20"/>
                <w14:textFill>
                  <w14:solidFill>
                    <w14:schemeClr w14:val="tx1"/>
                  </w14:solidFill>
                </w14:textFill>
              </w:rPr>
              <w:t>5】年【</w:t>
            </w:r>
            <w:r>
              <w:rPr>
                <w:rFonts w:hint="eastAsia" w:ascii="楷体_GB2312" w:eastAsia="楷体_GB2312" w:cs="楷体_GB2312"/>
                <w:color w:val="000000" w:themeColor="text1"/>
                <w:sz w:val="20"/>
                <w:szCs w:val="20"/>
                <w:lang w:val="en-US" w:eastAsia="zh-CN"/>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lang w:val="en-US" w:eastAsia="zh-CN"/>
                <w14:textFill>
                  <w14:solidFill>
                    <w14:schemeClr w14:val="tx1"/>
                  </w14:solidFill>
                </w14:textFill>
              </w:rPr>
              <w:t>25</w:t>
            </w:r>
            <w:r>
              <w:rPr>
                <w:rFonts w:hint="eastAsia" w:ascii="楷体_GB2312" w:eastAsia="楷体_GB2312" w:cs="楷体_GB2312"/>
                <w:color w:val="000000" w:themeColor="text1"/>
                <w:sz w:val="20"/>
                <w:szCs w:val="20"/>
                <w14:textFill>
                  <w14:solidFill>
                    <w14:schemeClr w14:val="tx1"/>
                  </w14:solidFill>
                </w14:textFill>
              </w:rPr>
              <w:t>】日至【</w:t>
            </w:r>
            <w:r>
              <w:rPr>
                <w:rFonts w:ascii="楷体_GB2312" w:eastAsia="楷体_GB2312" w:cs="楷体_GB2312"/>
                <w:color w:val="000000" w:themeColor="text1"/>
                <w:sz w:val="20"/>
                <w:szCs w:val="20"/>
                <w14:textFill>
                  <w14:solidFill>
                    <w14:schemeClr w14:val="tx1"/>
                  </w14:solidFill>
                </w14:textFill>
              </w:rPr>
              <w:t>202</w:t>
            </w:r>
            <w:r>
              <w:rPr>
                <w:rFonts w:hint="eastAsia" w:ascii="楷体_GB2312" w:eastAsia="楷体_GB2312" w:cs="楷体_GB2312"/>
                <w:color w:val="000000" w:themeColor="text1"/>
                <w:sz w:val="20"/>
                <w:szCs w:val="20"/>
                <w:lang w:val="en-US" w:eastAsia="zh-CN"/>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lang w:val="en-US" w:eastAsia="zh-CN"/>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lang w:val="en-US" w:eastAsia="zh-CN"/>
                <w14:textFill>
                  <w14:solidFill>
                    <w14:schemeClr w14:val="tx1"/>
                  </w14:solidFill>
                </w14:textFill>
              </w:rPr>
              <w:t>24</w:t>
            </w:r>
            <w:r>
              <w:rPr>
                <w:rFonts w:hint="eastAsia" w:ascii="楷体_GB2312" w:eastAsia="楷体_GB2312" w:cs="楷体_GB2312"/>
                <w:color w:val="000000" w:themeColor="text1"/>
                <w:sz w:val="20"/>
                <w:szCs w:val="20"/>
                <w14:textFill>
                  <w14:solidFill>
                    <w14:schemeClr w14:val="tx1"/>
                  </w14:solidFill>
                </w14:textFill>
              </w:rPr>
              <w:t>】日。</w:t>
            </w:r>
          </w:p>
        </w:tc>
      </w:tr>
      <w:tr w14:paraId="768A3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8E69EA1">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10" w:type="pct"/>
            <w:vAlign w:val="center"/>
          </w:tcPr>
          <w:p w14:paraId="17FFFEDE">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202</w:t>
            </w:r>
            <w:r>
              <w:rPr>
                <w:rFonts w:hint="eastAsia" w:ascii="楷体_GB2312" w:eastAsia="楷体_GB2312" w:cs="楷体_GB2312"/>
                <w:color w:val="000000" w:themeColor="text1"/>
                <w:sz w:val="20"/>
                <w:szCs w:val="20"/>
                <w:lang w:val="en-US" w:eastAsia="zh-CN"/>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20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（受运作</w:t>
            </w:r>
            <w:r>
              <w:rPr>
                <w:rFonts w:ascii="楷体_GB2312" w:eastAsia="楷体_GB2312" w:cs="楷体_GB2312"/>
                <w:color w:val="000000" w:themeColor="text1"/>
                <w:sz w:val="20"/>
                <w:szCs w:val="20"/>
                <w14:textFill>
                  <w14:solidFill>
                    <w14:schemeClr w14:val="tx1"/>
                  </w14:solidFill>
                </w14:textFill>
              </w:rPr>
              <w:t>起始</w:t>
            </w:r>
            <w:r>
              <w:rPr>
                <w:rFonts w:hint="eastAsia" w:ascii="楷体_GB2312" w:eastAsia="楷体_GB2312" w:cs="楷体_GB2312"/>
                <w:color w:val="000000" w:themeColor="text1"/>
                <w:sz w:val="20"/>
                <w:szCs w:val="20"/>
                <w14:textFill>
                  <w14:solidFill>
                    <w14:schemeClr w14:val="tx1"/>
                  </w14:solidFill>
                </w14:textFill>
              </w:rPr>
              <w:t>日、提前终止条款等约束，遇非工作日则顺延至下一工作日）</w:t>
            </w:r>
          </w:p>
        </w:tc>
      </w:tr>
      <w:tr w14:paraId="53FD3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4AF1A4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10" w:type="pct"/>
            <w:vAlign w:val="center"/>
          </w:tcPr>
          <w:p w14:paraId="5E477F9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6B4D3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A3E0523">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10" w:type="pct"/>
            <w:vAlign w:val="center"/>
          </w:tcPr>
          <w:p w14:paraId="738C4913">
            <w:pPr>
              <w:spacing w:line="300" w:lineRule="exact"/>
              <w:ind w:left="-2" w:leftChars="-1" w:right="36" w:rightChars="15"/>
              <w:jc w:val="both"/>
              <w:rPr>
                <w:rFonts w:ascii="楷体_GB2312" w:eastAsia="楷体_GB2312" w:cs="楷体_GB2312"/>
                <w:sz w:val="20"/>
                <w:szCs w:val="20"/>
              </w:rPr>
            </w:pPr>
            <w:r>
              <w:rPr>
                <w:rFonts w:hint="eastAsia" w:ascii="楷体_GB2312" w:eastAsia="楷体_GB2312" w:cs="楷体_GB2312"/>
                <w:sz w:val="20"/>
                <w:szCs w:val="20"/>
                <w:lang w:val="en-US" w:eastAsia="zh-CN"/>
              </w:rPr>
              <w:t>B</w:t>
            </w:r>
            <w:r>
              <w:rPr>
                <w:rFonts w:ascii="楷体_GB2312" w:eastAsia="楷体_GB2312" w:cs="楷体_GB2312"/>
                <w:sz w:val="20"/>
                <w:szCs w:val="20"/>
              </w:rPr>
              <w:t>类份额：【2.</w:t>
            </w:r>
            <w:r>
              <w:rPr>
                <w:rFonts w:hint="eastAsia" w:ascii="楷体_GB2312" w:eastAsia="楷体_GB2312" w:cs="楷体_GB2312"/>
                <w:sz w:val="20"/>
                <w:szCs w:val="20"/>
                <w:lang w:val="en-US" w:eastAsia="zh-CN"/>
              </w:rPr>
              <w:t>40</w:t>
            </w:r>
            <w:r>
              <w:rPr>
                <w:rFonts w:ascii="楷体_GB2312" w:eastAsia="楷体_GB2312" w:cs="楷体_GB2312"/>
                <w:sz w:val="20"/>
                <w:szCs w:val="20"/>
              </w:rPr>
              <w:t>%】</w:t>
            </w:r>
          </w:p>
          <w:p w14:paraId="7A8F24E6">
            <w:pPr>
              <w:spacing w:line="300" w:lineRule="exact"/>
              <w:ind w:right="36" w:rightChars="15"/>
              <w:jc w:val="both"/>
              <w:rPr>
                <w:rFonts w:ascii="楷体_GB2312" w:eastAsia="楷体_GB2312" w:cs="楷体_GB2312"/>
                <w:sz w:val="20"/>
                <w:szCs w:val="20"/>
              </w:rPr>
            </w:pPr>
            <w:r>
              <w:rPr>
                <w:rFonts w:hint="eastAsia" w:ascii="楷体_GB2312" w:eastAsia="楷体_GB2312" w:cs="楷体_GB2312"/>
                <w:sz w:val="20"/>
                <w:szCs w:val="20"/>
                <w:lang w:val="en-US" w:eastAsia="zh-CN"/>
              </w:rPr>
              <w:t>G</w:t>
            </w:r>
            <w:r>
              <w:rPr>
                <w:rFonts w:ascii="楷体_GB2312" w:eastAsia="楷体_GB2312" w:cs="楷体_GB2312"/>
                <w:sz w:val="20"/>
                <w:szCs w:val="20"/>
              </w:rPr>
              <w:t>类份额：【2.</w:t>
            </w:r>
            <w:r>
              <w:rPr>
                <w:rFonts w:hint="eastAsia" w:ascii="楷体_GB2312" w:eastAsia="楷体_GB2312" w:cs="楷体_GB2312"/>
                <w:sz w:val="20"/>
                <w:szCs w:val="20"/>
              </w:rPr>
              <w:t>3</w:t>
            </w:r>
            <w:r>
              <w:rPr>
                <w:rFonts w:hint="eastAsia" w:ascii="楷体_GB2312" w:eastAsia="楷体_GB2312" w:cs="楷体_GB2312"/>
                <w:sz w:val="20"/>
                <w:szCs w:val="20"/>
                <w:lang w:val="en-US" w:eastAsia="zh-CN"/>
              </w:rPr>
              <w:t>0</w:t>
            </w:r>
            <w:r>
              <w:rPr>
                <w:rFonts w:ascii="楷体_GB2312" w:eastAsia="楷体_GB2312" w:cs="楷体_GB2312"/>
                <w:sz w:val="20"/>
                <w:szCs w:val="20"/>
              </w:rPr>
              <w:t>%】</w:t>
            </w:r>
          </w:p>
          <w:p w14:paraId="274D5B39">
            <w:pPr>
              <w:spacing w:line="300" w:lineRule="exact"/>
              <w:ind w:right="36" w:rightChars="15"/>
              <w:jc w:val="both"/>
              <w:rPr>
                <w:rFonts w:ascii="楷体_GB2312" w:eastAsia="楷体_GB2312" w:cs="楷体_GB2312"/>
                <w:sz w:val="20"/>
                <w:szCs w:val="20"/>
              </w:rPr>
            </w:pPr>
            <w:r>
              <w:rPr>
                <w:rFonts w:hint="eastAsia" w:ascii="楷体_GB2312" w:eastAsia="楷体_GB2312" w:cs="楷体_GB2312"/>
                <w:sz w:val="20"/>
                <w:szCs w:val="20"/>
                <w:lang w:val="en-US" w:eastAsia="zh-CN"/>
              </w:rPr>
              <w:t>M</w:t>
            </w:r>
            <w:r>
              <w:rPr>
                <w:rFonts w:ascii="楷体_GB2312" w:eastAsia="楷体_GB2312" w:cs="楷体_GB2312"/>
                <w:sz w:val="20"/>
                <w:szCs w:val="20"/>
              </w:rPr>
              <w:t>类份额：【2.</w:t>
            </w:r>
            <w:r>
              <w:rPr>
                <w:rFonts w:hint="eastAsia" w:ascii="楷体_GB2312" w:eastAsia="楷体_GB2312" w:cs="楷体_GB2312"/>
                <w:sz w:val="20"/>
                <w:szCs w:val="20"/>
                <w:lang w:val="en-US" w:eastAsia="zh-CN"/>
              </w:rPr>
              <w:t>50</w:t>
            </w:r>
            <w:r>
              <w:rPr>
                <w:rFonts w:ascii="楷体_GB2312" w:eastAsia="楷体_GB2312" w:cs="楷体_GB2312"/>
                <w:sz w:val="20"/>
                <w:szCs w:val="20"/>
              </w:rPr>
              <w:t>%】</w:t>
            </w:r>
          </w:p>
          <w:p w14:paraId="1F88103C">
            <w:pPr>
              <w:spacing w:line="300" w:lineRule="exact"/>
              <w:ind w:right="36" w:rightChars="15"/>
              <w:jc w:val="both"/>
              <w:rPr>
                <w:rFonts w:ascii="楷体_GB2312" w:eastAsia="楷体_GB2312" w:cs="楷体_GB2312"/>
                <w:sz w:val="20"/>
                <w:szCs w:val="20"/>
              </w:rPr>
            </w:pPr>
          </w:p>
          <w:p w14:paraId="57541235">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业绩</w:t>
            </w:r>
            <w:r>
              <w:rPr>
                <w:rFonts w:ascii="楷体_GB2312" w:eastAsia="楷体_GB2312" w:cs="楷体_GB2312"/>
                <w:sz w:val="20"/>
                <w:szCs w:val="20"/>
              </w:rPr>
              <w:t>比较基准测算依据：</w:t>
            </w:r>
            <w:r>
              <w:rPr>
                <w:rFonts w:hint="eastAsia" w:ascii="楷体_GB2312" w:eastAsia="楷体_GB2312" w:cs="楷体_GB2312"/>
                <w:sz w:val="20"/>
                <w:szCs w:val="20"/>
              </w:rPr>
              <w:t>【本理财产品为固定收益类产品，主要投向债券、非标等债权类资产。根据当前市场利率水平、组合目标久期、可投资债券的静态收益率、债券杠杆操作等因素作为测算依据，扣除相关税费成本之后，综合得出产品的业绩比较基准】</w:t>
            </w:r>
            <w:r>
              <w:rPr>
                <w:rFonts w:ascii="楷体_GB2312" w:eastAsia="楷体_GB2312" w:cs="楷体_GB2312"/>
                <w:sz w:val="20"/>
                <w:szCs w:val="20"/>
              </w:rPr>
              <w:t>。</w:t>
            </w:r>
          </w:p>
          <w:p w14:paraId="5C49BDAA">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039BEC3E">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3F8B0BD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w:t>
            </w:r>
          </w:p>
        </w:tc>
      </w:tr>
      <w:tr w14:paraId="0BC6B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782175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10" w:type="pct"/>
            <w:vAlign w:val="center"/>
          </w:tcPr>
          <w:p w14:paraId="1EC2060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fldChar w:fldCharType="begin"/>
            </w:r>
            <w:r>
              <w:instrText xml:space="preserve"> HYPERLINK </w:instrText>
            </w:r>
            <w:r>
              <w:fldChar w:fldCharType="end"/>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代销机构购买理财产品的，还应按照代销机构对于交易时间以及交易申请的相关规定执行，但认购交易时间必须在【8：30-17:00</w:t>
            </w:r>
            <w:r>
              <w:rPr>
                <w:rFonts w:hint="eastAsia" w:ascii="楷体_GB2312" w:eastAsia="楷体_GB2312" w:cs="楷体_GB2312"/>
                <w:color w:val="000000" w:themeColor="text1"/>
                <w:sz w:val="20"/>
                <w:szCs w:val="20"/>
                <w14:textFill>
                  <w14:solidFill>
                    <w14:schemeClr w14:val="tx1"/>
                  </w14:solidFill>
                </w14:textFill>
              </w:rPr>
              <w:t>】内</w:t>
            </w:r>
            <w:r>
              <w:rPr>
                <w:rFonts w:ascii="楷体_GB2312" w:eastAsia="楷体_GB2312" w:cs="楷体_GB2312"/>
                <w:color w:val="000000" w:themeColor="text1"/>
                <w:sz w:val="20"/>
                <w:szCs w:val="20"/>
                <w14:textFill>
                  <w14:solidFill>
                    <w14:schemeClr w14:val="tx1"/>
                  </w14:solidFill>
                </w14:textFill>
              </w:rPr>
              <w:t>。</w:t>
            </w:r>
          </w:p>
        </w:tc>
      </w:tr>
      <w:tr w14:paraId="04B8D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1BF4B0D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10" w:type="pct"/>
            <w:vAlign w:val="center"/>
          </w:tcPr>
          <w:p w14:paraId="783EC814">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本</w:t>
            </w:r>
            <w:r>
              <w:rPr>
                <w:rFonts w:ascii="楷体_GB2312" w:eastAsia="楷体_GB2312" w:cs="楷体_GB2312"/>
                <w:sz w:val="20"/>
                <w:szCs w:val="20"/>
              </w:rPr>
              <w:t>产品的计划募集金额下限为</w:t>
            </w:r>
            <w:r>
              <w:rPr>
                <w:rFonts w:hint="eastAsia" w:ascii="楷体_GB2312" w:eastAsia="楷体_GB2312" w:cs="楷体_GB2312"/>
                <w:sz w:val="20"/>
                <w:szCs w:val="20"/>
              </w:rPr>
              <w:t>【人民币】</w:t>
            </w:r>
            <w:r>
              <w:rPr>
                <w:rFonts w:ascii="楷体_GB2312" w:eastAsia="楷体_GB2312" w:cs="楷体_GB2312"/>
                <w:sz w:val="20"/>
                <w:szCs w:val="20"/>
              </w:rPr>
              <w:t>【</w:t>
            </w:r>
            <w:r>
              <w:rPr>
                <w:rFonts w:hint="eastAsia" w:ascii="楷体_GB2312" w:eastAsia="楷体_GB2312" w:cs="楷体_GB2312"/>
                <w:sz w:val="20"/>
                <w:szCs w:val="20"/>
                <w:lang w:val="en-US" w:eastAsia="zh-CN"/>
              </w:rPr>
              <w:t>1</w:t>
            </w:r>
            <w:r>
              <w:rPr>
                <w:rFonts w:hint="eastAsia" w:ascii="楷体_GB2312" w:eastAsia="楷体_GB2312" w:cs="楷体_GB2312"/>
                <w:sz w:val="20"/>
                <w:szCs w:val="20"/>
              </w:rPr>
              <w:t>】元。</w:t>
            </w:r>
            <w:r>
              <w:rPr>
                <w:rFonts w:ascii="楷体_GB2312" w:eastAsia="楷体_GB2312" w:cs="楷体_GB2312"/>
                <w:sz w:val="20"/>
                <w:szCs w:val="20"/>
              </w:rPr>
              <w:t>信银理财有权根据实际需要对此金额</w:t>
            </w:r>
            <w:r>
              <w:rPr>
                <w:rFonts w:hint="eastAsia" w:ascii="楷体_GB2312" w:eastAsia="楷体_GB2312" w:cs="楷体_GB2312"/>
                <w:sz w:val="20"/>
                <w:szCs w:val="20"/>
              </w:rPr>
              <w:t>下</w:t>
            </w:r>
            <w:r>
              <w:rPr>
                <w:rFonts w:ascii="楷体_GB2312" w:eastAsia="楷体_GB2312" w:cs="楷体_GB2312"/>
                <w:sz w:val="20"/>
                <w:szCs w:val="20"/>
              </w:rPr>
              <w:t>限进行调整。</w:t>
            </w:r>
          </w:p>
          <w:p w14:paraId="0FAB349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如果募集期内未达到计划募集金额下限，信银理财有权决定产品不成立，</w:t>
            </w:r>
            <w:r>
              <w:rPr>
                <w:rFonts w:ascii="楷体_GB2312" w:eastAsia="楷体_GB2312" w:cs="楷体_GB2312"/>
                <w:sz w:val="20"/>
                <w:szCs w:val="20"/>
              </w:rPr>
              <w:t>并在宣告产品不成立后【2】个工作日内返还投资者资金，同时信银理财保留延长本产品募集期的权利。届时信银理财将按照本说明书约定的方式告知投资者。</w:t>
            </w:r>
          </w:p>
        </w:tc>
      </w:tr>
      <w:tr w14:paraId="39AB8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44159F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10" w:type="pct"/>
            <w:vAlign w:val="center"/>
          </w:tcPr>
          <w:p w14:paraId="03F0DC1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p>
        </w:tc>
      </w:tr>
      <w:tr w14:paraId="1E4D9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D1CE2B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认购起点</w:t>
            </w:r>
          </w:p>
        </w:tc>
        <w:tc>
          <w:tcPr>
            <w:tcW w:w="3710" w:type="pct"/>
            <w:vAlign w:val="center"/>
          </w:tcPr>
          <w:p w14:paraId="16C9087C">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lang w:val="en-US" w:eastAsia="zh-CN"/>
              </w:rPr>
              <w:t>B</w:t>
            </w:r>
            <w:r>
              <w:rPr>
                <w:rFonts w:ascii="楷体_GB2312" w:eastAsia="楷体_GB2312" w:cs="楷体_GB2312"/>
                <w:sz w:val="20"/>
                <w:szCs w:val="20"/>
              </w:rPr>
              <w:t>类份额</w:t>
            </w:r>
            <w:r>
              <w:rPr>
                <w:rFonts w:hint="eastAsia" w:ascii="楷体_GB2312" w:eastAsia="楷体_GB2312" w:cs="楷体_GB2312"/>
                <w:sz w:val="20"/>
                <w:szCs w:val="20"/>
              </w:rPr>
              <w:t>初始认购金额不低于【人民币】</w:t>
            </w:r>
            <w:r>
              <w:rPr>
                <w:rFonts w:ascii="楷体_GB2312" w:eastAsia="楷体_GB2312" w:cs="楷体_GB2312"/>
                <w:sz w:val="20"/>
                <w:szCs w:val="20"/>
              </w:rPr>
              <w:t>【1</w:t>
            </w:r>
            <w:r>
              <w:rPr>
                <w:rFonts w:hint="eastAsia" w:ascii="楷体_GB2312" w:eastAsia="楷体_GB2312" w:cs="楷体_GB2312"/>
                <w:sz w:val="20"/>
                <w:szCs w:val="20"/>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sz w:val="20"/>
                <w:szCs w:val="20"/>
              </w:rPr>
              <w:t>】</w:t>
            </w:r>
            <w:r>
              <w:rPr>
                <w:rFonts w:hint="eastAsia" w:ascii="楷体_GB2312" w:eastAsia="楷体_GB2312" w:cs="楷体_GB2312"/>
                <w:sz w:val="20"/>
                <w:szCs w:val="20"/>
              </w:rPr>
              <w:t>元的整数倍增加。追加认购金额不低于【人民币】【</w:t>
            </w:r>
            <w:r>
              <w:rPr>
                <w:rFonts w:ascii="楷体_GB2312" w:eastAsia="楷体_GB2312"/>
                <w:sz w:val="20"/>
                <w:szCs w:val="20"/>
              </w:rPr>
              <w:t>0.01</w:t>
            </w:r>
            <w:r>
              <w:rPr>
                <w:rFonts w:hint="eastAsia" w:ascii="楷体_GB2312" w:eastAsia="楷体_GB2312" w:cs="楷体_GB2312"/>
                <w:sz w:val="20"/>
                <w:szCs w:val="20"/>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sz w:val="20"/>
                <w:szCs w:val="20"/>
              </w:rPr>
              <w:t>】</w:t>
            </w:r>
            <w:r>
              <w:rPr>
                <w:rFonts w:hint="eastAsia" w:ascii="楷体_GB2312" w:eastAsia="楷体_GB2312" w:cs="楷体_GB2312"/>
                <w:sz w:val="20"/>
                <w:szCs w:val="20"/>
              </w:rPr>
              <w:t>元的整数倍增加。</w:t>
            </w:r>
          </w:p>
          <w:p w14:paraId="1E8CEFB0">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lang w:val="en-US" w:eastAsia="zh-CN"/>
              </w:rPr>
              <w:t>G</w:t>
            </w:r>
            <w:r>
              <w:rPr>
                <w:rFonts w:ascii="楷体_GB2312" w:eastAsia="楷体_GB2312" w:cs="楷体_GB2312"/>
                <w:sz w:val="20"/>
                <w:szCs w:val="20"/>
              </w:rPr>
              <w:t>类份额</w:t>
            </w:r>
            <w:r>
              <w:rPr>
                <w:rFonts w:hint="eastAsia" w:ascii="楷体_GB2312" w:eastAsia="楷体_GB2312" w:cs="楷体_GB2312"/>
                <w:sz w:val="20"/>
                <w:szCs w:val="20"/>
              </w:rPr>
              <w:t>初始认购金额不低于【人民币】</w:t>
            </w:r>
            <w:r>
              <w:rPr>
                <w:rFonts w:ascii="楷体_GB2312" w:eastAsia="楷体_GB2312" w:cs="楷体_GB2312"/>
                <w:sz w:val="20"/>
                <w:szCs w:val="20"/>
              </w:rPr>
              <w:t>【1</w:t>
            </w:r>
            <w:r>
              <w:rPr>
                <w:rFonts w:hint="eastAsia" w:ascii="楷体_GB2312" w:eastAsia="楷体_GB2312" w:cs="楷体_GB2312"/>
                <w:sz w:val="20"/>
                <w:szCs w:val="20"/>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sz w:val="20"/>
                <w:szCs w:val="20"/>
              </w:rPr>
              <w:t>】</w:t>
            </w:r>
            <w:r>
              <w:rPr>
                <w:rFonts w:hint="eastAsia" w:ascii="楷体_GB2312" w:eastAsia="楷体_GB2312" w:cs="楷体_GB2312"/>
                <w:sz w:val="20"/>
                <w:szCs w:val="20"/>
              </w:rPr>
              <w:t>元的整数倍增加。追加认购金额不低于【人民币】【</w:t>
            </w:r>
            <w:r>
              <w:rPr>
                <w:rFonts w:ascii="楷体_GB2312" w:eastAsia="楷体_GB2312"/>
                <w:sz w:val="20"/>
                <w:szCs w:val="20"/>
              </w:rPr>
              <w:t>0.01</w:t>
            </w:r>
            <w:r>
              <w:rPr>
                <w:rFonts w:hint="eastAsia" w:ascii="楷体_GB2312" w:eastAsia="楷体_GB2312" w:cs="楷体_GB2312"/>
                <w:sz w:val="20"/>
                <w:szCs w:val="20"/>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sz w:val="20"/>
                <w:szCs w:val="20"/>
              </w:rPr>
              <w:t>】</w:t>
            </w:r>
            <w:r>
              <w:rPr>
                <w:rFonts w:hint="eastAsia" w:ascii="楷体_GB2312" w:eastAsia="楷体_GB2312" w:cs="楷体_GB2312"/>
                <w:sz w:val="20"/>
                <w:szCs w:val="20"/>
              </w:rPr>
              <w:t>元的整数倍增加。</w:t>
            </w:r>
          </w:p>
          <w:p w14:paraId="656E9434">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lang w:val="en-US" w:eastAsia="zh-CN"/>
              </w:rPr>
              <w:t>M</w:t>
            </w:r>
            <w:r>
              <w:rPr>
                <w:rFonts w:ascii="楷体_GB2312" w:eastAsia="楷体_GB2312" w:cs="楷体_GB2312"/>
                <w:sz w:val="20"/>
                <w:szCs w:val="20"/>
              </w:rPr>
              <w:t>类份额</w:t>
            </w:r>
            <w:r>
              <w:rPr>
                <w:rFonts w:hint="eastAsia" w:ascii="楷体_GB2312" w:eastAsia="楷体_GB2312" w:cs="楷体_GB2312"/>
                <w:sz w:val="20"/>
                <w:szCs w:val="20"/>
              </w:rPr>
              <w:t>初始认购金额不低于【人民币】</w:t>
            </w:r>
            <w:r>
              <w:rPr>
                <w:rFonts w:ascii="楷体_GB2312" w:eastAsia="楷体_GB2312" w:cs="楷体_GB2312"/>
                <w:sz w:val="20"/>
                <w:szCs w:val="20"/>
              </w:rPr>
              <w:t>【1</w:t>
            </w:r>
            <w:r>
              <w:rPr>
                <w:rFonts w:hint="eastAsia" w:ascii="楷体_GB2312" w:eastAsia="楷体_GB2312" w:cs="楷体_GB2312"/>
                <w:sz w:val="20"/>
                <w:szCs w:val="20"/>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sz w:val="20"/>
                <w:szCs w:val="20"/>
              </w:rPr>
              <w:t>】</w:t>
            </w:r>
            <w:r>
              <w:rPr>
                <w:rFonts w:hint="eastAsia" w:ascii="楷体_GB2312" w:eastAsia="楷体_GB2312" w:cs="楷体_GB2312"/>
                <w:sz w:val="20"/>
                <w:szCs w:val="20"/>
              </w:rPr>
              <w:t>元的整数倍增加。追加认购金额不低于【人民币】【</w:t>
            </w:r>
            <w:r>
              <w:rPr>
                <w:rFonts w:ascii="楷体_GB2312" w:eastAsia="楷体_GB2312"/>
                <w:sz w:val="20"/>
                <w:szCs w:val="20"/>
              </w:rPr>
              <w:t>0.01</w:t>
            </w:r>
            <w:r>
              <w:rPr>
                <w:rFonts w:hint="eastAsia" w:ascii="楷体_GB2312" w:eastAsia="楷体_GB2312" w:cs="楷体_GB2312"/>
                <w:sz w:val="20"/>
                <w:szCs w:val="20"/>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sz w:val="20"/>
                <w:szCs w:val="20"/>
              </w:rPr>
              <w:t>】</w:t>
            </w:r>
            <w:r>
              <w:rPr>
                <w:rFonts w:hint="eastAsia" w:ascii="楷体_GB2312" w:eastAsia="楷体_GB2312" w:cs="楷体_GB2312"/>
                <w:sz w:val="20"/>
                <w:szCs w:val="20"/>
              </w:rPr>
              <w:t>元的整数倍增加。</w:t>
            </w:r>
          </w:p>
          <w:p w14:paraId="5325DECB">
            <w:pPr>
              <w:spacing w:line="300" w:lineRule="exact"/>
              <w:ind w:left="-2" w:leftChars="-1" w:right="36" w:rightChars="15"/>
              <w:rPr>
                <w:rFonts w:ascii="楷体_GB2312" w:eastAsia="楷体_GB2312" w:cs="楷体_GB2312"/>
                <w:sz w:val="20"/>
                <w:szCs w:val="20"/>
              </w:rPr>
            </w:pPr>
          </w:p>
          <w:p w14:paraId="51FC5E7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代销机构对产品的认</w:t>
            </w:r>
            <w:r>
              <w:rPr>
                <w:rFonts w:ascii="楷体_GB2312" w:eastAsia="楷体_GB2312" w:cs="楷体_GB2312"/>
                <w:sz w:val="20"/>
                <w:szCs w:val="20"/>
              </w:rPr>
              <w:t>购</w:t>
            </w:r>
            <w:r>
              <w:rPr>
                <w:rFonts w:hint="eastAsia" w:ascii="楷体_GB2312" w:eastAsia="楷体_GB2312" w:cs="楷体_GB2312"/>
                <w:sz w:val="20"/>
                <w:szCs w:val="20"/>
              </w:rPr>
              <w:t>起点及追加认</w:t>
            </w:r>
            <w:r>
              <w:rPr>
                <w:rFonts w:ascii="楷体_GB2312" w:eastAsia="楷体_GB2312" w:cs="楷体_GB2312"/>
                <w:sz w:val="20"/>
                <w:szCs w:val="20"/>
              </w:rPr>
              <w:t>购金额</w:t>
            </w:r>
            <w:r>
              <w:rPr>
                <w:rFonts w:hint="eastAsia" w:ascii="楷体_GB2312" w:eastAsia="楷体_GB2312" w:cs="楷体_GB2312"/>
                <w:sz w:val="20"/>
                <w:szCs w:val="20"/>
              </w:rPr>
              <w:t>的要求与信银理财不一致的，以代销机构为准，但不得低于上述对应金额</w:t>
            </w:r>
            <w:r>
              <w:rPr>
                <w:rFonts w:hint="eastAsia" w:ascii="楷体_GB2312"/>
                <w:sz w:val="20"/>
              </w:rPr>
              <w:t>。</w:t>
            </w:r>
          </w:p>
        </w:tc>
      </w:tr>
      <w:tr w14:paraId="747DA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F9D198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10" w:type="pct"/>
            <w:vAlign w:val="center"/>
          </w:tcPr>
          <w:p w14:paraId="7ECBA48B">
            <w:pPr>
              <w:spacing w:line="300" w:lineRule="exact"/>
              <w:ind w:left="-2" w:leftChars="-1" w:right="36" w:rightChars="15"/>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w:t>
            </w:r>
            <w:r>
              <w:rPr>
                <w:rFonts w:ascii="楷体_GB2312" w:eastAsia="楷体_GB2312" w:cs="楷体_GB2312"/>
                <w:color w:val="000000" w:themeColor="text1"/>
                <w:sz w:val="20"/>
                <w:szCs w:val="20"/>
                <w14:textFill>
                  <w14:solidFill>
                    <w14:schemeClr w14:val="tx1"/>
                  </w14:solidFill>
                </w14:textFill>
              </w:rPr>
              <w:t>单一投资者持有份额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sz w:val="20"/>
                <w:szCs w:val="20"/>
              </w:rPr>
              <w:t>b</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31F5D195">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可以</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。但产品不得</w:t>
            </w:r>
            <w:r>
              <w:rPr>
                <w:rFonts w:ascii="楷体_GB2312" w:eastAsia="楷体_GB2312" w:cs="楷体_GB2312"/>
                <w:color w:val="000000" w:themeColor="text1"/>
                <w:sz w:val="20"/>
                <w:szCs w:val="20"/>
                <w14:textFill>
                  <w14:solidFill>
                    <w14:schemeClr w14:val="tx1"/>
                  </w14:solidFill>
                </w14:textFill>
              </w:rPr>
              <w:t xml:space="preserve">向个人投资者公开发售。 </w:t>
            </w:r>
          </w:p>
          <w:p w14:paraId="29219FB6">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p>
        </w:tc>
      </w:tr>
      <w:tr w14:paraId="4F5FD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A99A930">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10" w:type="pct"/>
            <w:vAlign w:val="center"/>
          </w:tcPr>
          <w:p w14:paraId="4BD4FF95">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5803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4B28D20">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10" w:type="pct"/>
            <w:vAlign w:val="center"/>
          </w:tcPr>
          <w:p w14:paraId="28E52E39">
            <w:pPr>
              <w:spacing w:line="300" w:lineRule="exact"/>
              <w:ind w:right="29" w:rightChars="12"/>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单位净值为单位产品份额的净值，该净值为扣除相关税费（相关税费包含固定管理费、</w:t>
            </w:r>
            <w:r>
              <w:rPr>
                <w:rFonts w:ascii="楷体_GB2312" w:eastAsia="楷体_GB2312" w:cs="楷体_GB2312"/>
                <w:color w:val="000000" w:themeColor="text1"/>
                <w:sz w:val="20"/>
                <w:szCs w:val="20"/>
                <w14:textFill>
                  <w14:solidFill>
                    <w14:schemeClr w14:val="tx1"/>
                  </w14:solidFill>
                </w14:textFill>
              </w:rPr>
              <w:t>浮动管理费</w:t>
            </w:r>
            <w:r>
              <w:rPr>
                <w:rFonts w:hint="eastAsia" w:ascii="楷体_GB2312" w:eastAsia="楷体_GB2312" w:cs="楷体_GB2312"/>
                <w:color w:val="000000" w:themeColor="text1"/>
                <w:sz w:val="20"/>
                <w:szCs w:val="20"/>
                <w14:textFill>
                  <w14:solidFill>
                    <w14:schemeClr w14:val="tx1"/>
                  </w14:solidFill>
                </w14:textFill>
              </w:rPr>
              <w:t>、销售服务费、托管费、本理财产品运营过程中产生的增值税及附加税费等）后的净值。单位净值按照【四舍五入】保留至小数点后【</w:t>
            </w:r>
            <w:r>
              <w:rPr>
                <w:rFonts w:ascii="楷体_GB2312" w:eastAsia="楷体_GB2312" w:cs="楷体_GB2312"/>
                <w:color w:val="000000" w:themeColor="text1"/>
                <w:sz w:val="20"/>
                <w:szCs w:val="20"/>
                <w14:textFill>
                  <w14:solidFill>
                    <w14:schemeClr w14:val="tx1"/>
                  </w14:solidFill>
                </w14:textFill>
              </w:rPr>
              <w:t>4】位。</w:t>
            </w:r>
          </w:p>
          <w:p w14:paraId="560063D2">
            <w:pPr>
              <w:spacing w:line="300" w:lineRule="exact"/>
              <w:ind w:right="29" w:rightChars="1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本产品到期后，管理人将在到期日后【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个工作日内披露产品</w:t>
            </w:r>
            <w:r>
              <w:rPr>
                <w:rFonts w:ascii="楷体_GB2312" w:eastAsia="楷体_GB2312" w:cs="楷体_GB2312"/>
                <w:color w:val="000000" w:themeColor="text1"/>
                <w:sz w:val="20"/>
                <w:szCs w:val="20"/>
                <w14:textFill>
                  <w14:solidFill>
                    <w14:schemeClr w14:val="tx1"/>
                  </w14:solidFill>
                </w14:textFill>
              </w:rPr>
              <w:t>份额</w:t>
            </w:r>
            <w:r>
              <w:rPr>
                <w:rFonts w:hint="eastAsia" w:ascii="楷体_GB2312" w:eastAsia="楷体_GB2312" w:cs="楷体_GB2312"/>
                <w:color w:val="000000" w:themeColor="text1"/>
                <w:sz w:val="20"/>
                <w:szCs w:val="20"/>
                <w14:textFill>
                  <w14:solidFill>
                    <w14:schemeClr w14:val="tx1"/>
                  </w14:solidFill>
                </w14:textFill>
              </w:rPr>
              <w:t>最终单位净值。</w:t>
            </w:r>
          </w:p>
        </w:tc>
      </w:tr>
      <w:tr w14:paraId="1676E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9842DD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10" w:type="pct"/>
            <w:vAlign w:val="center"/>
          </w:tcPr>
          <w:p w14:paraId="79FC5C6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通过代销机构销售的，投资者可通过代销机构规定的渠道认购。</w:t>
            </w:r>
          </w:p>
          <w:p w14:paraId="05F69E5A">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C847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10177C5">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10" w:type="pct"/>
            <w:vAlign w:val="center"/>
          </w:tcPr>
          <w:p w14:paraId="2163490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7BF23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1F08797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10" w:type="pct"/>
            <w:vAlign w:val="center"/>
          </w:tcPr>
          <w:p w14:paraId="29F18FCF">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396BC25D">
            <w:pPr>
              <w:snapToGrid w:val="0"/>
              <w:spacing w:line="300" w:lineRule="exact"/>
              <w:ind w:right="53" w:rightChars="22"/>
              <w:outlineLvl w:val="0"/>
              <w:rPr>
                <w:rFonts w:ascii="楷体_GB2312" w:eastAsia="楷体_GB2312" w:cs="楷体_GB2312"/>
                <w:b/>
                <w:color w:val="000000"/>
                <w:sz w:val="20"/>
                <w:szCs w:val="20"/>
              </w:rPr>
            </w:pPr>
            <w:r>
              <w:rPr>
                <w:rFonts w:ascii="楷体_GB2312" w:eastAsia="楷体_GB2312" w:cs="楷体_GB2312"/>
                <w:b/>
                <w:color w:val="000000"/>
                <w:sz w:val="20"/>
                <w:szCs w:val="20"/>
              </w:rPr>
              <w:t>1.认购费：</w:t>
            </w:r>
            <w:r>
              <w:rPr>
                <w:rFonts w:hint="eastAsia" w:ascii="楷体_GB2312" w:eastAsia="楷体_GB2312" w:cs="楷体_GB2312"/>
                <w:b/>
                <w:color w:val="000000"/>
                <w:sz w:val="20"/>
                <w:szCs w:val="20"/>
                <w:lang w:val="en-US" w:eastAsia="zh-CN"/>
              </w:rPr>
              <w:t>B</w:t>
            </w:r>
            <w:r>
              <w:rPr>
                <w:rFonts w:ascii="楷体_GB2312" w:eastAsia="楷体_GB2312"/>
                <w:b/>
                <w:sz w:val="20"/>
                <w:szCs w:val="20"/>
              </w:rPr>
              <w:t>类份额不收取认购费</w:t>
            </w:r>
            <w:r>
              <w:rPr>
                <w:rFonts w:hint="eastAsia" w:ascii="楷体_GB2312" w:eastAsia="楷体_GB2312"/>
                <w:b/>
                <w:sz w:val="20"/>
                <w:szCs w:val="20"/>
                <w:lang w:eastAsia="zh-CN"/>
              </w:rPr>
              <w:t>，</w:t>
            </w:r>
            <w:r>
              <w:rPr>
                <w:rFonts w:hint="eastAsia" w:ascii="楷体_GB2312" w:eastAsia="楷体_GB2312"/>
                <w:b/>
                <w:sz w:val="20"/>
                <w:szCs w:val="20"/>
                <w:lang w:val="en-US" w:eastAsia="zh-CN"/>
              </w:rPr>
              <w:t>G</w:t>
            </w:r>
            <w:r>
              <w:rPr>
                <w:rFonts w:ascii="楷体_GB2312" w:eastAsia="楷体_GB2312"/>
                <w:b/>
                <w:sz w:val="20"/>
                <w:szCs w:val="20"/>
              </w:rPr>
              <w:t>类份额不收取认购费</w:t>
            </w:r>
            <w:r>
              <w:rPr>
                <w:rFonts w:hint="eastAsia" w:ascii="楷体_GB2312" w:eastAsia="楷体_GB2312"/>
                <w:b/>
                <w:sz w:val="20"/>
                <w:szCs w:val="20"/>
                <w:lang w:eastAsia="zh-CN"/>
              </w:rPr>
              <w:t>，</w:t>
            </w:r>
            <w:r>
              <w:rPr>
                <w:rFonts w:hint="eastAsia" w:ascii="楷体_GB2312" w:eastAsia="楷体_GB2312"/>
                <w:b/>
                <w:sz w:val="20"/>
                <w:szCs w:val="20"/>
                <w:lang w:val="en-US" w:eastAsia="zh-CN"/>
              </w:rPr>
              <w:t>M</w:t>
            </w:r>
            <w:r>
              <w:rPr>
                <w:rFonts w:ascii="楷体_GB2312" w:eastAsia="楷体_GB2312"/>
                <w:b/>
                <w:sz w:val="20"/>
                <w:szCs w:val="20"/>
              </w:rPr>
              <w:t>类份额不收取认购费</w:t>
            </w:r>
            <w:r>
              <w:rPr>
                <w:rFonts w:ascii="楷体_GB2312" w:eastAsia="楷体_GB2312" w:cs="楷体_GB2312"/>
                <w:b/>
                <w:color w:val="000000"/>
                <w:sz w:val="20"/>
                <w:szCs w:val="20"/>
              </w:rPr>
              <w:t>。</w:t>
            </w:r>
          </w:p>
          <w:p w14:paraId="0AEFCD03">
            <w:pPr>
              <w:snapToGrid w:val="0"/>
              <w:spacing w:line="300" w:lineRule="exact"/>
              <w:ind w:left="-2" w:leftChars="-1" w:right="53" w:rightChars="22"/>
              <w:outlineLvl w:val="0"/>
              <w:rPr>
                <w:rFonts w:ascii="楷体_GB2312" w:eastAsia="楷体_GB2312" w:cs="楷体_GB2312"/>
                <w:b/>
                <w:color w:val="000000"/>
                <w:sz w:val="20"/>
                <w:szCs w:val="20"/>
              </w:rPr>
            </w:pPr>
            <w:r>
              <w:rPr>
                <w:rFonts w:ascii="楷体_GB2312" w:eastAsia="楷体_GB2312" w:cs="楷体_GB2312"/>
                <w:b/>
                <w:color w:val="000000"/>
                <w:sz w:val="20"/>
                <w:szCs w:val="20"/>
              </w:rPr>
              <w:t>2.销售服务费：</w:t>
            </w:r>
            <w:r>
              <w:rPr>
                <w:rFonts w:hint="eastAsia" w:ascii="楷体_GB2312" w:eastAsia="楷体_GB2312" w:cs="楷体_GB2312"/>
                <w:b/>
                <w:color w:val="000000"/>
                <w:sz w:val="20"/>
                <w:szCs w:val="20"/>
                <w:lang w:val="en-US" w:eastAsia="zh-CN"/>
              </w:rPr>
              <w:t>B</w:t>
            </w:r>
            <w:r>
              <w:rPr>
                <w:rFonts w:ascii="楷体_GB2312" w:eastAsia="楷体_GB2312" w:cs="楷体_GB2312"/>
                <w:b/>
                <w:sz w:val="20"/>
                <w:szCs w:val="20"/>
              </w:rPr>
              <w:t>类份额费率【0.</w:t>
            </w:r>
            <w:r>
              <w:rPr>
                <w:rFonts w:hint="eastAsia" w:ascii="楷体_GB2312" w:eastAsia="楷体_GB2312" w:cs="楷体_GB2312"/>
                <w:b/>
                <w:sz w:val="20"/>
                <w:szCs w:val="20"/>
                <w:lang w:val="en-US" w:eastAsia="zh-CN"/>
              </w:rPr>
              <w:t>15</w:t>
            </w:r>
            <w:r>
              <w:rPr>
                <w:rFonts w:ascii="楷体_GB2312" w:eastAsia="楷体_GB2312" w:cs="楷体_GB2312"/>
                <w:b/>
                <w:sz w:val="20"/>
                <w:szCs w:val="20"/>
              </w:rPr>
              <w:t>%】/年</w:t>
            </w:r>
            <w:r>
              <w:rPr>
                <w:rFonts w:hint="eastAsia" w:ascii="楷体_GB2312" w:eastAsia="楷体_GB2312" w:cs="楷体_GB2312"/>
                <w:b/>
                <w:sz w:val="20"/>
                <w:szCs w:val="20"/>
                <w:lang w:eastAsia="zh-CN"/>
              </w:rPr>
              <w:t>，</w:t>
            </w:r>
            <w:r>
              <w:rPr>
                <w:rFonts w:hint="eastAsia" w:ascii="楷体_GB2312" w:eastAsia="楷体_GB2312" w:cs="楷体_GB2312"/>
                <w:b/>
                <w:sz w:val="20"/>
                <w:szCs w:val="20"/>
                <w:lang w:val="en-US" w:eastAsia="zh-CN"/>
              </w:rPr>
              <w:t>G</w:t>
            </w:r>
            <w:r>
              <w:rPr>
                <w:rFonts w:ascii="楷体_GB2312" w:eastAsia="楷体_GB2312" w:cs="楷体_GB2312"/>
                <w:b/>
                <w:sz w:val="20"/>
                <w:szCs w:val="20"/>
              </w:rPr>
              <w:t>类份额费率【0.</w:t>
            </w:r>
            <w:r>
              <w:rPr>
                <w:rFonts w:hint="eastAsia" w:ascii="楷体_GB2312" w:eastAsia="楷体_GB2312" w:cs="楷体_GB2312"/>
                <w:b/>
                <w:sz w:val="20"/>
                <w:szCs w:val="20"/>
                <w:lang w:val="en-US" w:eastAsia="zh-CN"/>
              </w:rPr>
              <w:t>25</w:t>
            </w:r>
            <w:r>
              <w:rPr>
                <w:rFonts w:ascii="楷体_GB2312" w:eastAsia="楷体_GB2312" w:cs="楷体_GB2312"/>
                <w:b/>
                <w:sz w:val="20"/>
                <w:szCs w:val="20"/>
              </w:rPr>
              <w:t>%】/年</w:t>
            </w:r>
            <w:r>
              <w:rPr>
                <w:rFonts w:hint="eastAsia" w:ascii="楷体_GB2312" w:eastAsia="楷体_GB2312" w:cs="楷体_GB2312"/>
                <w:b/>
                <w:sz w:val="20"/>
                <w:szCs w:val="20"/>
                <w:lang w:eastAsia="zh-CN"/>
              </w:rPr>
              <w:t>，</w:t>
            </w:r>
            <w:r>
              <w:rPr>
                <w:rFonts w:hint="eastAsia" w:ascii="楷体_GB2312" w:eastAsia="楷体_GB2312" w:cs="楷体_GB2312"/>
                <w:b/>
                <w:sz w:val="20"/>
                <w:szCs w:val="20"/>
                <w:lang w:val="en-US" w:eastAsia="zh-CN"/>
              </w:rPr>
              <w:t>M</w:t>
            </w:r>
            <w:r>
              <w:rPr>
                <w:rFonts w:ascii="楷体_GB2312" w:eastAsia="楷体_GB2312" w:cs="楷体_GB2312"/>
                <w:b/>
                <w:sz w:val="20"/>
                <w:szCs w:val="20"/>
              </w:rPr>
              <w:t>类份额费率【0.</w:t>
            </w:r>
            <w:r>
              <w:rPr>
                <w:rFonts w:hint="eastAsia" w:ascii="楷体_GB2312" w:eastAsia="楷体_GB2312" w:cs="楷体_GB2312"/>
                <w:b/>
                <w:sz w:val="20"/>
                <w:szCs w:val="20"/>
                <w:lang w:val="en-US" w:eastAsia="zh-CN"/>
              </w:rPr>
              <w:t>05</w:t>
            </w:r>
            <w:r>
              <w:rPr>
                <w:rFonts w:ascii="楷体_GB2312" w:eastAsia="楷体_GB2312" w:cs="楷体_GB2312"/>
                <w:b/>
                <w:sz w:val="20"/>
                <w:szCs w:val="20"/>
              </w:rPr>
              <w:t>%】/年</w:t>
            </w:r>
            <w:r>
              <w:rPr>
                <w:rFonts w:hint="eastAsia" w:ascii="楷体_GB2312" w:eastAsia="楷体_GB2312" w:cs="楷体_GB2312"/>
                <w:b/>
                <w:sz w:val="20"/>
                <w:szCs w:val="20"/>
              </w:rPr>
              <w:t>。</w:t>
            </w:r>
          </w:p>
          <w:p w14:paraId="31AA703A">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3.</w:t>
            </w:r>
            <w:r>
              <w:rPr>
                <w:rFonts w:hint="eastAsia" w:ascii="楷体_GB2312" w:eastAsia="楷体_GB2312" w:cs="楷体_GB2312"/>
                <w:b/>
                <w:sz w:val="20"/>
                <w:szCs w:val="20"/>
              </w:rPr>
              <w:t>托管费：费率【</w:t>
            </w:r>
            <w:r>
              <w:rPr>
                <w:rFonts w:ascii="楷体_GB2312" w:eastAsia="楷体_GB2312" w:cs="楷体_GB2312"/>
                <w:b/>
                <w:sz w:val="20"/>
                <w:szCs w:val="20"/>
              </w:rPr>
              <w:t>0.0</w:t>
            </w:r>
            <w:r>
              <w:rPr>
                <w:rFonts w:hint="eastAsia" w:ascii="楷体_GB2312" w:eastAsia="楷体_GB2312" w:cs="楷体_GB2312"/>
                <w:b/>
                <w:sz w:val="20"/>
                <w:szCs w:val="20"/>
                <w:lang w:val="en-US" w:eastAsia="zh-CN"/>
              </w:rPr>
              <w:t>2</w:t>
            </w:r>
            <w:r>
              <w:rPr>
                <w:rFonts w:ascii="楷体_GB2312" w:eastAsia="楷体_GB2312" w:cs="楷体_GB2312"/>
                <w:b/>
                <w:sz w:val="20"/>
                <w:szCs w:val="20"/>
              </w:rPr>
              <w:t>%】/年。</w:t>
            </w:r>
          </w:p>
          <w:p w14:paraId="5BD5D82B">
            <w:pPr>
              <w:snapToGrid w:val="0"/>
              <w:spacing w:line="300" w:lineRule="exact"/>
              <w:ind w:right="96" w:rightChars="40"/>
              <w:outlineLvl w:val="0"/>
              <w:rPr>
                <w:rFonts w:ascii="楷体_GB2312" w:eastAsia="楷体_GB2312" w:cs="楷体_GB2312"/>
                <w:b/>
                <w:sz w:val="20"/>
                <w:szCs w:val="20"/>
              </w:rPr>
            </w:pPr>
            <w:r>
              <w:rPr>
                <w:rFonts w:ascii="楷体_GB2312" w:eastAsia="楷体_GB2312" w:cs="楷体_GB2312"/>
                <w:b/>
                <w:sz w:val="20"/>
                <w:szCs w:val="20"/>
              </w:rPr>
              <w:t>4.</w:t>
            </w:r>
            <w:r>
              <w:rPr>
                <w:rFonts w:hint="eastAsia" w:ascii="楷体_GB2312" w:eastAsia="楷体_GB2312" w:cs="楷体_GB2312"/>
                <w:b/>
                <w:sz w:val="20"/>
                <w:szCs w:val="20"/>
              </w:rPr>
              <w:t>固定管理费：费率【</w:t>
            </w:r>
            <w:r>
              <w:rPr>
                <w:rFonts w:ascii="楷体_GB2312" w:eastAsia="楷体_GB2312" w:cs="楷体_GB2312"/>
                <w:b/>
                <w:sz w:val="20"/>
                <w:szCs w:val="20"/>
              </w:rPr>
              <w:t>0.</w:t>
            </w:r>
            <w:r>
              <w:rPr>
                <w:rFonts w:hint="eastAsia" w:ascii="楷体_GB2312" w:eastAsia="楷体_GB2312" w:cs="楷体_GB2312"/>
                <w:b/>
                <w:sz w:val="20"/>
                <w:szCs w:val="20"/>
                <w:lang w:val="en-US" w:eastAsia="zh-CN"/>
              </w:rPr>
              <w:t>05</w:t>
            </w:r>
            <w:r>
              <w:rPr>
                <w:rFonts w:ascii="楷体_GB2312" w:eastAsia="楷体_GB2312" w:cs="楷体_GB2312"/>
                <w:b/>
                <w:sz w:val="20"/>
                <w:szCs w:val="20"/>
              </w:rPr>
              <w:t>%】/年</w:t>
            </w:r>
            <w:r>
              <w:rPr>
                <w:rFonts w:hint="eastAsia" w:ascii="楷体_GB2312" w:eastAsia="楷体_GB2312" w:cs="楷体_GB2312"/>
                <w:b/>
                <w:sz w:val="20"/>
                <w:szCs w:val="20"/>
              </w:rPr>
              <w:t>。</w:t>
            </w:r>
            <w:r>
              <w:rPr>
                <w:rFonts w:ascii="楷体_GB2312" w:eastAsia="楷体_GB2312" w:cs="楷体_GB2312"/>
                <w:b/>
                <w:sz w:val="20"/>
                <w:szCs w:val="20"/>
              </w:rPr>
              <w:t xml:space="preserve"> </w:t>
            </w:r>
          </w:p>
          <w:p w14:paraId="443CAFFA">
            <w:pPr>
              <w:snapToGrid w:val="0"/>
              <w:spacing w:line="300" w:lineRule="exact"/>
              <w:ind w:right="96" w:rightChars="40"/>
              <w:outlineLvl w:val="0"/>
              <w:rPr>
                <w:rFonts w:ascii="楷体_GB2312" w:eastAsia="楷体_GB2312" w:cs="楷体_GB2312"/>
                <w:b/>
                <w:sz w:val="20"/>
                <w:szCs w:val="20"/>
              </w:rPr>
            </w:pPr>
            <w:r>
              <w:rPr>
                <w:rFonts w:ascii="楷体_GB2312" w:eastAsia="楷体_GB2312" w:cs="楷体_GB2312"/>
                <w:b/>
                <w:sz w:val="20"/>
                <w:szCs w:val="20"/>
              </w:rPr>
              <w:t>5.</w:t>
            </w:r>
            <w:r>
              <w:rPr>
                <w:rFonts w:hint="eastAsia" w:ascii="楷体_GB2312" w:eastAsia="楷体_GB2312" w:cs="楷体_GB2312"/>
                <w:b/>
                <w:sz w:val="20"/>
                <w:szCs w:val="20"/>
              </w:rPr>
              <w:t>浮动管理费：</w:t>
            </w:r>
          </w:p>
          <w:p w14:paraId="2E39FB67">
            <w:pPr>
              <w:snapToGrid w:val="0"/>
              <w:spacing w:line="300" w:lineRule="exact"/>
              <w:ind w:right="96" w:rightChars="40"/>
              <w:outlineLvl w:val="0"/>
              <w:rPr>
                <w:rFonts w:ascii="楷体_GB2312" w:eastAsia="楷体_GB2312"/>
                <w:b/>
                <w:sz w:val="20"/>
                <w:szCs w:val="20"/>
              </w:rPr>
            </w:pPr>
            <w:r>
              <w:rPr>
                <w:rFonts w:hint="eastAsia" w:ascii="楷体_GB2312" w:eastAsia="楷体_GB2312"/>
                <w:b/>
                <w:sz w:val="20"/>
                <w:szCs w:val="20"/>
                <w:lang w:val="en-US" w:eastAsia="zh-CN"/>
              </w:rPr>
              <w:t>B</w:t>
            </w:r>
            <w:r>
              <w:rPr>
                <w:rFonts w:ascii="楷体_GB2312" w:eastAsia="楷体_GB2312"/>
                <w:b/>
                <w:sz w:val="20"/>
                <w:szCs w:val="20"/>
              </w:rPr>
              <w:t>类份额</w:t>
            </w:r>
            <w:r>
              <w:rPr>
                <w:rFonts w:hint="eastAsia" w:ascii="楷体_GB2312" w:eastAsia="楷体_GB2312"/>
                <w:b/>
                <w:sz w:val="20"/>
                <w:szCs w:val="20"/>
              </w:rPr>
              <w:t>不收取</w:t>
            </w:r>
            <w:r>
              <w:rPr>
                <w:rFonts w:ascii="楷体_GB2312" w:eastAsia="楷体_GB2312"/>
                <w:b/>
                <w:sz w:val="20"/>
                <w:szCs w:val="20"/>
              </w:rPr>
              <w:t>浮动管理费。</w:t>
            </w:r>
            <w:r>
              <w:rPr>
                <w:rFonts w:hint="eastAsia" w:ascii="楷体_GB2312" w:eastAsia="楷体_GB2312"/>
                <w:b/>
                <w:sz w:val="20"/>
                <w:szCs w:val="20"/>
              </w:rPr>
              <w:t>在本产品到期日或提前终止日时，如产品计提浮动管理费前年化收益率超过</w:t>
            </w:r>
            <w:r>
              <w:rPr>
                <w:rFonts w:hint="eastAsia" w:ascii="楷体_GB2312" w:eastAsia="楷体_GB2312"/>
                <w:b/>
                <w:sz w:val="20"/>
                <w:szCs w:val="20"/>
                <w:lang w:val="en-US" w:eastAsia="zh-CN"/>
              </w:rPr>
              <w:t>2.40%</w:t>
            </w:r>
            <w:r>
              <w:rPr>
                <w:rFonts w:hint="eastAsia" w:ascii="楷体_GB2312" w:eastAsia="楷体_GB2312"/>
                <w:b/>
                <w:sz w:val="20"/>
                <w:szCs w:val="20"/>
              </w:rPr>
              <w:t>的，投资者同意管理人代投资者按照产品计提浮动管理费前年化收益超过</w:t>
            </w:r>
            <w:r>
              <w:rPr>
                <w:rFonts w:hint="eastAsia" w:ascii="楷体_GB2312" w:eastAsia="楷体_GB2312"/>
                <w:b/>
                <w:sz w:val="20"/>
                <w:szCs w:val="20"/>
                <w:lang w:val="en-US" w:eastAsia="zh-CN"/>
              </w:rPr>
              <w:t>2.40%</w:t>
            </w:r>
            <w:r>
              <w:rPr>
                <w:rFonts w:hint="eastAsia" w:ascii="楷体_GB2312" w:eastAsia="楷体_GB2312"/>
                <w:b/>
                <w:sz w:val="20"/>
                <w:szCs w:val="20"/>
              </w:rPr>
              <w:t>的【</w:t>
            </w:r>
            <w:r>
              <w:rPr>
                <w:rFonts w:hint="eastAsia" w:ascii="楷体_GB2312" w:eastAsia="楷体_GB2312"/>
                <w:b/>
                <w:sz w:val="20"/>
                <w:szCs w:val="20"/>
                <w:lang w:val="en-US" w:eastAsia="zh-CN"/>
              </w:rPr>
              <w:t>50</w:t>
            </w:r>
            <w:r>
              <w:rPr>
                <w:rFonts w:ascii="楷体_GB2312" w:eastAsia="楷体_GB2312"/>
                <w:b/>
                <w:sz w:val="20"/>
                <w:szCs w:val="20"/>
              </w:rPr>
              <w:t>%】进行捐赠。</w:t>
            </w:r>
          </w:p>
          <w:p w14:paraId="4F6B6801">
            <w:pPr>
              <w:snapToGrid w:val="0"/>
              <w:spacing w:line="300" w:lineRule="exact"/>
              <w:ind w:right="96" w:rightChars="40"/>
              <w:outlineLvl w:val="0"/>
              <w:rPr>
                <w:rFonts w:ascii="楷体_GB2312" w:eastAsia="楷体_GB2312"/>
                <w:b/>
                <w:sz w:val="20"/>
                <w:szCs w:val="20"/>
              </w:rPr>
            </w:pPr>
            <w:r>
              <w:rPr>
                <w:rFonts w:hint="eastAsia" w:ascii="楷体_GB2312" w:eastAsia="楷体_GB2312"/>
                <w:b/>
                <w:sz w:val="20"/>
                <w:szCs w:val="20"/>
                <w:lang w:val="en-US" w:eastAsia="zh-CN"/>
              </w:rPr>
              <w:t>G</w:t>
            </w:r>
            <w:r>
              <w:rPr>
                <w:rFonts w:ascii="楷体_GB2312" w:eastAsia="楷体_GB2312"/>
                <w:b/>
                <w:sz w:val="20"/>
                <w:szCs w:val="20"/>
              </w:rPr>
              <w:t>类份额</w:t>
            </w:r>
            <w:r>
              <w:rPr>
                <w:rFonts w:hint="eastAsia" w:ascii="楷体_GB2312" w:eastAsia="楷体_GB2312"/>
                <w:b/>
                <w:sz w:val="20"/>
                <w:szCs w:val="20"/>
              </w:rPr>
              <w:t>不收取</w:t>
            </w:r>
            <w:r>
              <w:rPr>
                <w:rFonts w:ascii="楷体_GB2312" w:eastAsia="楷体_GB2312"/>
                <w:b/>
                <w:sz w:val="20"/>
                <w:szCs w:val="20"/>
              </w:rPr>
              <w:t>浮动管理费。</w:t>
            </w:r>
            <w:r>
              <w:rPr>
                <w:rFonts w:hint="eastAsia" w:ascii="楷体_GB2312" w:eastAsia="楷体_GB2312"/>
                <w:b/>
                <w:sz w:val="20"/>
                <w:szCs w:val="20"/>
              </w:rPr>
              <w:t>在本产品到期日或提前终止日时，如产品计提浮动管理费前年化收益率超过</w:t>
            </w:r>
            <w:r>
              <w:rPr>
                <w:rFonts w:hint="eastAsia" w:ascii="楷体_GB2312" w:eastAsia="楷体_GB2312"/>
                <w:b/>
                <w:sz w:val="20"/>
                <w:szCs w:val="20"/>
                <w:lang w:val="en-US" w:eastAsia="zh-CN"/>
              </w:rPr>
              <w:t>2.30%</w:t>
            </w:r>
            <w:r>
              <w:rPr>
                <w:rFonts w:hint="eastAsia" w:ascii="楷体_GB2312" w:eastAsia="楷体_GB2312"/>
                <w:b/>
                <w:sz w:val="20"/>
                <w:szCs w:val="20"/>
              </w:rPr>
              <w:t>的，投资者同意管理人代投资者按照产品计提浮动管理费前年化收益超过</w:t>
            </w:r>
            <w:r>
              <w:rPr>
                <w:rFonts w:hint="eastAsia" w:ascii="楷体_GB2312" w:eastAsia="楷体_GB2312"/>
                <w:b/>
                <w:sz w:val="20"/>
                <w:szCs w:val="20"/>
                <w:lang w:val="en-US" w:eastAsia="zh-CN"/>
              </w:rPr>
              <w:t>2.30%</w:t>
            </w:r>
            <w:r>
              <w:rPr>
                <w:rFonts w:hint="eastAsia" w:ascii="楷体_GB2312" w:eastAsia="楷体_GB2312"/>
                <w:b/>
                <w:sz w:val="20"/>
                <w:szCs w:val="20"/>
              </w:rPr>
              <w:t>的【</w:t>
            </w:r>
            <w:r>
              <w:rPr>
                <w:rFonts w:hint="eastAsia" w:ascii="楷体_GB2312" w:eastAsia="楷体_GB2312"/>
                <w:b/>
                <w:sz w:val="20"/>
                <w:szCs w:val="20"/>
                <w:lang w:val="en-US" w:eastAsia="zh-CN"/>
              </w:rPr>
              <w:t>50</w:t>
            </w:r>
            <w:r>
              <w:rPr>
                <w:rFonts w:ascii="楷体_GB2312" w:eastAsia="楷体_GB2312"/>
                <w:b/>
                <w:sz w:val="20"/>
                <w:szCs w:val="20"/>
              </w:rPr>
              <w:t>%】进行捐赠。</w:t>
            </w:r>
          </w:p>
          <w:p w14:paraId="491E0426">
            <w:pPr>
              <w:snapToGrid w:val="0"/>
              <w:spacing w:line="300" w:lineRule="exact"/>
              <w:ind w:right="96" w:rightChars="40"/>
              <w:outlineLvl w:val="0"/>
              <w:rPr>
                <w:rFonts w:ascii="楷体_GB2312" w:eastAsia="楷体_GB2312"/>
                <w:b/>
                <w:sz w:val="20"/>
                <w:szCs w:val="20"/>
              </w:rPr>
            </w:pPr>
            <w:r>
              <w:rPr>
                <w:rFonts w:hint="eastAsia" w:ascii="楷体_GB2312" w:eastAsia="楷体_GB2312"/>
                <w:b/>
                <w:sz w:val="20"/>
                <w:szCs w:val="20"/>
                <w:lang w:val="en-US" w:eastAsia="zh-CN"/>
              </w:rPr>
              <w:t>M</w:t>
            </w:r>
            <w:r>
              <w:rPr>
                <w:rFonts w:ascii="楷体_GB2312" w:eastAsia="楷体_GB2312"/>
                <w:b/>
                <w:sz w:val="20"/>
                <w:szCs w:val="20"/>
              </w:rPr>
              <w:t>类份额</w:t>
            </w:r>
            <w:r>
              <w:rPr>
                <w:rFonts w:hint="eastAsia" w:ascii="楷体_GB2312" w:eastAsia="楷体_GB2312"/>
                <w:b/>
                <w:sz w:val="20"/>
                <w:szCs w:val="20"/>
              </w:rPr>
              <w:t>不收取</w:t>
            </w:r>
            <w:r>
              <w:rPr>
                <w:rFonts w:ascii="楷体_GB2312" w:eastAsia="楷体_GB2312"/>
                <w:b/>
                <w:sz w:val="20"/>
                <w:szCs w:val="20"/>
              </w:rPr>
              <w:t>浮动管理费。</w:t>
            </w:r>
            <w:r>
              <w:rPr>
                <w:rFonts w:hint="eastAsia" w:ascii="楷体_GB2312" w:eastAsia="楷体_GB2312"/>
                <w:b/>
                <w:sz w:val="20"/>
                <w:szCs w:val="20"/>
              </w:rPr>
              <w:t>在本产品到期日或提前终止日时，如产品计提浮动管理费前年化收益率超过</w:t>
            </w:r>
            <w:r>
              <w:rPr>
                <w:rFonts w:hint="eastAsia" w:ascii="楷体_GB2312" w:eastAsia="楷体_GB2312"/>
                <w:b/>
                <w:sz w:val="20"/>
                <w:szCs w:val="20"/>
                <w:lang w:val="en-US" w:eastAsia="zh-CN"/>
              </w:rPr>
              <w:t>2.50%</w:t>
            </w:r>
            <w:r>
              <w:rPr>
                <w:rFonts w:hint="eastAsia" w:ascii="楷体_GB2312" w:eastAsia="楷体_GB2312"/>
                <w:b/>
                <w:sz w:val="20"/>
                <w:szCs w:val="20"/>
              </w:rPr>
              <w:t>的，投资者同意管理人代投资者按照产品计提浮动管理费前年化收益超过</w:t>
            </w:r>
            <w:r>
              <w:rPr>
                <w:rFonts w:hint="eastAsia" w:ascii="楷体_GB2312" w:eastAsia="楷体_GB2312"/>
                <w:b/>
                <w:sz w:val="20"/>
                <w:szCs w:val="20"/>
                <w:lang w:val="en-US" w:eastAsia="zh-CN"/>
              </w:rPr>
              <w:t>2.50%</w:t>
            </w:r>
            <w:r>
              <w:rPr>
                <w:rFonts w:hint="eastAsia" w:ascii="楷体_GB2312" w:eastAsia="楷体_GB2312"/>
                <w:b/>
                <w:sz w:val="20"/>
                <w:szCs w:val="20"/>
              </w:rPr>
              <w:t>的【</w:t>
            </w:r>
            <w:r>
              <w:rPr>
                <w:rFonts w:hint="eastAsia" w:ascii="楷体_GB2312" w:eastAsia="楷体_GB2312"/>
                <w:b/>
                <w:sz w:val="20"/>
                <w:szCs w:val="20"/>
                <w:lang w:val="en-US" w:eastAsia="zh-CN"/>
              </w:rPr>
              <w:t>50</w:t>
            </w:r>
            <w:r>
              <w:rPr>
                <w:rFonts w:ascii="楷体_GB2312" w:eastAsia="楷体_GB2312"/>
                <w:b/>
                <w:sz w:val="20"/>
                <w:szCs w:val="20"/>
              </w:rPr>
              <w:t>%】进行捐赠。</w:t>
            </w:r>
          </w:p>
          <w:p w14:paraId="27C9D216">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p>
          <w:p w14:paraId="3524AD08">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八、理财产品的费用</w:t>
            </w:r>
            <w:r>
              <w:rPr>
                <w:rFonts w:ascii="楷体_GB2312" w:eastAsia="楷体_GB2312" w:cs="楷体_GB2312"/>
                <w:b/>
                <w:color w:val="000000" w:themeColor="text1"/>
                <w:sz w:val="20"/>
                <w:szCs w:val="20"/>
                <w14:textFill>
                  <w14:solidFill>
                    <w14:schemeClr w14:val="tx1"/>
                  </w14:solidFill>
                </w14:textFill>
              </w:rPr>
              <w:t>”部分。</w:t>
            </w:r>
          </w:p>
          <w:p w14:paraId="7CB265EE">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CE58F8A">
            <w:pPr>
              <w:snapToGrid w:val="0"/>
              <w:spacing w:line="300" w:lineRule="exact"/>
              <w:ind w:left="-2" w:leftChars="-1"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771CB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84F480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10" w:type="pct"/>
            <w:vAlign w:val="center"/>
          </w:tcPr>
          <w:p w14:paraId="3D0B4F8A">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4831D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1C8FCA0">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10" w:type="pct"/>
            <w:vAlign w:val="center"/>
          </w:tcPr>
          <w:p w14:paraId="092F262E">
            <w:pPr>
              <w:spacing w:line="300" w:lineRule="atLeast"/>
              <w:ind w:right="31"/>
              <w:rPr>
                <w:rFonts w:ascii="楷体_GB2312" w:eastAsia="楷体_GB2312" w:cs="楷体_GB2312"/>
                <w:sz w:val="20"/>
                <w:szCs w:val="20"/>
              </w:rPr>
            </w:pPr>
            <w:r>
              <w:rPr>
                <w:rFonts w:hint="eastAsia" w:ascii="楷体_GB2312" w:eastAsia="楷体_GB2312" w:cs="楷体_GB2312"/>
                <w:sz w:val="20"/>
                <w:szCs w:val="20"/>
                <w:lang w:val="en-US" w:eastAsia="zh-CN"/>
              </w:rPr>
              <w:t>B</w:t>
            </w:r>
            <w:r>
              <w:rPr>
                <w:rFonts w:ascii="楷体_GB2312" w:eastAsia="楷体_GB2312" w:cs="楷体_GB2312"/>
                <w:sz w:val="20"/>
                <w:szCs w:val="20"/>
              </w:rPr>
              <w:t>类份额（份额代码【</w:t>
            </w:r>
            <w:r>
              <w:rPr>
                <w:rFonts w:hint="eastAsia" w:ascii="楷体_GB2312" w:eastAsia="楷体_GB2312" w:cs="楷体_GB2312"/>
                <w:sz w:val="20"/>
                <w:szCs w:val="20"/>
                <w:lang w:eastAsia="zh-CN"/>
              </w:rPr>
              <w:t>AF251852</w:t>
            </w:r>
            <w:r>
              <w:rPr>
                <w:rFonts w:hint="eastAsia" w:ascii="楷体_GB2312" w:eastAsia="楷体_GB2312" w:cs="楷体_GB2312"/>
                <w:sz w:val="20"/>
                <w:szCs w:val="20"/>
                <w:lang w:val="en-US" w:eastAsia="zh-CN"/>
              </w:rPr>
              <w:t>B</w:t>
            </w:r>
            <w:r>
              <w:rPr>
                <w:rFonts w:ascii="楷体_GB2312" w:eastAsia="楷体_GB2312" w:cs="楷体_GB2312"/>
                <w:sz w:val="20"/>
                <w:szCs w:val="20"/>
              </w:rPr>
              <w:t>】）</w:t>
            </w:r>
            <w:r>
              <w:rPr>
                <w:rFonts w:hint="eastAsia" w:ascii="楷体_GB2312" w:eastAsia="楷体_GB2312" w:cs="楷体_GB2312"/>
                <w:sz w:val="20"/>
                <w:szCs w:val="20"/>
              </w:rPr>
              <w:t>合作</w:t>
            </w:r>
            <w:r>
              <w:rPr>
                <w:rFonts w:ascii="楷体_GB2312" w:eastAsia="楷体_GB2312" w:cs="楷体_GB2312"/>
                <w:sz w:val="20"/>
                <w:szCs w:val="20"/>
              </w:rPr>
              <w:t>销售机构信息</w:t>
            </w:r>
            <w:r>
              <w:rPr>
                <w:rFonts w:hint="eastAsia" w:ascii="楷体_GB2312" w:eastAsia="楷体_GB2312" w:cs="楷体_GB2312"/>
                <w:sz w:val="20"/>
                <w:szCs w:val="20"/>
                <w:lang w:eastAsia="zh-CN"/>
              </w:rPr>
              <w:t>（</w:t>
            </w:r>
            <w:r>
              <w:rPr>
                <w:rFonts w:hint="eastAsia" w:ascii="楷体_GB2312" w:eastAsia="楷体_GB2312" w:cs="楷体_GB2312"/>
                <w:sz w:val="20"/>
                <w:szCs w:val="20"/>
                <w:lang w:val="en-US" w:eastAsia="zh-CN"/>
              </w:rPr>
              <w:t>销售简称：安盈象固收稳健温暖童行丰收封闭2号B（慈善）</w:t>
            </w:r>
            <w:r>
              <w:rPr>
                <w:rFonts w:hint="eastAsia" w:ascii="楷体_GB2312" w:eastAsia="楷体_GB2312" w:cs="楷体_GB2312"/>
                <w:sz w:val="20"/>
                <w:szCs w:val="20"/>
                <w:lang w:eastAsia="zh-CN"/>
              </w:rPr>
              <w:t>）</w:t>
            </w:r>
            <w:r>
              <w:rPr>
                <w:rFonts w:ascii="楷体_GB2312" w:eastAsia="楷体_GB2312" w:cs="楷体_GB2312"/>
                <w:sz w:val="20"/>
                <w:szCs w:val="20"/>
              </w:rPr>
              <w:t>：</w:t>
            </w:r>
          </w:p>
          <w:p w14:paraId="0038333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1.企业名称：【浙江新昌农村商业银行股份有限公司】</w:t>
            </w:r>
          </w:p>
          <w:p w14:paraId="595FC05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统一社会信用代码：【913306007707448740】</w:t>
            </w:r>
          </w:p>
          <w:p w14:paraId="5077ADD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住所：【浙江省新昌县七星街道七星路18号】</w:t>
            </w:r>
          </w:p>
          <w:p w14:paraId="2B89222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D1935D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2.企业名称：【浙江杭州余杭农村商业银行股份有限公司】</w:t>
            </w:r>
          </w:p>
          <w:p w14:paraId="5EAE313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统一社会信用代码：【9133010014387221XY】</w:t>
            </w:r>
          </w:p>
          <w:p w14:paraId="5E39BA5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住所：【浙江省杭州市临平区南苑街道南大街72号】</w:t>
            </w:r>
          </w:p>
          <w:p w14:paraId="7287943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AFE753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3.企业名称：【浙江德清农村商业银行股份有限公司】</w:t>
            </w:r>
          </w:p>
          <w:p w14:paraId="2BC266E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统一社会信用代码：【9133050076962455XQ】</w:t>
            </w:r>
          </w:p>
          <w:p w14:paraId="1B5E53B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住所：【浙江省德清县武康街道沈长圩街50号】</w:t>
            </w:r>
          </w:p>
          <w:p w14:paraId="67B3120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09C40C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4.企业名称：【浙江瑞安农村商业银行股份有限公司】</w:t>
            </w:r>
          </w:p>
          <w:p w14:paraId="548D4E7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统一社会信用代码：【91330300773121154L】</w:t>
            </w:r>
          </w:p>
          <w:p w14:paraId="727BE34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住所：【瑞安市安阳街道万松东路148号】</w:t>
            </w:r>
          </w:p>
          <w:p w14:paraId="0E265B8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72E240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5.企业名称：【浙江富阳农村商业银行股份有限公司】</w:t>
            </w:r>
          </w:p>
          <w:p w14:paraId="40D5E9D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统一社会信用代码：【91330100YA3600224E】</w:t>
            </w:r>
          </w:p>
          <w:p w14:paraId="7DD0D83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住所：【浙江省杭州市富阳区鹿山街道依江路501号第1幢】</w:t>
            </w:r>
          </w:p>
          <w:p w14:paraId="7F879A0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DD01C8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6.企业名称：【浙江金华成泰农村商业银行股份有限公司】</w:t>
            </w:r>
          </w:p>
          <w:p w14:paraId="33F340B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统一社会信用代码：【91330700685598446M】</w:t>
            </w:r>
          </w:p>
          <w:p w14:paraId="5DFB5FD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住所：【浙江省金华市八一南街123号】</w:t>
            </w:r>
          </w:p>
          <w:p w14:paraId="31E34BD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3D1057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7.企业名称：【浙江永康农村商业银行股份有限公司】</w:t>
            </w:r>
          </w:p>
          <w:p w14:paraId="7592D4B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统一社会信用代码：【91330700563336405G】</w:t>
            </w:r>
          </w:p>
          <w:p w14:paraId="36AB679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住所：【浙江省金华市永康市九铃东路3259号】</w:t>
            </w:r>
          </w:p>
          <w:p w14:paraId="10AEF4B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EBE047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8.企业名称：【浙江东阳农村商业银行股份有限公司】</w:t>
            </w:r>
          </w:p>
          <w:p w14:paraId="5DD8D24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统一社会信用代码：【91330700147546390Q】</w:t>
            </w:r>
          </w:p>
          <w:p w14:paraId="3CD4058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住所：【东阳市双岘路18号】</w:t>
            </w:r>
          </w:p>
          <w:p w14:paraId="167795C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77E0EA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9.企业名称：【浙江浦江农村商业银行股份有限公司】</w:t>
            </w:r>
          </w:p>
          <w:p w14:paraId="7170C94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统一社会信用代码：【913307261476928819】</w:t>
            </w:r>
          </w:p>
          <w:p w14:paraId="72667A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住所：【浙江省浦江县人民东路90号】</w:t>
            </w:r>
          </w:p>
          <w:p w14:paraId="2ABD2EB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C5F059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10.企业名称：【浙江衢州柯城农村商业银行股份有限公司】</w:t>
            </w:r>
          </w:p>
          <w:p w14:paraId="18F8BF4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统一社会信用代码：【913308001477477826】</w:t>
            </w:r>
          </w:p>
          <w:p w14:paraId="29E8CB8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住所：【浙江省上街92号】</w:t>
            </w:r>
          </w:p>
          <w:p w14:paraId="42584C7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41B1B9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11.企业名称：【浙江衢州衢江农村商业银行股份有限公司】</w:t>
            </w:r>
          </w:p>
          <w:p w14:paraId="58D469C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统一社会信用代码：【91330800147752</w:t>
            </w:r>
            <w:r>
              <w:rPr>
                <w:rFonts w:ascii="楷体_GB2312" w:eastAsia="楷体_GB2312" w:cs="楷体_GB2312"/>
                <w:sz w:val="20"/>
                <w:szCs w:val="20"/>
              </w:rPr>
              <w:t>81</w:t>
            </w:r>
            <w:r>
              <w:rPr>
                <w:rFonts w:hint="eastAsia" w:ascii="楷体_GB2312" w:eastAsia="楷体_GB2312" w:cs="楷体_GB2312"/>
                <w:sz w:val="20"/>
                <w:szCs w:val="20"/>
              </w:rPr>
              <w:t>3B】</w:t>
            </w:r>
          </w:p>
          <w:p w14:paraId="1DFB2C2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住所：【浙江省衢州市衢江区樟潭街道信安东路37号】</w:t>
            </w:r>
          </w:p>
          <w:p w14:paraId="4102529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DC69AE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12.企业名称：【浙江龙游农村商业银行股份有限公司】</w:t>
            </w:r>
          </w:p>
          <w:p w14:paraId="15B665D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统一社会信用代码：【91330825769632509M】</w:t>
            </w:r>
          </w:p>
          <w:p w14:paraId="3F85A84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住所：【浙江省衢州市龙游县龙洲街道荣昌大道683、685、687号】</w:t>
            </w:r>
          </w:p>
          <w:p w14:paraId="68EAEC4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740C07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13.企业名称：【浙江江山农村商业银行股份有限公司】</w:t>
            </w:r>
          </w:p>
          <w:p w14:paraId="3FC553B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统一社会信用代码：【913308001478831865】</w:t>
            </w:r>
          </w:p>
          <w:p w14:paraId="295F98F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住所：【浙江省江山市双塔街道江滨路188号】</w:t>
            </w:r>
          </w:p>
          <w:p w14:paraId="1D70AF1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6CF66A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14.企业名称：【浙江常山农村商业银行股份有限公司】</w:t>
            </w:r>
          </w:p>
          <w:p w14:paraId="6DA690F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统一社会信用代码：【91330822147845315H】</w:t>
            </w:r>
          </w:p>
          <w:p w14:paraId="6603076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住所：【浙江省衢州市常山县天马街道人民路125号】</w:t>
            </w:r>
          </w:p>
          <w:p w14:paraId="3373CC3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6A2ADA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15.企业名称：【浙江开化农村商业银行股份有限公司】</w:t>
            </w:r>
          </w:p>
          <w:p w14:paraId="57096F7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统一社会信用代码：【913308241479259480】</w:t>
            </w:r>
          </w:p>
          <w:p w14:paraId="2289E69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住所：【浙江省衢州市开化县华埠镇永吉二路8号】</w:t>
            </w:r>
          </w:p>
          <w:p w14:paraId="5F1E09D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2F45AA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16.企业名称：【浙江丽水莲都农村商业银行股份有限公司】</w:t>
            </w:r>
          </w:p>
          <w:p w14:paraId="68DD990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统一社会信用代码：【91331100148440061D】</w:t>
            </w:r>
          </w:p>
          <w:p w14:paraId="5D1550C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住所：【浙江丽水市解放街438号】</w:t>
            </w:r>
          </w:p>
          <w:p w14:paraId="65E3C28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A44CAF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17.企业名称：【浙江青田农村商业银行股份有限公司】</w:t>
            </w:r>
          </w:p>
          <w:p w14:paraId="126C307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统一社会信用代码：【913311007757320399】</w:t>
            </w:r>
          </w:p>
          <w:p w14:paraId="4B69C49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住所：【浙江省青田县鹤城街道鹤城东路180号】</w:t>
            </w:r>
          </w:p>
          <w:p w14:paraId="6D671F7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63F60A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18.企业名称：【浙江龙泉农村商业银行股份有限公司】</w:t>
            </w:r>
          </w:p>
          <w:p w14:paraId="2BB7075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统一社会信用代码：【91331181148543853J】</w:t>
            </w:r>
          </w:p>
          <w:p w14:paraId="1E1551D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住所：【浙江省丽水市龙泉市中山东路101号】</w:t>
            </w:r>
          </w:p>
          <w:p w14:paraId="7CF9484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C0ADCD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19.企业名称：【浙江遂昌农村商业银行股份有限公司】</w:t>
            </w:r>
          </w:p>
          <w:p w14:paraId="6539318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统一社会信用代码：【91331123148661817E】</w:t>
            </w:r>
          </w:p>
          <w:p w14:paraId="1D7EC91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住所：【浙江省丽水市遂昌县妙高街道溪边路100号】</w:t>
            </w:r>
          </w:p>
          <w:p w14:paraId="49AD3FC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B649F0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20.企业名称：【浙江松阳农村商业银行股份有限公司】</w:t>
            </w:r>
          </w:p>
          <w:p w14:paraId="4E396C4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统一社会信用代码：【91331124148632856X】</w:t>
            </w:r>
          </w:p>
          <w:p w14:paraId="673C05F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住所：【浙江省丽水市松阳县水南街道要津南路71号】</w:t>
            </w:r>
          </w:p>
          <w:p w14:paraId="6599E69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35C6DB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21.企业名称：【浙江景宁农村商业银行股份有限公司】</w:t>
            </w:r>
          </w:p>
          <w:p w14:paraId="739D45F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统一社会信用代码：【91331127704796094T】</w:t>
            </w:r>
          </w:p>
          <w:p w14:paraId="57B35D7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住所：【浙江省丽水市景宁畲族自治县红星街道人民中路201号】</w:t>
            </w:r>
          </w:p>
          <w:p w14:paraId="4E0E7D8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C90CCA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22.企业名称：【浙江台州椒江农村商业银行股份有限公司】</w:t>
            </w:r>
          </w:p>
          <w:p w14:paraId="41D20B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统一社会信用代码：【913310021482768636】</w:t>
            </w:r>
          </w:p>
          <w:p w14:paraId="7F45880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住所：【浙江省台州市椒江区工人东路322号】</w:t>
            </w:r>
          </w:p>
          <w:p w14:paraId="11E5C27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58A6EB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23.企业名称：【浙江台州黄岩农村商业银行股份有限公司】</w:t>
            </w:r>
          </w:p>
          <w:p w14:paraId="4BD8D6B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统一社会信用代码：【91331003770736460B】</w:t>
            </w:r>
          </w:p>
          <w:p w14:paraId="007C5EA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住所：【浙江省台州市黄岩区洞天路88号】</w:t>
            </w:r>
          </w:p>
          <w:p w14:paraId="7D706D3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760E2D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24.企业名称：【浙江台州路桥农村商业银行股份有限公司】</w:t>
            </w:r>
          </w:p>
          <w:p w14:paraId="037F97C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统一社会信用代码：【91331004771942717H】</w:t>
            </w:r>
          </w:p>
          <w:p w14:paraId="32C435D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住所：【浙江省台州市路桥区西路桥大道328号】</w:t>
            </w:r>
          </w:p>
          <w:p w14:paraId="74D56F8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D576B4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25.企业名称：【浙江温岭农村商业银行股份有限公司】</w:t>
            </w:r>
          </w:p>
          <w:p w14:paraId="680716D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统一社会信用代码：【913310001489096329】</w:t>
            </w:r>
          </w:p>
          <w:p w14:paraId="18A7041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住所：【浙江省台州市温岭市城东街道下保路100号】</w:t>
            </w:r>
          </w:p>
          <w:p w14:paraId="7E38CE1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292274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26.企业名称：【浙江天台农村商业银行股份有限公司】</w:t>
            </w:r>
          </w:p>
          <w:p w14:paraId="5E00085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统一社会信用代码：【91331000148073695C】</w:t>
            </w:r>
          </w:p>
          <w:p w14:paraId="53A0851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住所：【浙江省天台县赤城街道飞鹤路358号】</w:t>
            </w:r>
          </w:p>
          <w:p w14:paraId="17D3207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72E2B5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27.企业名称：【浙江三门农村商业银行股份有限公司】</w:t>
            </w:r>
          </w:p>
          <w:p w14:paraId="2811996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统一社会信用代码：【91331022774367359X】</w:t>
            </w:r>
          </w:p>
          <w:p w14:paraId="3588B49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住所：【浙江省三门县海游街道上洋路68号】</w:t>
            </w:r>
          </w:p>
          <w:p w14:paraId="6FC2BB6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905F2B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28.企业名称：【浙江舟山定海海洋农村商业银行股份有限公司】</w:t>
            </w:r>
          </w:p>
          <w:p w14:paraId="724FBFF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统一社会信用代码：【91330900148740320U】</w:t>
            </w:r>
          </w:p>
          <w:p w14:paraId="015B24B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住所：【浙江省舟山市定海区环城东路81号】</w:t>
            </w:r>
          </w:p>
          <w:p w14:paraId="392E96C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5B8159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29.企业名称：【浙江舟山普陀农村商业银行股份有限公司】</w:t>
            </w:r>
          </w:p>
          <w:p w14:paraId="62CC496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统一社会信用代码：【913309006831072360】</w:t>
            </w:r>
          </w:p>
          <w:p w14:paraId="681A751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住所：【浙江省舟山市普陀区东港街道麒麟街225号（自贸试验区内）】</w:t>
            </w:r>
          </w:p>
          <w:p w14:paraId="376720B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268CD2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30.企业名称：【湖州吴兴农村商业银行股份有限公司】</w:t>
            </w:r>
          </w:p>
          <w:p w14:paraId="0C853F0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统一社会信用代码：【913305007782713708】</w:t>
            </w:r>
          </w:p>
          <w:p w14:paraId="77C5247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住所：【浙江省湖州市东街55号】</w:t>
            </w:r>
          </w:p>
          <w:p w14:paraId="242AAF3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570196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31.企业名称：【浙江临安农村商业银行股份有限公司】</w:t>
            </w:r>
          </w:p>
          <w:p w14:paraId="06B1523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统一社会信用代码：【913301851437582064】</w:t>
            </w:r>
          </w:p>
          <w:p w14:paraId="06F303D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住所：【浙江省杭州市临安区锦城街道城中街442号】</w:t>
            </w:r>
          </w:p>
          <w:p w14:paraId="149963E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04A79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32.企业名称：【浙江淳安农村商业银行股份有限公司】</w:t>
            </w:r>
          </w:p>
          <w:p w14:paraId="1CB10AF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统一社会信用代码：【9133012714400940XB】</w:t>
            </w:r>
          </w:p>
          <w:p w14:paraId="004D163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住所：【浙江省杭州市淳安县千岛湖镇环湖北路369号】</w:t>
            </w:r>
          </w:p>
          <w:p w14:paraId="4804989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DCE1E1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33.企业名称：【宁波北仑农村商业银行股份有限公司】</w:t>
            </w:r>
          </w:p>
          <w:p w14:paraId="0CD029C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统一社会信用代码：【91330206144292356K】</w:t>
            </w:r>
          </w:p>
          <w:p w14:paraId="5161EBA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住所：【浙江省宁波市北仑区新碶宝山路69号（凤凰国际商务广场）1幢69号、63号（凤凰国际商务广场）1幢（2-26层）】</w:t>
            </w:r>
          </w:p>
          <w:p w14:paraId="21CCEDD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93D5EE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34.企业名称：【宁波奉化农村商业银行股份有限公司】</w:t>
            </w:r>
          </w:p>
          <w:p w14:paraId="1463897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统一社会信用代码：【913302001448601066】</w:t>
            </w:r>
          </w:p>
          <w:p w14:paraId="5EB561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住所：【浙江省宁波市奉化区锦屏街道中山路27号】</w:t>
            </w:r>
          </w:p>
          <w:p w14:paraId="2322B53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47139F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35.企业名称：【宁波镇海农村商业银行股份有限公司】</w:t>
            </w:r>
          </w:p>
          <w:p w14:paraId="7A7A6F7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统一社会信用代码：【91330200717212676J】</w:t>
            </w:r>
          </w:p>
          <w:p w14:paraId="66B27AA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住所：【宁波市镇海区骆驼街道镇海大道中段788号】</w:t>
            </w:r>
          </w:p>
          <w:p w14:paraId="1D52B2C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A79911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36.企业名称：【宁波宁海农村商业银行股份有限公司】</w:t>
            </w:r>
          </w:p>
          <w:p w14:paraId="05D088F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统一社会信用代码：【91330200144938786M】</w:t>
            </w:r>
          </w:p>
          <w:p w14:paraId="53AE73A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住所：【宁海县跃龙街道学勉路1号（金融中心）】</w:t>
            </w:r>
          </w:p>
          <w:p w14:paraId="05818B3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3696F4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37.企业名称：【宁波甬城农村商业银行股份有限公司】</w:t>
            </w:r>
          </w:p>
          <w:p w14:paraId="26152A0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统一社会信用代码：【91330205704848042N】</w:t>
            </w:r>
          </w:p>
          <w:p w14:paraId="036961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住所：【浙江省宁波市江北区育才路15、17号】</w:t>
            </w:r>
          </w:p>
          <w:p w14:paraId="1549FB9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3D40F8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38.企业名称：【浙江永嘉农村商业银行股份有限公司】</w:t>
            </w:r>
          </w:p>
          <w:p w14:paraId="7F4E7E0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统一社会信用代码：【91330300693852088P】</w:t>
            </w:r>
          </w:p>
          <w:p w14:paraId="163BC8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住所：【浙江省温州市永嘉县瓯北街道阳光大道3918号101室、201室、301室、401室、501室、1101室、1801室、2201室】</w:t>
            </w:r>
          </w:p>
          <w:p w14:paraId="4953432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6540F1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39.企业名称：【浙江平阳农村商业银行股份有限公司】</w:t>
            </w:r>
          </w:p>
          <w:p w14:paraId="04E56F9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统一社会信用代码：【91330300778260532C】</w:t>
            </w:r>
          </w:p>
          <w:p w14:paraId="0C6D2C9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住所：【浙江省平阳县鳌江镇车站大道999号】</w:t>
            </w:r>
          </w:p>
          <w:p w14:paraId="2520D49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6A5797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40.企业名称：【浙江嘉善农村商业银行股份有限公司】</w:t>
            </w:r>
          </w:p>
          <w:p w14:paraId="3DD0363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统一社会信用代码：【91330400146600914H】</w:t>
            </w:r>
          </w:p>
          <w:p w14:paraId="70726A6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住所：【浙江省嘉兴市嘉善县罗星街道车站南路999号】</w:t>
            </w:r>
          </w:p>
          <w:p w14:paraId="11E2F11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FB4ABB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41.企业名称：【浙江平湖农村商业银行股份有限公司】</w:t>
            </w:r>
          </w:p>
          <w:p w14:paraId="5F895EC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统一社会信用代码：【913304821466775403】</w:t>
            </w:r>
          </w:p>
          <w:p w14:paraId="4CD0CDC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住所：【浙江省平湖市当湖街道胜利路518号】</w:t>
            </w:r>
          </w:p>
          <w:p w14:paraId="367E531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9FE530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42.企业名称：【浙江海宁农村商业银行股份有限公司】</w:t>
            </w:r>
          </w:p>
          <w:p w14:paraId="7BFED9B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统一社会信用代码：【91330400146707324M】</w:t>
            </w:r>
          </w:p>
          <w:p w14:paraId="580D28D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住所：【浙江省海宁市海洲街道钱江西路278号】</w:t>
            </w:r>
          </w:p>
          <w:p w14:paraId="1C14028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05C5C0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43.企业名称：【浙江海盐农村商业银行股份有限公司】</w:t>
            </w:r>
          </w:p>
          <w:p w14:paraId="13BC1F6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统一社会信用代码：【91330424254846268L】</w:t>
            </w:r>
          </w:p>
          <w:p w14:paraId="708B8B8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住所：【浙江省海盐县武原街道枣园西路176号】</w:t>
            </w:r>
          </w:p>
          <w:p w14:paraId="0001A49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5238F3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44.企业名称：【浙江桐乡农村商业银行股份有限公司】</w:t>
            </w:r>
          </w:p>
          <w:p w14:paraId="66E1755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统一社会信用代码：【91330483146852863F】</w:t>
            </w:r>
          </w:p>
          <w:p w14:paraId="3BB808A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住所：【浙江省嘉兴市桐乡市梧桐街道校场东路59号】</w:t>
            </w:r>
          </w:p>
          <w:p w14:paraId="3D071F0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D29D1F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45.企业名称：【浙江安吉农村商业银行股份有限公司】</w:t>
            </w:r>
          </w:p>
          <w:p w14:paraId="2775AA1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统一社会信用代码：【91330500680700499G】</w:t>
            </w:r>
          </w:p>
          <w:p w14:paraId="6182DD8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住所：【浙江省湖州市安吉县昌硕街道昌硕东路1号】</w:t>
            </w:r>
          </w:p>
          <w:p w14:paraId="5BEF67B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F4335F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46.企业名称：【浙江南浔农村商业银行股份有限公司】</w:t>
            </w:r>
          </w:p>
          <w:p w14:paraId="4A89B9C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统一社会信用代码：【913305001470196549】</w:t>
            </w:r>
          </w:p>
          <w:p w14:paraId="3EEB6BC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住所：【浙江省湖州市南浔区南浔镇人瑞路1188号】</w:t>
            </w:r>
          </w:p>
          <w:p w14:paraId="50C2CC1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E91917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47.企业名称：【浙江上虞农村商业银行股份有限公司】</w:t>
            </w:r>
          </w:p>
          <w:p w14:paraId="5428822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统一社会信用代码：【91330600146116161G】</w:t>
            </w:r>
          </w:p>
          <w:p w14:paraId="566EABE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住所：【浙江省百官街道德盛路55号】</w:t>
            </w:r>
          </w:p>
          <w:p w14:paraId="13B2D60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CDBE48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48.企业名称：【浙江缙云农村商业银行股份有限公司】</w:t>
            </w:r>
          </w:p>
          <w:p w14:paraId="2111AE1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统一社会信用代码：【913311227047843259】</w:t>
            </w:r>
          </w:p>
          <w:p w14:paraId="0AB751E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住所：【浙江省丽水市缙云县五云镇新区仙都路68号】</w:t>
            </w:r>
          </w:p>
          <w:p w14:paraId="2302F30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41D136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49.企业名称：【浙江义乌农村商业银行股份有限公司】</w:t>
            </w:r>
          </w:p>
          <w:p w14:paraId="2128D7D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统一社会信用代码：【91330782609786576E】</w:t>
            </w:r>
          </w:p>
          <w:p w14:paraId="060B552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住所：【浙江省义乌市福田街道城北路677号】</w:t>
            </w:r>
          </w:p>
          <w:p w14:paraId="5F1C546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414C73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50.企业名称：【浙江兰溪农村商业银行股份有限公司】</w:t>
            </w:r>
          </w:p>
          <w:p w14:paraId="5501392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统一社会信用代码：【91330781147387545R】</w:t>
            </w:r>
          </w:p>
          <w:p w14:paraId="322D3CF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住所：【浙江省兰溪市兰江街道丹溪大道18号】</w:t>
            </w:r>
          </w:p>
          <w:p w14:paraId="6972EA2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513EF1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51.企业名称：【浙江长兴农村商业银行股份有限公司】</w:t>
            </w:r>
          </w:p>
          <w:p w14:paraId="33CE636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统一社会信用代码：【91330522147148640A】</w:t>
            </w:r>
          </w:p>
          <w:p w14:paraId="1BFF142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住所：【浙江省湖州市长兴县太湖街道明珠路1298号】</w:t>
            </w:r>
          </w:p>
          <w:p w14:paraId="00B2AFC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F8238E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52.企业名称：【浙江绍兴恒信农村商业银行股份有限公司】</w:t>
            </w:r>
          </w:p>
          <w:p w14:paraId="51D396A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统一社会信用代码：【9133060271252980XJ】</w:t>
            </w:r>
          </w:p>
          <w:p w14:paraId="3C53875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住所：【浙江省绍兴市中兴中路159号】</w:t>
            </w:r>
          </w:p>
          <w:p w14:paraId="46B5197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7DA57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53.企业名称：【浙江武义农村商业银行股份有限公司】</w:t>
            </w:r>
          </w:p>
          <w:p w14:paraId="002347B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统一社会信用代码：【91330723552860156J】</w:t>
            </w:r>
          </w:p>
          <w:p w14:paraId="3947BB4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住所：【浙江省武义县城武阳中路37号】</w:t>
            </w:r>
          </w:p>
          <w:p w14:paraId="3A9B36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427387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54.企业名称：【浙江岱山农村商业银行股份有限公司】</w:t>
            </w:r>
          </w:p>
          <w:p w14:paraId="2FFB9C4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统一社会信用代码：【91330921778250107N】</w:t>
            </w:r>
          </w:p>
          <w:p w14:paraId="2D2E280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住所：【浙江省舟山市岱山县高亭镇衢山大道1009号】</w:t>
            </w:r>
          </w:p>
          <w:p w14:paraId="18651BF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0FB364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55.企业名称：【浙江仙居农村商业银行股份有限公司】</w:t>
            </w:r>
          </w:p>
          <w:p w14:paraId="4A7B3B6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统一社会信用代码：【91331024148032965W】</w:t>
            </w:r>
          </w:p>
          <w:p w14:paraId="19E5F06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住所：【浙江省仙居县南峰街道穿城中路21号】</w:t>
            </w:r>
          </w:p>
          <w:p w14:paraId="4977259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39D1CB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56.企业名称：【浙江玉环农村商业银行股份有限公司】</w:t>
            </w:r>
          </w:p>
          <w:p w14:paraId="531A513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统一社会信用代码：【91331021704702414T】</w:t>
            </w:r>
          </w:p>
          <w:p w14:paraId="5A06F5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住所：【浙江省玉环市玉城街道珠港大道26号】</w:t>
            </w:r>
          </w:p>
          <w:p w14:paraId="6C8CA51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E3BF1A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57.企业名称：【浙江诸暨农村商业银行股份有限公司】</w:t>
            </w:r>
          </w:p>
          <w:p w14:paraId="6280EE4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统一社会信用代码：【91330600146217704F】</w:t>
            </w:r>
          </w:p>
          <w:p w14:paraId="25A9F07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住所：【浙江省诸暨市暨阳街道大桥东路2号】</w:t>
            </w:r>
          </w:p>
          <w:p w14:paraId="7D211DF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D14082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58.企业名称：【浙江临海农村商业银行股份有限公司】</w:t>
            </w:r>
          </w:p>
          <w:p w14:paraId="66A96A2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统一社会信用代码：【91331000147999461D】</w:t>
            </w:r>
          </w:p>
          <w:p w14:paraId="2FA5459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住所：【浙江省台州市临海市大洋街道河阳路299号】</w:t>
            </w:r>
          </w:p>
          <w:p w14:paraId="1EA147A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22D382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59.企业名称：【浙江建德农村商业银行股份有限公司】</w:t>
            </w:r>
          </w:p>
          <w:p w14:paraId="3D544A4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统一社会信用代码：【9133018270429246XA】</w:t>
            </w:r>
          </w:p>
          <w:p w14:paraId="7248EB5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住所：【浙江省建德市新安江街道江滨中路176号】</w:t>
            </w:r>
          </w:p>
          <w:p w14:paraId="76505F2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13464C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60.企业名称：【浙江文成农村商业银行股份有限公司】</w:t>
            </w:r>
          </w:p>
          <w:p w14:paraId="5C26BE5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统一社会信用代码：【91330328145827746X】</w:t>
            </w:r>
          </w:p>
          <w:p w14:paraId="3E63D76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住所：【浙江省温州市文成县大峃镇伯温路6号】</w:t>
            </w:r>
          </w:p>
          <w:p w14:paraId="6D73295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4ACB44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61.企业名称：【浙江萧山农村商业银行股份有限公司】</w:t>
            </w:r>
          </w:p>
          <w:p w14:paraId="4300602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统一社会信用代码：【91330100143568234F】</w:t>
            </w:r>
          </w:p>
          <w:p w14:paraId="7ADA718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住所：【浙江省杭州市萧山区人民路258号】</w:t>
            </w:r>
          </w:p>
          <w:p w14:paraId="15FF381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4307D1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62.企业名称：【浙江乐清农村商业银行股份有限公司】</w:t>
            </w:r>
          </w:p>
          <w:p w14:paraId="1951BD8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统一社会信用代码：【91330300712576278B】</w:t>
            </w:r>
          </w:p>
          <w:p w14:paraId="04D33DB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住所：【乐清市城南街道伯乐西路99号】</w:t>
            </w:r>
          </w:p>
          <w:p w14:paraId="11C4F5C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039031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63.企业名称：【宁波余姚农村商业银行股份有限公司】</w:t>
            </w:r>
          </w:p>
          <w:p w14:paraId="266454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统一社会信用代码：【91330281768530578N】</w:t>
            </w:r>
          </w:p>
          <w:p w14:paraId="5E6094C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住所：【余姚市新建路69号】</w:t>
            </w:r>
          </w:p>
          <w:p w14:paraId="1213648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DF5EA0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64.企业名称：【浙江桐庐农村商业银行股份有限公司】</w:t>
            </w:r>
          </w:p>
          <w:p w14:paraId="479434C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统一社会信用代码：【913301228436000474】</w:t>
            </w:r>
          </w:p>
          <w:p w14:paraId="1E33EB0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住所：【浙江省杭州市桐庐县城迎春南路278号】</w:t>
            </w:r>
          </w:p>
          <w:p w14:paraId="3560C88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4F9F9B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65.企业名称：【杭州联合农村商业银行股份有限公司】</w:t>
            </w:r>
          </w:p>
          <w:p w14:paraId="266A852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统一社会信用代码：【91330100773585469H】</w:t>
            </w:r>
          </w:p>
          <w:p w14:paraId="790B8CF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住所：【浙江省杭州市上城区建国中路99号】</w:t>
            </w:r>
          </w:p>
          <w:p w14:paraId="01BBED8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C8BCCD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66.企业名称：【浙江温州鹿城农村商业银行股份有限公司】</w:t>
            </w:r>
          </w:p>
          <w:p w14:paraId="5697850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统一社会信用代码：【91330300777212117L】</w:t>
            </w:r>
          </w:p>
          <w:p w14:paraId="7C0ED54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住所：【浙江省温州市鹿城区会展路1500号富银大厦】</w:t>
            </w:r>
          </w:p>
          <w:p w14:paraId="3B11444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3F8EA4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67.企业名称：【浙江绍兴瑞丰农村商业银行股份有限公司】</w:t>
            </w:r>
          </w:p>
          <w:p w14:paraId="4D040E0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统一社会信用代码：【91330600145965997H】</w:t>
            </w:r>
          </w:p>
          <w:p w14:paraId="036B3BE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住所：【浙江省绍兴市柯桥区柯桥笛扬路1363号】</w:t>
            </w:r>
          </w:p>
          <w:p w14:paraId="23FE9E1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F5C9BE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68.企业名称：【浙江禾城农村商业银行股份有限公司】</w:t>
            </w:r>
          </w:p>
          <w:p w14:paraId="1EAFF1C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统一社会信用代码：【91330400146466356E】</w:t>
            </w:r>
          </w:p>
          <w:p w14:paraId="5326577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住所：【浙江省嘉兴市经济技术开发区文昌路 1229 号】</w:t>
            </w:r>
          </w:p>
          <w:p w14:paraId="5CDE056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8116E1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w:t>
            </w:r>
            <w:r>
              <w:rPr>
                <w:rFonts w:ascii="楷体_GB2312" w:eastAsia="楷体_GB2312" w:cs="楷体_GB2312"/>
                <w:sz w:val="20"/>
                <w:szCs w:val="20"/>
              </w:rPr>
              <w:t>9.</w:t>
            </w:r>
            <w:r>
              <w:rPr>
                <w:rFonts w:hint="eastAsia" w:ascii="楷体_GB2312" w:eastAsia="楷体_GB2312" w:cs="楷体_GB2312"/>
                <w:sz w:val="20"/>
                <w:szCs w:val="20"/>
              </w:rPr>
              <w:t>企业名称：【浙江泰顺农村商业银行股份有限公司】</w:t>
            </w:r>
          </w:p>
          <w:p w14:paraId="2EBF776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统一社会信用代码：【913303297043793629】</w:t>
            </w:r>
          </w:p>
          <w:p w14:paraId="636F6F1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住所：【浙江省温州市泰顺县罗阳镇新城区文祥大道181号】</w:t>
            </w:r>
          </w:p>
          <w:p w14:paraId="2886C6F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6E0CC7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0.</w:t>
            </w:r>
            <w:r>
              <w:rPr>
                <w:rFonts w:hint="eastAsia" w:ascii="楷体_GB2312" w:eastAsia="楷体_GB2312" w:cs="楷体_GB2312"/>
                <w:sz w:val="20"/>
                <w:szCs w:val="20"/>
              </w:rPr>
              <w:t>企业名称：【浙江嵊州农村商业银行股份有限公司】</w:t>
            </w:r>
          </w:p>
          <w:p w14:paraId="6943689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统一社会信用代码：【91330683146384641Y】</w:t>
            </w:r>
          </w:p>
          <w:p w14:paraId="67E610C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住所：【浙江省嵊州市剡湖街道官河路398号】</w:t>
            </w:r>
          </w:p>
          <w:p w14:paraId="374398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D1C4D79">
            <w:pPr>
              <w:spacing w:line="300" w:lineRule="atLeast"/>
              <w:ind w:left="-2" w:right="31"/>
              <w:rPr>
                <w:rFonts w:ascii="楷体_GB2312" w:eastAsia="楷体_GB2312" w:cs="楷体_GB2312"/>
                <w:sz w:val="20"/>
                <w:szCs w:val="20"/>
              </w:rPr>
            </w:pPr>
            <w:r>
              <w:rPr>
                <w:rFonts w:ascii="楷体_GB2312" w:eastAsia="楷体_GB2312" w:cs="楷体_GB2312"/>
                <w:sz w:val="20"/>
                <w:szCs w:val="20"/>
              </w:rPr>
              <w:t>71.</w:t>
            </w:r>
            <w:r>
              <w:rPr>
                <w:rFonts w:hint="eastAsia" w:ascii="楷体_GB2312" w:eastAsia="楷体_GB2312" w:cs="楷体_GB2312"/>
                <w:sz w:val="20"/>
                <w:szCs w:val="20"/>
              </w:rPr>
              <w:t>企业名称：【浙江庆元农村商业银行股份有限公司】</w:t>
            </w:r>
          </w:p>
          <w:p w14:paraId="6763C0F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统一社会信用代码：【91331126609962015U】</w:t>
            </w:r>
          </w:p>
          <w:p w14:paraId="52ADF1B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住所：【浙江省丽水市庆元县濛洲街道云鹤路3号】</w:t>
            </w:r>
          </w:p>
          <w:p w14:paraId="424D35C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467A59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2.</w:t>
            </w:r>
            <w:r>
              <w:rPr>
                <w:rFonts w:hint="eastAsia" w:ascii="楷体_GB2312" w:eastAsia="楷体_GB2312" w:cs="楷体_GB2312"/>
                <w:sz w:val="20"/>
                <w:szCs w:val="20"/>
              </w:rPr>
              <w:t>企业名称：【浙江温州瓯海农村商业银行股份有限公司】</w:t>
            </w:r>
          </w:p>
          <w:p w14:paraId="342DAF9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统一社会信用代码：【91330300776489333D】</w:t>
            </w:r>
          </w:p>
          <w:p w14:paraId="16C4A6B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住所：【浙江省温州市瓯海区瓯海大道989号】</w:t>
            </w:r>
          </w:p>
          <w:p w14:paraId="4D2B0C7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E046D2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3.</w:t>
            </w:r>
            <w:r>
              <w:rPr>
                <w:rFonts w:hint="eastAsia" w:ascii="楷体_GB2312" w:eastAsia="楷体_GB2312" w:cs="楷体_GB2312"/>
                <w:sz w:val="20"/>
                <w:szCs w:val="20"/>
              </w:rPr>
              <w:t>企业名称：【浙江云和农村商业银行股份有限公司】</w:t>
            </w:r>
          </w:p>
          <w:p w14:paraId="6152038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统一社会信用代码：【9133112514848825XE】</w:t>
            </w:r>
          </w:p>
          <w:p w14:paraId="3311F3F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住所：【浙江省丽水市云和县浮云街道新建路72号】</w:t>
            </w:r>
          </w:p>
          <w:p w14:paraId="759C489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8D4837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4.</w:t>
            </w:r>
            <w:r>
              <w:rPr>
                <w:rFonts w:hint="eastAsia" w:ascii="楷体_GB2312" w:eastAsia="楷体_GB2312" w:cs="楷体_GB2312"/>
                <w:sz w:val="20"/>
                <w:szCs w:val="20"/>
              </w:rPr>
              <w:t>企业名称：【宁波慈溪农村商业银行股份有限公司】</w:t>
            </w:r>
          </w:p>
          <w:p w14:paraId="200056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统一社会信用代码：【91330200144756720Q】</w:t>
            </w:r>
          </w:p>
          <w:p w14:paraId="50C6E34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住所：【浙江省慈溪市浒山街道南城路25号、59号5-6楼】</w:t>
            </w:r>
          </w:p>
          <w:p w14:paraId="729186E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A93B41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5</w:t>
            </w:r>
            <w:r>
              <w:rPr>
                <w:rFonts w:hint="eastAsia" w:ascii="楷体_GB2312" w:eastAsia="楷体_GB2312" w:cs="楷体_GB2312"/>
                <w:sz w:val="20"/>
                <w:szCs w:val="20"/>
              </w:rPr>
              <w:t>.企业名称：【浙江温州龙湾农村商业银行股份有限公司 】</w:t>
            </w:r>
          </w:p>
          <w:p w14:paraId="530096F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统一社会信用代码：【913303007772078015】</w:t>
            </w:r>
          </w:p>
          <w:p w14:paraId="03C16AB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住所：【浙江省温州市龙湾区永中街道永宁西路555号】</w:t>
            </w:r>
          </w:p>
          <w:p w14:paraId="19ED22D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A5ADE22">
            <w:pPr>
              <w:spacing w:line="300" w:lineRule="atLeast"/>
              <w:ind w:left="-2" w:right="31"/>
              <w:rPr>
                <w:rFonts w:ascii="楷体_GB2312" w:eastAsia="楷体_GB2312" w:cs="楷体_GB2312"/>
                <w:sz w:val="20"/>
                <w:szCs w:val="20"/>
              </w:rPr>
            </w:pPr>
            <w:r>
              <w:rPr>
                <w:rFonts w:ascii="楷体_GB2312" w:eastAsia="楷体_GB2312" w:cs="楷体_GB2312"/>
                <w:sz w:val="20"/>
                <w:szCs w:val="20"/>
              </w:rPr>
              <w:t>76</w:t>
            </w:r>
            <w:r>
              <w:rPr>
                <w:rFonts w:hint="eastAsia" w:ascii="楷体_GB2312" w:eastAsia="楷体_GB2312" w:cs="楷体_GB2312"/>
                <w:sz w:val="20"/>
                <w:szCs w:val="20"/>
              </w:rPr>
              <w:t>.企业名称：【浙江苍南农村商业银行股份有限公司】</w:t>
            </w:r>
          </w:p>
          <w:p w14:paraId="0FF82B2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统一社会信用代码：【913303007043722167】</w:t>
            </w:r>
          </w:p>
          <w:p w14:paraId="11EEEBC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住所：【浙江省苍南县灵溪镇人民大道425号】</w:t>
            </w:r>
          </w:p>
          <w:p w14:paraId="0A9E4E5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DD22CF1">
            <w:pPr>
              <w:spacing w:line="300" w:lineRule="atLeast"/>
              <w:ind w:left="-2" w:right="31"/>
              <w:rPr>
                <w:rFonts w:ascii="楷体_GB2312" w:eastAsia="楷体_GB2312" w:cs="楷体_GB2312"/>
                <w:sz w:val="20"/>
                <w:szCs w:val="20"/>
              </w:rPr>
            </w:pPr>
            <w:r>
              <w:rPr>
                <w:rFonts w:ascii="楷体_GB2312" w:eastAsia="楷体_GB2312" w:cs="楷体_GB2312"/>
                <w:sz w:val="20"/>
                <w:szCs w:val="20"/>
              </w:rPr>
              <w:t>77</w:t>
            </w:r>
            <w:r>
              <w:rPr>
                <w:rFonts w:hint="eastAsia" w:ascii="楷体_GB2312" w:eastAsia="楷体_GB2312" w:cs="楷体_GB2312"/>
                <w:sz w:val="20"/>
                <w:szCs w:val="20"/>
              </w:rPr>
              <w:t>.企业名称：【浙江嵊泗农村商业银行股份有限公司】</w:t>
            </w:r>
          </w:p>
          <w:p w14:paraId="29476B4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统一社会信用代码：【9133092270466354XL】</w:t>
            </w:r>
          </w:p>
          <w:p w14:paraId="66F9DFA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住所：【浙江省嵊泗县菜园镇沙河路110号】</w:t>
            </w:r>
          </w:p>
          <w:p w14:paraId="39F13A2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客户服务热线：【400-88-96596】</w:t>
            </w:r>
          </w:p>
          <w:p w14:paraId="29158948">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78.企业名称：【宁波鄞州农村商业银行股份有限公司】</w:t>
            </w:r>
          </w:p>
          <w:p w14:paraId="3A404541">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91330212144417235R】</w:t>
            </w:r>
          </w:p>
          <w:p w14:paraId="4EADADFF">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住所：【浙江省宁波市鄞州区民惠西路</w:t>
            </w:r>
            <w:r>
              <w:rPr>
                <w:rFonts w:ascii="楷体_GB2312" w:eastAsia="楷体_GB2312" w:cs="楷体_GB2312"/>
                <w:color w:val="000000" w:themeColor="text1"/>
                <w:sz w:val="20"/>
                <w:szCs w:val="20"/>
                <w14:textFill>
                  <w14:solidFill>
                    <w14:schemeClr w14:val="tx1"/>
                  </w14:solidFill>
                </w14:textFill>
              </w:rPr>
              <w:t xml:space="preserve"> 88 号】</w:t>
            </w:r>
          </w:p>
          <w:p w14:paraId="0AF048A9">
            <w:pPr>
              <w:spacing w:line="300" w:lineRule="atLeast"/>
              <w:ind w:left="-2" w:right="31"/>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956058】</w:t>
            </w:r>
          </w:p>
          <w:p w14:paraId="426CE9C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7488790F">
            <w:pPr>
              <w:spacing w:line="300" w:lineRule="atLeast"/>
              <w:ind w:right="31"/>
              <w:rPr>
                <w:rFonts w:ascii="楷体_GB2312" w:eastAsia="楷体_GB2312" w:cs="楷体_GB2312"/>
                <w:sz w:val="20"/>
                <w:szCs w:val="20"/>
              </w:rPr>
            </w:pPr>
            <w:r>
              <w:rPr>
                <w:rFonts w:hint="eastAsia" w:ascii="楷体_GB2312" w:eastAsia="楷体_GB2312" w:cs="楷体_GB2312"/>
                <w:sz w:val="20"/>
                <w:szCs w:val="20"/>
                <w:lang w:val="en-US" w:eastAsia="zh-CN"/>
              </w:rPr>
              <w:t>G</w:t>
            </w:r>
            <w:r>
              <w:rPr>
                <w:rFonts w:ascii="楷体_GB2312" w:eastAsia="楷体_GB2312" w:cs="楷体_GB2312"/>
                <w:sz w:val="20"/>
                <w:szCs w:val="20"/>
              </w:rPr>
              <w:t>类份额（份额代码【</w:t>
            </w:r>
            <w:r>
              <w:rPr>
                <w:rFonts w:hint="eastAsia" w:ascii="楷体_GB2312" w:eastAsia="楷体_GB2312" w:cs="楷体_GB2312"/>
                <w:sz w:val="20"/>
                <w:szCs w:val="20"/>
                <w:lang w:eastAsia="zh-CN"/>
              </w:rPr>
              <w:t>AF251852</w:t>
            </w:r>
            <w:r>
              <w:rPr>
                <w:rFonts w:hint="eastAsia" w:ascii="楷体_GB2312" w:eastAsia="楷体_GB2312" w:cs="楷体_GB2312"/>
                <w:sz w:val="20"/>
                <w:szCs w:val="20"/>
                <w:lang w:val="en-US" w:eastAsia="zh-CN"/>
              </w:rPr>
              <w:t>G</w:t>
            </w:r>
            <w:r>
              <w:rPr>
                <w:rFonts w:ascii="楷体_GB2312" w:eastAsia="楷体_GB2312" w:cs="楷体_GB2312"/>
                <w:sz w:val="20"/>
                <w:szCs w:val="20"/>
              </w:rPr>
              <w:t>】）</w:t>
            </w:r>
            <w:r>
              <w:rPr>
                <w:rFonts w:hint="eastAsia" w:ascii="楷体_GB2312" w:eastAsia="楷体_GB2312" w:cs="楷体_GB2312"/>
                <w:sz w:val="20"/>
                <w:szCs w:val="20"/>
              </w:rPr>
              <w:t>合作</w:t>
            </w:r>
            <w:r>
              <w:rPr>
                <w:rFonts w:ascii="楷体_GB2312" w:eastAsia="楷体_GB2312" w:cs="楷体_GB2312"/>
                <w:sz w:val="20"/>
                <w:szCs w:val="20"/>
              </w:rPr>
              <w:t>销售机构信息</w:t>
            </w:r>
            <w:r>
              <w:rPr>
                <w:rFonts w:hint="eastAsia" w:ascii="楷体_GB2312" w:eastAsia="楷体_GB2312" w:cs="楷体_GB2312"/>
                <w:sz w:val="20"/>
                <w:szCs w:val="20"/>
                <w:lang w:eastAsia="zh-CN"/>
              </w:rPr>
              <w:t>（</w:t>
            </w:r>
            <w:r>
              <w:rPr>
                <w:rFonts w:hint="eastAsia" w:ascii="楷体_GB2312" w:eastAsia="楷体_GB2312" w:cs="楷体_GB2312"/>
                <w:sz w:val="20"/>
                <w:szCs w:val="20"/>
                <w:lang w:val="en-US" w:eastAsia="zh-CN"/>
              </w:rPr>
              <w:t>销售简称：安盈象固收稳健温暖童行丰收封闭2号G（慈善））</w:t>
            </w:r>
            <w:r>
              <w:rPr>
                <w:rFonts w:ascii="楷体_GB2312" w:eastAsia="楷体_GB2312" w:cs="楷体_GB2312"/>
                <w:sz w:val="20"/>
                <w:szCs w:val="20"/>
              </w:rPr>
              <w:t>：</w:t>
            </w:r>
          </w:p>
          <w:p w14:paraId="570CE5B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1.企业名称：【浙江新昌农村商业银行股份有限公司】</w:t>
            </w:r>
          </w:p>
          <w:p w14:paraId="71B057E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统一社会信用代码：【913306007707448740】</w:t>
            </w:r>
          </w:p>
          <w:p w14:paraId="49AE9EB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住所：【浙江省新昌县七星街道七星路18号】</w:t>
            </w:r>
          </w:p>
          <w:p w14:paraId="3736E40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448654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2.企业名称：【浙江杭州余杭农村商业银行股份有限公司】</w:t>
            </w:r>
          </w:p>
          <w:p w14:paraId="22E5E8F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统一社会信用代码：【9133010014387221XY】</w:t>
            </w:r>
          </w:p>
          <w:p w14:paraId="31E3C93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住所：【浙江省杭州市临平区南苑街道南大街72号】</w:t>
            </w:r>
          </w:p>
          <w:p w14:paraId="0BE7487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2514E3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3.企业名称：【浙江德清农村商业银行股份有限公司】</w:t>
            </w:r>
          </w:p>
          <w:p w14:paraId="20E3EF2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统一社会信用代码：【9133050076962455XQ】</w:t>
            </w:r>
          </w:p>
          <w:p w14:paraId="67F4C3F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住所：【浙江省德清县武康街道沈长圩街50号】</w:t>
            </w:r>
          </w:p>
          <w:p w14:paraId="7F59F29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D5D23C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4.企业名称：【浙江瑞安农村商业银行股份有限公司】</w:t>
            </w:r>
          </w:p>
          <w:p w14:paraId="57002AB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统一社会信用代码：【91330300773121154L】</w:t>
            </w:r>
          </w:p>
          <w:p w14:paraId="39F4EC5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住所：【瑞安市安阳街道万松东路148号】</w:t>
            </w:r>
          </w:p>
          <w:p w14:paraId="02BF310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500DC1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5.企业名称：【浙江富阳农村商业银行股份有限公司】</w:t>
            </w:r>
          </w:p>
          <w:p w14:paraId="50DCF08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统一社会信用代码：【91330100YA3600224E】</w:t>
            </w:r>
          </w:p>
          <w:p w14:paraId="0905CDF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住所：【浙江省杭州市富阳区鹿山街道依江路501号第1幢】</w:t>
            </w:r>
          </w:p>
          <w:p w14:paraId="3B3A7D3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C3AFF3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6.企业名称：【浙江金华成泰农村商业银行股份有限公司】</w:t>
            </w:r>
          </w:p>
          <w:p w14:paraId="5100EC3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统一社会信用代码：【91330700685598446M】</w:t>
            </w:r>
          </w:p>
          <w:p w14:paraId="456D4E5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住所：【浙江省金华市八一南街123号】</w:t>
            </w:r>
          </w:p>
          <w:p w14:paraId="216818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D61501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7.企业名称：【浙江永康农村商业银行股份有限公司】</w:t>
            </w:r>
          </w:p>
          <w:p w14:paraId="2E51035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统一社会信用代码：【91330700563336405G】</w:t>
            </w:r>
          </w:p>
          <w:p w14:paraId="0D1B6DA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住所：【浙江省金华市永康市九铃东路3259号】</w:t>
            </w:r>
          </w:p>
          <w:p w14:paraId="28F9C3D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8088A2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8.企业名称：【浙江东阳农村商业银行股份有限公司】</w:t>
            </w:r>
          </w:p>
          <w:p w14:paraId="76BFAF0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统一社会信用代码：【91330700147546390Q】</w:t>
            </w:r>
          </w:p>
          <w:p w14:paraId="4036625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住所：【东阳市双岘路18号】</w:t>
            </w:r>
          </w:p>
          <w:p w14:paraId="4AC84EB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8258AB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9.企业名称：【浙江浦江农村商业银行股份有限公司】</w:t>
            </w:r>
          </w:p>
          <w:p w14:paraId="4CDFA01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统一社会信用代码：【913307261476928819】</w:t>
            </w:r>
          </w:p>
          <w:p w14:paraId="5F11517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住所：【浙江省浦江县人民东路90号】</w:t>
            </w:r>
          </w:p>
          <w:p w14:paraId="2965255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7EEB98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10.企业名称：【浙江衢州柯城农村商业银行股份有限公司】</w:t>
            </w:r>
          </w:p>
          <w:p w14:paraId="0529EB0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统一社会信用代码：【913308001477477826】</w:t>
            </w:r>
          </w:p>
          <w:p w14:paraId="0E8F68E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住所：【浙江省上街92号】</w:t>
            </w:r>
          </w:p>
          <w:p w14:paraId="087BD3B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F504C6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11.企业名称：【浙江衢州衢江农村商业银行股份有限公司】</w:t>
            </w:r>
          </w:p>
          <w:p w14:paraId="0B48DC0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统一社会信用代码：【91330800147752</w:t>
            </w:r>
            <w:r>
              <w:rPr>
                <w:rFonts w:ascii="楷体_GB2312" w:eastAsia="楷体_GB2312" w:cs="楷体_GB2312"/>
                <w:sz w:val="20"/>
                <w:szCs w:val="20"/>
              </w:rPr>
              <w:t>81</w:t>
            </w:r>
            <w:r>
              <w:rPr>
                <w:rFonts w:hint="eastAsia" w:ascii="楷体_GB2312" w:eastAsia="楷体_GB2312" w:cs="楷体_GB2312"/>
                <w:sz w:val="20"/>
                <w:szCs w:val="20"/>
              </w:rPr>
              <w:t>3B】</w:t>
            </w:r>
          </w:p>
          <w:p w14:paraId="39D72DF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住所：【浙江省衢州市衢江区樟潭街道信安东路37号】</w:t>
            </w:r>
          </w:p>
          <w:p w14:paraId="2464DCE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9C82EF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12.企业名称：【浙江龙游农村商业银行股份有限公司】</w:t>
            </w:r>
          </w:p>
          <w:p w14:paraId="57815CD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统一社会信用代码：【91330825769632509M】</w:t>
            </w:r>
          </w:p>
          <w:p w14:paraId="4D5AF6D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住所：【浙江省衢州市龙游县龙洲街道荣昌大道683、685、687号】</w:t>
            </w:r>
          </w:p>
          <w:p w14:paraId="71A7A93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268E84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13.企业名称：【浙江江山农村商业银行股份有限公司】</w:t>
            </w:r>
          </w:p>
          <w:p w14:paraId="0214C3F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统一社会信用代码：【913308001478831865】</w:t>
            </w:r>
          </w:p>
          <w:p w14:paraId="29A2CDC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住所：【浙江省江山市双塔街道江滨路188号】</w:t>
            </w:r>
          </w:p>
          <w:p w14:paraId="3D815B4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E0B767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14.企业名称：【浙江常山农村商业银行股份有限公司】</w:t>
            </w:r>
          </w:p>
          <w:p w14:paraId="6CF6619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统一社会信用代码：【91330822147845315H】</w:t>
            </w:r>
          </w:p>
          <w:p w14:paraId="3EF2569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住所：【浙江省衢州市常山县天马街道人民路125号】</w:t>
            </w:r>
          </w:p>
          <w:p w14:paraId="4A55153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CAE02B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15.企业名称：【浙江开化农村商业银行股份有限公司】</w:t>
            </w:r>
          </w:p>
          <w:p w14:paraId="79EE261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统一社会信用代码：【913308241479259480】</w:t>
            </w:r>
          </w:p>
          <w:p w14:paraId="65B762F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住所：【浙江省衢州市开化县华埠镇永吉二路8号】</w:t>
            </w:r>
          </w:p>
          <w:p w14:paraId="167A925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DA3307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16.企业名称：【浙江丽水莲都农村商业银行股份有限公司】</w:t>
            </w:r>
          </w:p>
          <w:p w14:paraId="4C71872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统一社会信用代码：【91331100148440061D】</w:t>
            </w:r>
          </w:p>
          <w:p w14:paraId="226C822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住所：【浙江丽水市解放街438号】</w:t>
            </w:r>
          </w:p>
          <w:p w14:paraId="19BE549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4F6562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17.企业名称：【浙江青田农村商业银行股份有限公司】</w:t>
            </w:r>
          </w:p>
          <w:p w14:paraId="7C5ED38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统一社会信用代码：【913311007757320399】</w:t>
            </w:r>
          </w:p>
          <w:p w14:paraId="040C90A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住所：【浙江省青田县鹤城街道鹤城东路180号】</w:t>
            </w:r>
          </w:p>
          <w:p w14:paraId="02D52E6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23B8E4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18.企业名称：【浙江龙泉农村商业银行股份有限公司】</w:t>
            </w:r>
          </w:p>
          <w:p w14:paraId="4D29B7A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统一社会信用代码：【91331181148543853J】</w:t>
            </w:r>
          </w:p>
          <w:p w14:paraId="042FA5B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住所：【浙江省丽水市龙泉市中山东路101号】</w:t>
            </w:r>
          </w:p>
          <w:p w14:paraId="2DEBC29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5A084D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19.企业名称：【浙江遂昌农村商业银行股份有限公司】</w:t>
            </w:r>
          </w:p>
          <w:p w14:paraId="339CA45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统一社会信用代码：【91331123148661817E】</w:t>
            </w:r>
          </w:p>
          <w:p w14:paraId="60D758B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住所：【浙江省丽水市遂昌县妙高街道溪边路100号】</w:t>
            </w:r>
          </w:p>
          <w:p w14:paraId="2C5C843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9A8A39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20.企业名称：【浙江松阳农村商业银行股份有限公司】</w:t>
            </w:r>
          </w:p>
          <w:p w14:paraId="0378E94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统一社会信用代码：【91331124148632856X】</w:t>
            </w:r>
          </w:p>
          <w:p w14:paraId="1507CAE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住所：【浙江省丽水市松阳县水南街道要津南路71号】</w:t>
            </w:r>
          </w:p>
          <w:p w14:paraId="2EEE14A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191ED1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21.企业名称：【浙江景宁农村商业银行股份有限公司】</w:t>
            </w:r>
          </w:p>
          <w:p w14:paraId="5DC5C49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统一社会信用代码：【91331127704796094T】</w:t>
            </w:r>
          </w:p>
          <w:p w14:paraId="3899652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住所：【浙江省丽水市景宁畲族自治县红星街道人民中路201号】</w:t>
            </w:r>
          </w:p>
          <w:p w14:paraId="45C90EB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87A0DA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22.企业名称：【浙江台州椒江农村商业银行股份有限公司】</w:t>
            </w:r>
          </w:p>
          <w:p w14:paraId="1EA4AD3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统一社会信用代码：【913310021482768636】</w:t>
            </w:r>
          </w:p>
          <w:p w14:paraId="55C46DE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住所：【浙江省台州市椒江区工人东路322号】</w:t>
            </w:r>
          </w:p>
          <w:p w14:paraId="03F399D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C1E751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23.企业名称：【浙江台州黄岩农村商业银行股份有限公司】</w:t>
            </w:r>
          </w:p>
          <w:p w14:paraId="4C21FF8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统一社会信用代码：【91331003770736460B】</w:t>
            </w:r>
          </w:p>
          <w:p w14:paraId="767A8B8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住所：【浙江省台州市黄岩区洞天路88号】</w:t>
            </w:r>
          </w:p>
          <w:p w14:paraId="4CEBEB1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AEB83C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24.企业名称：【浙江台州路桥农村商业银行股份有限公司】</w:t>
            </w:r>
          </w:p>
          <w:p w14:paraId="235B555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统一社会信用代码：【91331004771942717H】</w:t>
            </w:r>
          </w:p>
          <w:p w14:paraId="22F0F50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住所：【浙江省台州市路桥区西路桥大道328号】</w:t>
            </w:r>
          </w:p>
          <w:p w14:paraId="19425E7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80E646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25.企业名称：【浙江温岭农村商业银行股份有限公司】</w:t>
            </w:r>
          </w:p>
          <w:p w14:paraId="208B074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统一社会信用代码：【913310001489096329】</w:t>
            </w:r>
          </w:p>
          <w:p w14:paraId="71C783B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住所：【浙江省台州市温岭市城东街道下保路100号】</w:t>
            </w:r>
          </w:p>
          <w:p w14:paraId="586876A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C5FA1A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26.企业名称：【浙江天台农村商业银行股份有限公司】</w:t>
            </w:r>
          </w:p>
          <w:p w14:paraId="564599B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统一社会信用代码：【91331000148073695C】</w:t>
            </w:r>
          </w:p>
          <w:p w14:paraId="2C1DEB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住所：【浙江省天台县赤城街道飞鹤路358号】</w:t>
            </w:r>
          </w:p>
          <w:p w14:paraId="47A9AF4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951797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27.企业名称：【浙江三门农村商业银行股份有限公司】</w:t>
            </w:r>
          </w:p>
          <w:p w14:paraId="39C3499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统一社会信用代码：【91331022774367359X】</w:t>
            </w:r>
          </w:p>
          <w:p w14:paraId="756D14C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住所：【浙江省三门县海游街道上洋路68号】</w:t>
            </w:r>
          </w:p>
          <w:p w14:paraId="34379A4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941B13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28.企业名称：【浙江舟山定海海洋农村商业银行股份有限公司】</w:t>
            </w:r>
          </w:p>
          <w:p w14:paraId="5C87F1A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统一社会信用代码：【91330900148740320U】</w:t>
            </w:r>
          </w:p>
          <w:p w14:paraId="68E2B2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住所：【浙江省舟山市定海区环城东路81号】</w:t>
            </w:r>
          </w:p>
          <w:p w14:paraId="6A53FBE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BBF8D7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29.企业名称：【浙江舟山普陀农村商业银行股份有限公司】</w:t>
            </w:r>
          </w:p>
          <w:p w14:paraId="18A5781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统一社会信用代码：【913309006831072360】</w:t>
            </w:r>
          </w:p>
          <w:p w14:paraId="38EB06A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住所：【浙江省舟山市普陀区东港街道麒麟街225号（自贸试验区内）】</w:t>
            </w:r>
          </w:p>
          <w:p w14:paraId="6B2E26C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C34F15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30.企业名称：【湖州吴兴农村商业银行股份有限公司】</w:t>
            </w:r>
          </w:p>
          <w:p w14:paraId="7E2484B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统一社会信用代码：【913305007782713708】</w:t>
            </w:r>
          </w:p>
          <w:p w14:paraId="1980C86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住所：【浙江省湖州市东街55号】</w:t>
            </w:r>
          </w:p>
          <w:p w14:paraId="7C0CC55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35C19C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31.企业名称：【浙江临安农村商业银行股份有限公司】</w:t>
            </w:r>
          </w:p>
          <w:p w14:paraId="4409663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统一社会信用代码：【913301851437582064】</w:t>
            </w:r>
          </w:p>
          <w:p w14:paraId="53AEF02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住所：【浙江省杭州市临安区锦城街道城中街442号】</w:t>
            </w:r>
          </w:p>
          <w:p w14:paraId="4F5F6FB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3613DD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32.企业名称：【浙江淳安农村商业银行股份有限公司】</w:t>
            </w:r>
          </w:p>
          <w:p w14:paraId="62CB5B0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统一社会信用代码：【9133012714400940XB】</w:t>
            </w:r>
          </w:p>
          <w:p w14:paraId="558C24C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住所：【浙江省杭州市淳安县千岛湖镇环湖北路369号】</w:t>
            </w:r>
          </w:p>
          <w:p w14:paraId="4AD8F02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8DCBE9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33.企业名称：【宁波北仑农村商业银行股份有限公司】</w:t>
            </w:r>
          </w:p>
          <w:p w14:paraId="58CEAB0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统一社会信用代码：【91330206144292356K】</w:t>
            </w:r>
          </w:p>
          <w:p w14:paraId="368F8FF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住所：【浙江省宁波市北仑区新碶宝山路69号（凤凰国际商务广场）1幢69号、63号（凤凰国际商务广场）1幢（2-26层）】</w:t>
            </w:r>
          </w:p>
          <w:p w14:paraId="3724C92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45C805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34.企业名称：【宁波奉化农村商业银行股份有限公司】</w:t>
            </w:r>
          </w:p>
          <w:p w14:paraId="4AC9281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统一社会信用代码：【913302001448601066】</w:t>
            </w:r>
          </w:p>
          <w:p w14:paraId="56EEE46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住所：【浙江省宁波市奉化区锦屏街道中山路27号】</w:t>
            </w:r>
          </w:p>
          <w:p w14:paraId="22E48B9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E201FA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35.企业名称：【宁波镇海农村商业银行股份有限公司】</w:t>
            </w:r>
          </w:p>
          <w:p w14:paraId="432FDD6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统一社会信用代码：【91330200717212676J】</w:t>
            </w:r>
          </w:p>
          <w:p w14:paraId="0729F32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住所：【宁波市镇海区骆驼街道镇海大道中段788号】</w:t>
            </w:r>
          </w:p>
          <w:p w14:paraId="7011EC7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B44C9F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36.企业名称：【宁波宁海农村商业银行股份有限公司】</w:t>
            </w:r>
          </w:p>
          <w:p w14:paraId="5AE8451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统一社会信用代码：【91330200144938786M】</w:t>
            </w:r>
          </w:p>
          <w:p w14:paraId="19BA313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住所：【宁海县跃龙街道学勉路1号（金融中心）】</w:t>
            </w:r>
          </w:p>
          <w:p w14:paraId="1BDBB31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0ABF0B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37.企业名称：【宁波甬城农村商业银行股份有限公司】</w:t>
            </w:r>
          </w:p>
          <w:p w14:paraId="53A86C9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统一社会信用代码：【91330205704848042N】</w:t>
            </w:r>
          </w:p>
          <w:p w14:paraId="5571623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住所：【浙江省宁波市江北区育才路15、17号】</w:t>
            </w:r>
          </w:p>
          <w:p w14:paraId="2C964DD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78ACBD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38.企业名称：【浙江永嘉农村商业银行股份有限公司】</w:t>
            </w:r>
          </w:p>
          <w:p w14:paraId="4F52103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统一社会信用代码：【91330300693852088P】</w:t>
            </w:r>
          </w:p>
          <w:p w14:paraId="6F38C92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住所：【浙江省温州市永嘉县瓯北街道阳光大道3918号101室、201室、301室、401室、501室、1101室、1801室、2201室】</w:t>
            </w:r>
          </w:p>
          <w:p w14:paraId="7B2A3CA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077334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39.企业名称：【浙江平阳农村商业银行股份有限公司】</w:t>
            </w:r>
          </w:p>
          <w:p w14:paraId="15ED1AF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统一社会信用代码：【91330300778260532C】</w:t>
            </w:r>
          </w:p>
          <w:p w14:paraId="2B33D21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住所：【浙江省平阳县鳌江镇车站大道999号】</w:t>
            </w:r>
          </w:p>
          <w:p w14:paraId="11B35BA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070B29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40.企业名称：【浙江嘉善农村商业银行股份有限公司】</w:t>
            </w:r>
          </w:p>
          <w:p w14:paraId="160947C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统一社会信用代码：【91330400146600914H】</w:t>
            </w:r>
          </w:p>
          <w:p w14:paraId="56C0EF1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住所：【浙江省嘉兴市嘉善县罗星街道车站南路999号】</w:t>
            </w:r>
          </w:p>
          <w:p w14:paraId="47B21B4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E73DE5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41.企业名称：【浙江平湖农村商业银行股份有限公司】</w:t>
            </w:r>
          </w:p>
          <w:p w14:paraId="50349CD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统一社会信用代码：【913304821466775403】</w:t>
            </w:r>
          </w:p>
          <w:p w14:paraId="4C237B7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住所：【浙江省平湖市当湖街道胜利路518号】</w:t>
            </w:r>
          </w:p>
          <w:p w14:paraId="6746C57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A8D477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42.企业名称：【浙江海宁农村商业银行股份有限公司】</w:t>
            </w:r>
          </w:p>
          <w:p w14:paraId="1896143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统一社会信用代码：【91330400146707324M】</w:t>
            </w:r>
          </w:p>
          <w:p w14:paraId="191DA46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住所：【浙江省海宁市海洲街道钱江西路278号】</w:t>
            </w:r>
          </w:p>
          <w:p w14:paraId="1D0C826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44F5A0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43.企业名称：【浙江海盐农村商业银行股份有限公司】</w:t>
            </w:r>
          </w:p>
          <w:p w14:paraId="423CEC8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统一社会信用代码：【91330424254846268L】</w:t>
            </w:r>
          </w:p>
          <w:p w14:paraId="7020707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住所：【浙江省海盐县武原街道枣园西路176号】</w:t>
            </w:r>
          </w:p>
          <w:p w14:paraId="2951BD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DC54C7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44.企业名称：【浙江桐乡农村商业银行股份有限公司】</w:t>
            </w:r>
          </w:p>
          <w:p w14:paraId="07A9436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统一社会信用代码：【91330483146852863F】</w:t>
            </w:r>
          </w:p>
          <w:p w14:paraId="14A86CF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住所：【浙江省嘉兴市桐乡市梧桐街道校场东路59号】</w:t>
            </w:r>
          </w:p>
          <w:p w14:paraId="2EE4CE5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4BCDDD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45.企业名称：【浙江安吉农村商业银行股份有限公司】</w:t>
            </w:r>
          </w:p>
          <w:p w14:paraId="7B08493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统一社会信用代码：【91330500680700499G】</w:t>
            </w:r>
          </w:p>
          <w:p w14:paraId="31C3259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住所：【浙江省湖州市安吉县昌硕街道昌硕东路1号】</w:t>
            </w:r>
          </w:p>
          <w:p w14:paraId="1A75240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FBC39E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46.企业名称：【浙江南浔农村商业银行股份有限公司】</w:t>
            </w:r>
          </w:p>
          <w:p w14:paraId="5498EAB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统一社会信用代码：【913305001470196549】</w:t>
            </w:r>
          </w:p>
          <w:p w14:paraId="68D902D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住所：【浙江省湖州市南浔区南浔镇人瑞路1188号】</w:t>
            </w:r>
          </w:p>
          <w:p w14:paraId="65B4D2B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315E00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47.企业名称：【浙江上虞农村商业银行股份有限公司】</w:t>
            </w:r>
          </w:p>
          <w:p w14:paraId="005DF06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统一社会信用代码：【91330600146116161G】</w:t>
            </w:r>
          </w:p>
          <w:p w14:paraId="470967F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住所：【浙江省百官街道德盛路55号】</w:t>
            </w:r>
          </w:p>
          <w:p w14:paraId="6A8F7A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9F19E4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48.企业名称：【浙江缙云农村商业银行股份有限公司】</w:t>
            </w:r>
          </w:p>
          <w:p w14:paraId="1970FBD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统一社会信用代码：【913311227047843259】</w:t>
            </w:r>
          </w:p>
          <w:p w14:paraId="3C44A6D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住所：【浙江省丽水市缙云县五云镇新区仙都路68号】</w:t>
            </w:r>
          </w:p>
          <w:p w14:paraId="6A2FDA1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AF1018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49.企业名称：【浙江义乌农村商业银行股份有限公司】</w:t>
            </w:r>
          </w:p>
          <w:p w14:paraId="10639C9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统一社会信用代码：【91330782609786576E】</w:t>
            </w:r>
          </w:p>
          <w:p w14:paraId="041BE3F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住所：【浙江省义乌市福田街道城北路677号】</w:t>
            </w:r>
          </w:p>
          <w:p w14:paraId="203F1C3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F9E8BF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50.企业名称：【浙江兰溪农村商业银行股份有限公司】</w:t>
            </w:r>
          </w:p>
          <w:p w14:paraId="396FB07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统一社会信用代码：【91330781147387545R】</w:t>
            </w:r>
          </w:p>
          <w:p w14:paraId="60E0CC3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住所：【浙江省兰溪市兰江街道丹溪大道18号】</w:t>
            </w:r>
          </w:p>
          <w:p w14:paraId="5031CF8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084E67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51.企业名称：【浙江长兴农村商业银行股份有限公司】</w:t>
            </w:r>
          </w:p>
          <w:p w14:paraId="2FACF08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统一社会信用代码：【91330522147148640A】</w:t>
            </w:r>
          </w:p>
          <w:p w14:paraId="3F8A46C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住所：【浙江省湖州市长兴县太湖街道明珠路1298号】</w:t>
            </w:r>
          </w:p>
          <w:p w14:paraId="11BE1B1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0AD147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52.企业名称：【浙江绍兴恒信农村商业银行股份有限公司】</w:t>
            </w:r>
          </w:p>
          <w:p w14:paraId="248FCD0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统一社会信用代码：【9133060271252980XJ】</w:t>
            </w:r>
          </w:p>
          <w:p w14:paraId="7E5BDC5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住所：【浙江省绍兴市中兴中路159号】</w:t>
            </w:r>
          </w:p>
          <w:p w14:paraId="7867D3E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F39658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53.企业名称：【浙江武义农村商业银行股份有限公司】</w:t>
            </w:r>
          </w:p>
          <w:p w14:paraId="14B48EB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统一社会信用代码：【91330723552860156J】</w:t>
            </w:r>
          </w:p>
          <w:p w14:paraId="5B2D64D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住所：【浙江省武义县城武阳中路37号】</w:t>
            </w:r>
          </w:p>
          <w:p w14:paraId="3B75C59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E00A61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54.企业名称：【浙江岱山农村商业银行股份有限公司】</w:t>
            </w:r>
          </w:p>
          <w:p w14:paraId="1A20FA2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统一社会信用代码：【91330921778250107N】</w:t>
            </w:r>
          </w:p>
          <w:p w14:paraId="1AD08C8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住所：【浙江省舟山市岱山县高亭镇衢山大道1009号】</w:t>
            </w:r>
          </w:p>
          <w:p w14:paraId="06B0CAA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369692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55.企业名称：【浙江仙居农村商业银行股份有限公司】</w:t>
            </w:r>
          </w:p>
          <w:p w14:paraId="7CD036D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统一社会信用代码：【91331024148032965W】</w:t>
            </w:r>
          </w:p>
          <w:p w14:paraId="02F8E91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住所：【浙江省仙居县南峰街道穿城中路21号】</w:t>
            </w:r>
          </w:p>
          <w:p w14:paraId="5B3D51F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4A2168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56.企业名称：【浙江玉环农村商业银行股份有限公司】</w:t>
            </w:r>
          </w:p>
          <w:p w14:paraId="72F126C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统一社会信用代码：【91331021704702414T】</w:t>
            </w:r>
          </w:p>
          <w:p w14:paraId="0BF220E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住所：【浙江省玉环市玉城街道珠港大道26号】</w:t>
            </w:r>
          </w:p>
          <w:p w14:paraId="6A3B783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CBBA0C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57.企业名称：【浙江诸暨农村商业银行股份有限公司】</w:t>
            </w:r>
          </w:p>
          <w:p w14:paraId="1DA3C9D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统一社会信用代码：【91330600146217704F】</w:t>
            </w:r>
          </w:p>
          <w:p w14:paraId="7E29528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住所：【浙江省诸暨市暨阳街道大桥东路2号】</w:t>
            </w:r>
          </w:p>
          <w:p w14:paraId="4293F66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999147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58.企业名称：【浙江临海农村商业银行股份有限公司】</w:t>
            </w:r>
          </w:p>
          <w:p w14:paraId="15DFD4B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统一社会信用代码：【91331000147999461D】</w:t>
            </w:r>
          </w:p>
          <w:p w14:paraId="4593F43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住所：【浙江省台州市临海市大洋街道河阳路299号】</w:t>
            </w:r>
          </w:p>
          <w:p w14:paraId="6E1B032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B3F2C4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59.企业名称：【浙江建德农村商业银行股份有限公司】</w:t>
            </w:r>
          </w:p>
          <w:p w14:paraId="74742D8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统一社会信用代码：【9133018270429246XA】</w:t>
            </w:r>
          </w:p>
          <w:p w14:paraId="5B326AE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住所：【浙江省建德市新安江街道江滨中路176号】</w:t>
            </w:r>
          </w:p>
          <w:p w14:paraId="7230C96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8EDEB7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60.企业名称：【浙江文成农村商业银行股份有限公司】</w:t>
            </w:r>
          </w:p>
          <w:p w14:paraId="794B7E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统一社会信用代码：【91330328145827746X】</w:t>
            </w:r>
          </w:p>
          <w:p w14:paraId="037354F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住所：【浙江省温州市文成县大峃镇伯温路6号】</w:t>
            </w:r>
          </w:p>
          <w:p w14:paraId="66CA063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7891F0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61.企业名称：【浙江萧山农村商业银行股份有限公司】</w:t>
            </w:r>
          </w:p>
          <w:p w14:paraId="4E74A00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统一社会信用代码：【91330100143568234F】</w:t>
            </w:r>
          </w:p>
          <w:p w14:paraId="57AA5CE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住所：【浙江省杭州市萧山区人民路258号】</w:t>
            </w:r>
          </w:p>
          <w:p w14:paraId="06FDEB7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1AB68E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62.企业名称：【浙江乐清农村商业银行股份有限公司】</w:t>
            </w:r>
          </w:p>
          <w:p w14:paraId="10A0F83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统一社会信用代码：【91330300712576278B】</w:t>
            </w:r>
          </w:p>
          <w:p w14:paraId="05ACBCD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住所：【乐清市城南街道伯乐西路99号】</w:t>
            </w:r>
          </w:p>
          <w:p w14:paraId="289175A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B68A3F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63.企业名称：【宁波余姚农村商业银行股份有限公司】</w:t>
            </w:r>
          </w:p>
          <w:p w14:paraId="4C70E0D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统一社会信用代码：【91330281768530578N】</w:t>
            </w:r>
          </w:p>
          <w:p w14:paraId="079A951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住所：【余姚市新建路69号】</w:t>
            </w:r>
          </w:p>
          <w:p w14:paraId="3DDCB8A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DEC626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64.企业名称：【浙江桐庐农村商业银行股份有限公司】</w:t>
            </w:r>
          </w:p>
          <w:p w14:paraId="08BAAB6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统一社会信用代码：【913301228436000474】</w:t>
            </w:r>
          </w:p>
          <w:p w14:paraId="660BD94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住所：【浙江省杭州市桐庐县城迎春南路278号】</w:t>
            </w:r>
          </w:p>
          <w:p w14:paraId="3C0EE31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F8DDC8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65.企业名称：【杭州联合农村商业银行股份有限公司】</w:t>
            </w:r>
          </w:p>
          <w:p w14:paraId="7B164B9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统一社会信用代码：【91330100773585469H】</w:t>
            </w:r>
          </w:p>
          <w:p w14:paraId="22AD474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住所：【浙江省杭州市上城区建国中路99号】</w:t>
            </w:r>
          </w:p>
          <w:p w14:paraId="786034F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181862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66.企业名称：【浙江温州鹿城农村商业银行股份有限公司】</w:t>
            </w:r>
          </w:p>
          <w:p w14:paraId="24ADE55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统一社会信用代码：【91330300777212117L】</w:t>
            </w:r>
          </w:p>
          <w:p w14:paraId="44D0873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住所：【浙江省温州市鹿城区会展路1500号富银大厦】</w:t>
            </w:r>
          </w:p>
          <w:p w14:paraId="3538558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A445BA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67.企业名称：【浙江绍兴瑞丰农村商业银行股份有限公司】</w:t>
            </w:r>
          </w:p>
          <w:p w14:paraId="60B436B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统一社会信用代码：【91330600145965997H】</w:t>
            </w:r>
          </w:p>
          <w:p w14:paraId="0B352C1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住所：【浙江省绍兴市柯桥区柯桥笛扬路1363号】</w:t>
            </w:r>
          </w:p>
          <w:p w14:paraId="613CDAC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0C1600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68.企业名称：【浙江禾城农村商业银行股份有限公司】</w:t>
            </w:r>
          </w:p>
          <w:p w14:paraId="1904766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统一社会信用代码：【91330400146466356E】</w:t>
            </w:r>
          </w:p>
          <w:p w14:paraId="75FBF06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住所：【浙江省嘉兴市经济技术开发区文昌路 1229 号】</w:t>
            </w:r>
          </w:p>
          <w:p w14:paraId="5ECF7E8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A9AC30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w:t>
            </w:r>
            <w:r>
              <w:rPr>
                <w:rFonts w:ascii="楷体_GB2312" w:eastAsia="楷体_GB2312" w:cs="楷体_GB2312"/>
                <w:sz w:val="20"/>
                <w:szCs w:val="20"/>
              </w:rPr>
              <w:t>9.</w:t>
            </w:r>
            <w:r>
              <w:rPr>
                <w:rFonts w:hint="eastAsia" w:ascii="楷体_GB2312" w:eastAsia="楷体_GB2312" w:cs="楷体_GB2312"/>
                <w:sz w:val="20"/>
                <w:szCs w:val="20"/>
              </w:rPr>
              <w:t>企业名称：【浙江泰顺农村商业银行股份有限公司】</w:t>
            </w:r>
          </w:p>
          <w:p w14:paraId="06D08FD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统一社会信用代码：【913303297043793629】</w:t>
            </w:r>
          </w:p>
          <w:p w14:paraId="1D90F3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住所：【浙江省温州市泰顺县罗阳镇新城区文祥大道181号】</w:t>
            </w:r>
          </w:p>
          <w:p w14:paraId="7C721A2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6E6736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0.</w:t>
            </w:r>
            <w:r>
              <w:rPr>
                <w:rFonts w:hint="eastAsia" w:ascii="楷体_GB2312" w:eastAsia="楷体_GB2312" w:cs="楷体_GB2312"/>
                <w:sz w:val="20"/>
                <w:szCs w:val="20"/>
              </w:rPr>
              <w:t>企业名称：【浙江嵊州农村商业银行股份有限公司】</w:t>
            </w:r>
          </w:p>
          <w:p w14:paraId="521167D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统一社会信用代码：【91330683146384641Y】</w:t>
            </w:r>
          </w:p>
          <w:p w14:paraId="28006EE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住所：【浙江省嵊州市剡湖街道官河路398号】</w:t>
            </w:r>
          </w:p>
          <w:p w14:paraId="1E71D68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13BC3A1">
            <w:pPr>
              <w:spacing w:line="300" w:lineRule="atLeast"/>
              <w:ind w:left="-2" w:right="31"/>
              <w:rPr>
                <w:rFonts w:ascii="楷体_GB2312" w:eastAsia="楷体_GB2312" w:cs="楷体_GB2312"/>
                <w:sz w:val="20"/>
                <w:szCs w:val="20"/>
              </w:rPr>
            </w:pPr>
            <w:r>
              <w:rPr>
                <w:rFonts w:ascii="楷体_GB2312" w:eastAsia="楷体_GB2312" w:cs="楷体_GB2312"/>
                <w:sz w:val="20"/>
                <w:szCs w:val="20"/>
              </w:rPr>
              <w:t>71.</w:t>
            </w:r>
            <w:r>
              <w:rPr>
                <w:rFonts w:hint="eastAsia" w:ascii="楷体_GB2312" w:eastAsia="楷体_GB2312" w:cs="楷体_GB2312"/>
                <w:sz w:val="20"/>
                <w:szCs w:val="20"/>
              </w:rPr>
              <w:t>企业名称：【浙江庆元农村商业银行股份有限公司】</w:t>
            </w:r>
          </w:p>
          <w:p w14:paraId="6E4C3CB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统一社会信用代码：【91331126609962015U】</w:t>
            </w:r>
          </w:p>
          <w:p w14:paraId="643D151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住所：【浙江省丽水市庆元县濛洲街道云鹤路3号】</w:t>
            </w:r>
          </w:p>
          <w:p w14:paraId="3371094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EDC1BB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2.</w:t>
            </w:r>
            <w:r>
              <w:rPr>
                <w:rFonts w:hint="eastAsia" w:ascii="楷体_GB2312" w:eastAsia="楷体_GB2312" w:cs="楷体_GB2312"/>
                <w:sz w:val="20"/>
                <w:szCs w:val="20"/>
              </w:rPr>
              <w:t>企业名称：【浙江温州瓯海农村商业银行股份有限公司】</w:t>
            </w:r>
          </w:p>
          <w:p w14:paraId="6BB7887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统一社会信用代码：【91330300776489333D】</w:t>
            </w:r>
          </w:p>
          <w:p w14:paraId="45ED1A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住所：【浙江省温州市瓯海区瓯海大道989号】</w:t>
            </w:r>
          </w:p>
          <w:p w14:paraId="4ECBDA9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7A441C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3.</w:t>
            </w:r>
            <w:r>
              <w:rPr>
                <w:rFonts w:hint="eastAsia" w:ascii="楷体_GB2312" w:eastAsia="楷体_GB2312" w:cs="楷体_GB2312"/>
                <w:sz w:val="20"/>
                <w:szCs w:val="20"/>
              </w:rPr>
              <w:t>企业名称：【浙江云和农村商业银行股份有限公司】</w:t>
            </w:r>
          </w:p>
          <w:p w14:paraId="59A65B6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统一社会信用代码：【9133112514848825XE】</w:t>
            </w:r>
          </w:p>
          <w:p w14:paraId="278F3FA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住所：【浙江省丽水市云和县浮云街道新建路72号】</w:t>
            </w:r>
          </w:p>
          <w:p w14:paraId="341902C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15CAE8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4.</w:t>
            </w:r>
            <w:r>
              <w:rPr>
                <w:rFonts w:hint="eastAsia" w:ascii="楷体_GB2312" w:eastAsia="楷体_GB2312" w:cs="楷体_GB2312"/>
                <w:sz w:val="20"/>
                <w:szCs w:val="20"/>
              </w:rPr>
              <w:t>企业名称：【宁波慈溪农村商业银行股份有限公司】</w:t>
            </w:r>
          </w:p>
          <w:p w14:paraId="00E4F37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统一社会信用代码：【91330200144756720Q】</w:t>
            </w:r>
          </w:p>
          <w:p w14:paraId="0632F50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住所：【浙江省慈溪市浒山街道南城路25号、59号5-6楼】</w:t>
            </w:r>
          </w:p>
          <w:p w14:paraId="4BC6167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BAED2A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5</w:t>
            </w:r>
            <w:r>
              <w:rPr>
                <w:rFonts w:hint="eastAsia" w:ascii="楷体_GB2312" w:eastAsia="楷体_GB2312" w:cs="楷体_GB2312"/>
                <w:sz w:val="20"/>
                <w:szCs w:val="20"/>
              </w:rPr>
              <w:t>.企业名称：【浙江温州龙湾农村商业银行股份有限公司 】</w:t>
            </w:r>
          </w:p>
          <w:p w14:paraId="2143F8D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统一社会信用代码：【913303007772078015】</w:t>
            </w:r>
          </w:p>
          <w:p w14:paraId="554B49A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住所：【浙江省温州市龙湾区永中街道永宁西路555号】</w:t>
            </w:r>
          </w:p>
          <w:p w14:paraId="259D195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5B8B105">
            <w:pPr>
              <w:spacing w:line="300" w:lineRule="atLeast"/>
              <w:ind w:left="-2" w:right="31"/>
              <w:rPr>
                <w:rFonts w:ascii="楷体_GB2312" w:eastAsia="楷体_GB2312" w:cs="楷体_GB2312"/>
                <w:sz w:val="20"/>
                <w:szCs w:val="20"/>
              </w:rPr>
            </w:pPr>
            <w:r>
              <w:rPr>
                <w:rFonts w:ascii="楷体_GB2312" w:eastAsia="楷体_GB2312" w:cs="楷体_GB2312"/>
                <w:sz w:val="20"/>
                <w:szCs w:val="20"/>
              </w:rPr>
              <w:t>76</w:t>
            </w:r>
            <w:r>
              <w:rPr>
                <w:rFonts w:hint="eastAsia" w:ascii="楷体_GB2312" w:eastAsia="楷体_GB2312" w:cs="楷体_GB2312"/>
                <w:sz w:val="20"/>
                <w:szCs w:val="20"/>
              </w:rPr>
              <w:t>.企业名称：【浙江苍南农村商业银行股份有限公司】</w:t>
            </w:r>
          </w:p>
          <w:p w14:paraId="4521E0B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统一社会信用代码：【913303007043722167】</w:t>
            </w:r>
          </w:p>
          <w:p w14:paraId="7EEECDC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住所：【浙江省苍南县灵溪镇人民大道425号】</w:t>
            </w:r>
          </w:p>
          <w:p w14:paraId="473012C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4344B10">
            <w:pPr>
              <w:spacing w:line="300" w:lineRule="atLeast"/>
              <w:ind w:left="-2" w:right="31"/>
              <w:rPr>
                <w:rFonts w:ascii="楷体_GB2312" w:eastAsia="楷体_GB2312" w:cs="楷体_GB2312"/>
                <w:sz w:val="20"/>
                <w:szCs w:val="20"/>
              </w:rPr>
            </w:pPr>
            <w:r>
              <w:rPr>
                <w:rFonts w:ascii="楷体_GB2312" w:eastAsia="楷体_GB2312" w:cs="楷体_GB2312"/>
                <w:sz w:val="20"/>
                <w:szCs w:val="20"/>
              </w:rPr>
              <w:t>77</w:t>
            </w:r>
            <w:r>
              <w:rPr>
                <w:rFonts w:hint="eastAsia" w:ascii="楷体_GB2312" w:eastAsia="楷体_GB2312" w:cs="楷体_GB2312"/>
                <w:sz w:val="20"/>
                <w:szCs w:val="20"/>
              </w:rPr>
              <w:t>.企业名称：【浙江嵊泗农村商业银行股份有限公司】</w:t>
            </w:r>
          </w:p>
          <w:p w14:paraId="555787E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统一社会信用代码：【9133092270466354XL】</w:t>
            </w:r>
          </w:p>
          <w:p w14:paraId="7CE882E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住所：【浙江省嵊泗县菜园镇沙河路110号】</w:t>
            </w:r>
          </w:p>
          <w:p w14:paraId="1EF9A58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客户服务热线：【400-88-96596】</w:t>
            </w:r>
          </w:p>
          <w:p w14:paraId="38CD16FC">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78.企业名称：【宁波鄞州农村商业银行股份有限公司】</w:t>
            </w:r>
          </w:p>
          <w:p w14:paraId="28015A9E">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91330212144417235R】</w:t>
            </w:r>
          </w:p>
          <w:p w14:paraId="414E88E2">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住所：【浙江省宁波市鄞州区民惠西路</w:t>
            </w:r>
            <w:r>
              <w:rPr>
                <w:rFonts w:ascii="楷体_GB2312" w:eastAsia="楷体_GB2312" w:cs="楷体_GB2312"/>
                <w:color w:val="000000" w:themeColor="text1"/>
                <w:sz w:val="20"/>
                <w:szCs w:val="20"/>
                <w14:textFill>
                  <w14:solidFill>
                    <w14:schemeClr w14:val="tx1"/>
                  </w14:solidFill>
                </w14:textFill>
              </w:rPr>
              <w:t xml:space="preserve"> 88 号】</w:t>
            </w:r>
          </w:p>
          <w:p w14:paraId="7524D5A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956058】</w:t>
            </w:r>
          </w:p>
          <w:p w14:paraId="6866CCA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6D039662">
            <w:pPr>
              <w:spacing w:line="300" w:lineRule="atLeast"/>
              <w:ind w:right="31"/>
              <w:rPr>
                <w:rFonts w:ascii="楷体_GB2312" w:eastAsia="楷体_GB2312" w:cs="楷体_GB2312"/>
                <w:sz w:val="20"/>
                <w:szCs w:val="20"/>
              </w:rPr>
            </w:pPr>
            <w:r>
              <w:rPr>
                <w:rFonts w:hint="eastAsia" w:ascii="楷体_GB2312" w:eastAsia="楷体_GB2312" w:cs="楷体_GB2312"/>
                <w:sz w:val="20"/>
                <w:szCs w:val="20"/>
                <w:lang w:val="en-US" w:eastAsia="zh-CN"/>
              </w:rPr>
              <w:t>M</w:t>
            </w:r>
            <w:r>
              <w:rPr>
                <w:rFonts w:ascii="楷体_GB2312" w:eastAsia="楷体_GB2312" w:cs="楷体_GB2312"/>
                <w:sz w:val="20"/>
                <w:szCs w:val="20"/>
              </w:rPr>
              <w:t>类份额（份额代码【</w:t>
            </w:r>
            <w:r>
              <w:rPr>
                <w:rFonts w:hint="eastAsia" w:ascii="楷体_GB2312" w:eastAsia="楷体_GB2312" w:cs="楷体_GB2312"/>
                <w:sz w:val="20"/>
                <w:szCs w:val="20"/>
                <w:lang w:eastAsia="zh-CN"/>
              </w:rPr>
              <w:t>AF251852</w:t>
            </w:r>
            <w:r>
              <w:rPr>
                <w:rFonts w:hint="eastAsia" w:ascii="楷体_GB2312" w:eastAsia="楷体_GB2312" w:cs="楷体_GB2312"/>
                <w:sz w:val="20"/>
                <w:szCs w:val="20"/>
                <w:lang w:val="en-US" w:eastAsia="zh-CN"/>
              </w:rPr>
              <w:t>M</w:t>
            </w:r>
            <w:r>
              <w:rPr>
                <w:rFonts w:ascii="楷体_GB2312" w:eastAsia="楷体_GB2312" w:cs="楷体_GB2312"/>
                <w:sz w:val="20"/>
                <w:szCs w:val="20"/>
              </w:rPr>
              <w:t>】）</w:t>
            </w:r>
            <w:r>
              <w:rPr>
                <w:rFonts w:hint="eastAsia" w:ascii="楷体_GB2312" w:eastAsia="楷体_GB2312" w:cs="楷体_GB2312"/>
                <w:sz w:val="20"/>
                <w:szCs w:val="20"/>
              </w:rPr>
              <w:t>合作</w:t>
            </w:r>
            <w:r>
              <w:rPr>
                <w:rFonts w:ascii="楷体_GB2312" w:eastAsia="楷体_GB2312" w:cs="楷体_GB2312"/>
                <w:sz w:val="20"/>
                <w:szCs w:val="20"/>
              </w:rPr>
              <w:t>销售机构信息</w:t>
            </w:r>
            <w:r>
              <w:rPr>
                <w:rFonts w:hint="eastAsia" w:ascii="楷体_GB2312" w:eastAsia="楷体_GB2312" w:cs="楷体_GB2312"/>
                <w:sz w:val="20"/>
                <w:szCs w:val="20"/>
                <w:lang w:eastAsia="zh-CN"/>
              </w:rPr>
              <w:t>（</w:t>
            </w:r>
            <w:r>
              <w:rPr>
                <w:rFonts w:hint="eastAsia" w:ascii="楷体_GB2312" w:eastAsia="楷体_GB2312" w:cs="楷体_GB2312"/>
                <w:sz w:val="20"/>
                <w:szCs w:val="20"/>
                <w:lang w:val="en-US" w:eastAsia="zh-CN"/>
              </w:rPr>
              <w:t>销售简称：安盈象固收稳健温暖童行丰收封闭2号M（慈善））</w:t>
            </w:r>
            <w:r>
              <w:rPr>
                <w:rFonts w:ascii="楷体_GB2312" w:eastAsia="楷体_GB2312" w:cs="楷体_GB2312"/>
                <w:sz w:val="20"/>
                <w:szCs w:val="20"/>
              </w:rPr>
              <w:t>：</w:t>
            </w:r>
          </w:p>
          <w:p w14:paraId="463D6D2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1.企业名称：【浙江新昌农村商业银行股份有限公司】</w:t>
            </w:r>
          </w:p>
          <w:p w14:paraId="3B76A59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统一社会信用代码：【913306007707448740】</w:t>
            </w:r>
          </w:p>
          <w:p w14:paraId="238D780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住所：【浙江省新昌县七星街道七星路18号】</w:t>
            </w:r>
          </w:p>
          <w:p w14:paraId="242D777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3F71A2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2.企业名称：【浙江杭州余杭农村商业银行股份有限公司】</w:t>
            </w:r>
          </w:p>
          <w:p w14:paraId="6F483FC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统一社会信用代码：【9133010014387221XY】</w:t>
            </w:r>
          </w:p>
          <w:p w14:paraId="51D4B2A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住所：【浙江省杭州市临平区南苑街道南大街72号】</w:t>
            </w:r>
          </w:p>
          <w:p w14:paraId="7A86373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B2E220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3.企业名称：【浙江德清农村商业银行股份有限公司】</w:t>
            </w:r>
          </w:p>
          <w:p w14:paraId="42C0E7C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统一社会信用代码：【9133050076962455XQ】</w:t>
            </w:r>
          </w:p>
          <w:p w14:paraId="19BDDE0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住所：【浙江省德清县武康街道沈长圩街50号】</w:t>
            </w:r>
          </w:p>
          <w:p w14:paraId="6E30415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DEA1DA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4.企业名称：【浙江瑞安农村商业银行股份有限公司】</w:t>
            </w:r>
          </w:p>
          <w:p w14:paraId="6C70ABC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统一社会信用代码：【91330300773121154L】</w:t>
            </w:r>
          </w:p>
          <w:p w14:paraId="38F6FC9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住所：【瑞安市安阳街道万松东路148号】</w:t>
            </w:r>
          </w:p>
          <w:p w14:paraId="722FFFC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A294D3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5.企业名称：【浙江富阳农村商业银行股份有限公司】</w:t>
            </w:r>
          </w:p>
          <w:p w14:paraId="7BF5F4D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统一社会信用代码：【91330100YA3600224E】</w:t>
            </w:r>
          </w:p>
          <w:p w14:paraId="76CAC52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住所：【浙江省杭州市富阳区鹿山街道依江路501号第1幢】</w:t>
            </w:r>
          </w:p>
          <w:p w14:paraId="2F1F0FA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D248B8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6.企业名称：【浙江金华成泰农村商业银行股份有限公司】</w:t>
            </w:r>
          </w:p>
          <w:p w14:paraId="577C329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统一社会信用代码：【91330700685598446M】</w:t>
            </w:r>
          </w:p>
          <w:p w14:paraId="617EC02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住所：【浙江省金华市八一南街123号】</w:t>
            </w:r>
          </w:p>
          <w:p w14:paraId="1F37B33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4DAEFE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7.企业名称：【浙江永康农村商业银行股份有限公司】</w:t>
            </w:r>
          </w:p>
          <w:p w14:paraId="5AE5E69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统一社会信用代码：【91330700563336405G】</w:t>
            </w:r>
          </w:p>
          <w:p w14:paraId="51E4171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住所：【浙江省金华市永康市九铃东路3259号】</w:t>
            </w:r>
          </w:p>
          <w:p w14:paraId="36E1B00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94C1EC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8.企业名称：【浙江东阳农村商业银行股份有限公司】</w:t>
            </w:r>
          </w:p>
          <w:p w14:paraId="735D2FF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统一社会信用代码：【91330700147546390Q】</w:t>
            </w:r>
          </w:p>
          <w:p w14:paraId="2D79DAD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住所：【东阳市双岘路18号】</w:t>
            </w:r>
          </w:p>
          <w:p w14:paraId="6E6BFAF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3E6DBA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9.企业名称：【浙江浦江农村商业银行股份有限公司】</w:t>
            </w:r>
          </w:p>
          <w:p w14:paraId="11E8358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统一社会信用代码：【913307261476928819】</w:t>
            </w:r>
          </w:p>
          <w:p w14:paraId="5A970FA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住所：【浙江省浦江县人民东路90号】</w:t>
            </w:r>
          </w:p>
          <w:p w14:paraId="119E6DE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19B497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10.企业名称：【浙江衢州柯城农村商业银行股份有限公司】</w:t>
            </w:r>
          </w:p>
          <w:p w14:paraId="330B30E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统一社会信用代码：【913308001477477826】</w:t>
            </w:r>
          </w:p>
          <w:p w14:paraId="4E5046B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住所：【浙江省上街92号】</w:t>
            </w:r>
          </w:p>
          <w:p w14:paraId="2C49AE9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3671E7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11.企业名称：【浙江衢州衢江农村商业银行股份有限公司】</w:t>
            </w:r>
          </w:p>
          <w:p w14:paraId="5A7B7EC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统一社会信用代码：【91330800147752</w:t>
            </w:r>
            <w:r>
              <w:rPr>
                <w:rFonts w:ascii="楷体_GB2312" w:eastAsia="楷体_GB2312" w:cs="楷体_GB2312"/>
                <w:sz w:val="20"/>
                <w:szCs w:val="20"/>
              </w:rPr>
              <w:t>81</w:t>
            </w:r>
            <w:r>
              <w:rPr>
                <w:rFonts w:hint="eastAsia" w:ascii="楷体_GB2312" w:eastAsia="楷体_GB2312" w:cs="楷体_GB2312"/>
                <w:sz w:val="20"/>
                <w:szCs w:val="20"/>
              </w:rPr>
              <w:t>3B】</w:t>
            </w:r>
          </w:p>
          <w:p w14:paraId="661B6C2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住所：【浙江省衢州市衢江区樟潭街道信安东路37号】</w:t>
            </w:r>
          </w:p>
          <w:p w14:paraId="289C727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B21650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12.企业名称：【浙江龙游农村商业银行股份有限公司】</w:t>
            </w:r>
          </w:p>
          <w:p w14:paraId="6483C82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统一社会信用代码：【91330825769632509M】</w:t>
            </w:r>
          </w:p>
          <w:p w14:paraId="76DD917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住所：【浙江省衢州市龙游县龙洲街道荣昌大道683、685、687号】</w:t>
            </w:r>
          </w:p>
          <w:p w14:paraId="118AB1A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456E65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13.企业名称：【浙江江山农村商业银行股份有限公司】</w:t>
            </w:r>
          </w:p>
          <w:p w14:paraId="171E1D8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统一社会信用代码：【913308001478831865】</w:t>
            </w:r>
          </w:p>
          <w:p w14:paraId="7CAFF11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住所：【浙江省江山市双塔街道江滨路188号】</w:t>
            </w:r>
          </w:p>
          <w:p w14:paraId="721AEFB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E686EB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14.企业名称：【浙江常山农村商业银行股份有限公司】</w:t>
            </w:r>
          </w:p>
          <w:p w14:paraId="4174354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统一社会信用代码：【91330822147845315H】</w:t>
            </w:r>
          </w:p>
          <w:p w14:paraId="0FCA4C8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住所：【浙江省衢州市常山县天马街道人民路125号】</w:t>
            </w:r>
          </w:p>
          <w:p w14:paraId="2911C6F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FA8D89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15.企业名称：【浙江开化农村商业银行股份有限公司】</w:t>
            </w:r>
          </w:p>
          <w:p w14:paraId="3D81A87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统一社会信用代码：【913308241479259480】</w:t>
            </w:r>
          </w:p>
          <w:p w14:paraId="781F36C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住所：【浙江省衢州市开化县华埠镇永吉二路8号】</w:t>
            </w:r>
          </w:p>
          <w:p w14:paraId="707F732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C8A3B4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16.企业名称：【浙江丽水莲都农村商业银行股份有限公司】</w:t>
            </w:r>
          </w:p>
          <w:p w14:paraId="01270EC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统一社会信用代码：【91331100148440061D】</w:t>
            </w:r>
          </w:p>
          <w:p w14:paraId="2DB0B1E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住所：【浙江丽水市解放街438号】</w:t>
            </w:r>
          </w:p>
          <w:p w14:paraId="1D9DFD1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57B6D3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17.企业名称：【浙江青田农村商业银行股份有限公司】</w:t>
            </w:r>
          </w:p>
          <w:p w14:paraId="671AB7A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统一社会信用代码：【913311007757320399】</w:t>
            </w:r>
          </w:p>
          <w:p w14:paraId="16FBDF6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住所：【浙江省青田县鹤城街道鹤城东路180号】</w:t>
            </w:r>
          </w:p>
          <w:p w14:paraId="22ACCB2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24A57D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18.企业名称：【浙江龙泉农村商业银行股份有限公司】</w:t>
            </w:r>
          </w:p>
          <w:p w14:paraId="6007A37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统一社会信用代码：【91331181148543853J】</w:t>
            </w:r>
          </w:p>
          <w:p w14:paraId="2B598CD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住所：【浙江省丽水市龙泉市中山东路101号】</w:t>
            </w:r>
          </w:p>
          <w:p w14:paraId="220D23C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B2951E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19.企业名称：【浙江遂昌农村商业银行股份有限公司】</w:t>
            </w:r>
          </w:p>
          <w:p w14:paraId="2E47B5D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统一社会信用代码：【91331123148661817E】</w:t>
            </w:r>
          </w:p>
          <w:p w14:paraId="43343DB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住所：【浙江省丽水市遂昌县妙高街道溪边路100号】</w:t>
            </w:r>
          </w:p>
          <w:p w14:paraId="3C90482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DA9AD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20.企业名称：【浙江松阳农村商业银行股份有限公司】</w:t>
            </w:r>
          </w:p>
          <w:p w14:paraId="25B441B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统一社会信用代码：【91331124148632856X】</w:t>
            </w:r>
          </w:p>
          <w:p w14:paraId="038BA4A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住所：【浙江省丽水市松阳县水南街道要津南路71号】</w:t>
            </w:r>
          </w:p>
          <w:p w14:paraId="04880EB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01E2C4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21.企业名称：【浙江景宁农村商业银行股份有限公司】</w:t>
            </w:r>
          </w:p>
          <w:p w14:paraId="62377A1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统一社会信用代码：【91331127704796094T】</w:t>
            </w:r>
          </w:p>
          <w:p w14:paraId="1882B34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住所：【浙江省丽水市景宁畲族自治县红星街道人民中路201号】</w:t>
            </w:r>
          </w:p>
          <w:p w14:paraId="44E6EC5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EFFA83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22.企业名称：【浙江台州椒江农村商业银行股份有限公司】</w:t>
            </w:r>
          </w:p>
          <w:p w14:paraId="45DBB2F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统一社会信用代码：【913310021482768636】</w:t>
            </w:r>
          </w:p>
          <w:p w14:paraId="4E4F43A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住所：【浙江省台州市椒江区工人东路322号】</w:t>
            </w:r>
          </w:p>
          <w:p w14:paraId="1D7FFDA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7AB910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23.企业名称：【浙江台州黄岩农村商业银行股份有限公司】</w:t>
            </w:r>
          </w:p>
          <w:p w14:paraId="56B6AD5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统一社会信用代码：【91331003770736460B】</w:t>
            </w:r>
          </w:p>
          <w:p w14:paraId="0681C4B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住所：【浙江省台州市黄岩区洞天路88号】</w:t>
            </w:r>
          </w:p>
          <w:p w14:paraId="2D1C666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A9DE94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24.企业名称：【浙江台州路桥农村商业银行股份有限公司】</w:t>
            </w:r>
          </w:p>
          <w:p w14:paraId="771D555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统一社会信用代码：【91331004771942717H】</w:t>
            </w:r>
          </w:p>
          <w:p w14:paraId="6F6D4A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住所：【浙江省台州市路桥区西路桥大道328号】</w:t>
            </w:r>
          </w:p>
          <w:p w14:paraId="0992462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FF2517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25.企业名称：【浙江温岭农村商业银行股份有限公司】</w:t>
            </w:r>
          </w:p>
          <w:p w14:paraId="3014A20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统一社会信用代码：【913310001489096329】</w:t>
            </w:r>
          </w:p>
          <w:p w14:paraId="723E74D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住所：【浙江省台州市温岭市城东街道下保路100号】</w:t>
            </w:r>
          </w:p>
          <w:p w14:paraId="38D2252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46ED1C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26.企业名称：【浙江天台农村商业银行股份有限公司】</w:t>
            </w:r>
          </w:p>
          <w:p w14:paraId="388AFC9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统一社会信用代码：【91331000148073695C】</w:t>
            </w:r>
          </w:p>
          <w:p w14:paraId="5658378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住所：【浙江省天台县赤城街道飞鹤路358号】</w:t>
            </w:r>
          </w:p>
          <w:p w14:paraId="07401DC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3226CB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27.企业名称：【浙江三门农村商业银行股份有限公司】</w:t>
            </w:r>
          </w:p>
          <w:p w14:paraId="1DA727D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统一社会信用代码：【91331022774367359X】</w:t>
            </w:r>
          </w:p>
          <w:p w14:paraId="34DCBF3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住所：【浙江省三门县海游街道上洋路68号】</w:t>
            </w:r>
          </w:p>
          <w:p w14:paraId="76A8599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9C4934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28.企业名称：【浙江舟山定海海洋农村商业银行股份有限公司】</w:t>
            </w:r>
          </w:p>
          <w:p w14:paraId="39B1C27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统一社会信用代码：【91330900148740320U】</w:t>
            </w:r>
          </w:p>
          <w:p w14:paraId="1D67559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住所：【浙江省舟山市定海区环城东路81号】</w:t>
            </w:r>
          </w:p>
          <w:p w14:paraId="02BAFB7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D1B2CF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29.企业名称：【浙江舟山普陀农村商业银行股份有限公司】</w:t>
            </w:r>
          </w:p>
          <w:p w14:paraId="20992C9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统一社会信用代码：【913309006831072360】</w:t>
            </w:r>
          </w:p>
          <w:p w14:paraId="7FF644E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住所：【浙江省舟山市普陀区东港街道麒麟街225号（自贸试验区内）】</w:t>
            </w:r>
          </w:p>
          <w:p w14:paraId="56BB1A7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2351EE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30.企业名称：【湖州吴兴农村商业银行股份有限公司】</w:t>
            </w:r>
          </w:p>
          <w:p w14:paraId="25BA19F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统一社会信用代码：【913305007782713708】</w:t>
            </w:r>
          </w:p>
          <w:p w14:paraId="5AEBD7E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住所：【浙江省湖州市东街55号】</w:t>
            </w:r>
          </w:p>
          <w:p w14:paraId="27C0191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1481A0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31.企业名称：【浙江临安农村商业银行股份有限公司】</w:t>
            </w:r>
          </w:p>
          <w:p w14:paraId="1EB3036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统一社会信用代码：【913301851437582064】</w:t>
            </w:r>
          </w:p>
          <w:p w14:paraId="65927B2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住所：【浙江省杭州市临安区锦城街道城中街442号】</w:t>
            </w:r>
          </w:p>
          <w:p w14:paraId="5D5670B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3A051D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32.企业名称：【浙江淳安农村商业银行股份有限公司】</w:t>
            </w:r>
          </w:p>
          <w:p w14:paraId="6AA155E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统一社会信用代码：【9133012714400940XB】</w:t>
            </w:r>
          </w:p>
          <w:p w14:paraId="797AD90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住所：【浙江省杭州市淳安县千岛湖镇环湖北路369号】</w:t>
            </w:r>
          </w:p>
          <w:p w14:paraId="3A8CD22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E4B86C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33.企业名称：【宁波北仑农村商业银行股份有限公司】</w:t>
            </w:r>
          </w:p>
          <w:p w14:paraId="0E114DD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统一社会信用代码：【91330206144292356K】</w:t>
            </w:r>
          </w:p>
          <w:p w14:paraId="1A59A7E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住所：【浙江省宁波市北仑区新碶宝山路69号（凤凰国际商务广场）1幢69号、63号（凤凰国际商务广场）1幢（2-26层）】</w:t>
            </w:r>
          </w:p>
          <w:p w14:paraId="2813CF9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6182CB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34.企业名称：【宁波奉化农村商业银行股份有限公司】</w:t>
            </w:r>
          </w:p>
          <w:p w14:paraId="0C9DCF8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统一社会信用代码：【913302001448601066】</w:t>
            </w:r>
          </w:p>
          <w:p w14:paraId="5FC3B5C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住所：【浙江省宁波市奉化区锦屏街道中山路27号】</w:t>
            </w:r>
          </w:p>
          <w:p w14:paraId="06BFF12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0FB5C6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35.企业名称：【宁波镇海农村商业银行股份有限公司】</w:t>
            </w:r>
          </w:p>
          <w:p w14:paraId="479E74B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统一社会信用代码：【91330200717212676J】</w:t>
            </w:r>
          </w:p>
          <w:p w14:paraId="19B838F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住所：【宁波市镇海区骆驼街道镇海大道中段788号】</w:t>
            </w:r>
          </w:p>
          <w:p w14:paraId="2887E5C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940271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36.企业名称：【宁波宁海农村商业银行股份有限公司】</w:t>
            </w:r>
          </w:p>
          <w:p w14:paraId="5E40219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统一社会信用代码：【91330200144938786M】</w:t>
            </w:r>
          </w:p>
          <w:p w14:paraId="5DA8497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住所：【宁海县跃龙街道学勉路1号（金融中心）】</w:t>
            </w:r>
          </w:p>
          <w:p w14:paraId="600BB6A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F4688F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37.企业名称：【宁波甬城农村商业银行股份有限公司】</w:t>
            </w:r>
          </w:p>
          <w:p w14:paraId="13590C7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统一社会信用代码：【91330205704848042N】</w:t>
            </w:r>
          </w:p>
          <w:p w14:paraId="0086B7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住所：【浙江省宁波市江北区育才路15、17号】</w:t>
            </w:r>
          </w:p>
          <w:p w14:paraId="74CB240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0DEE95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38.企业名称：【浙江永嘉农村商业银行股份有限公司】</w:t>
            </w:r>
          </w:p>
          <w:p w14:paraId="4A1A741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统一社会信用代码：【91330300693852088P】</w:t>
            </w:r>
          </w:p>
          <w:p w14:paraId="673A477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住所：【浙江省温州市永嘉县瓯北街道阳光大道3918号101室、201室、301室、401室、501室、1101室、1801室、2201室】</w:t>
            </w:r>
          </w:p>
          <w:p w14:paraId="6BB8185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7BD24E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39.企业名称：【浙江平阳农村商业银行股份有限公司】</w:t>
            </w:r>
          </w:p>
          <w:p w14:paraId="0B90B18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统一社会信用代码：【91330300778260532C】</w:t>
            </w:r>
          </w:p>
          <w:p w14:paraId="1597D86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住所：【浙江省平阳县鳌江镇车站大道999号】</w:t>
            </w:r>
          </w:p>
          <w:p w14:paraId="4CE349A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1F6828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40.企业名称：【浙江嘉善农村商业银行股份有限公司】</w:t>
            </w:r>
          </w:p>
          <w:p w14:paraId="7BFD220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统一社会信用代码：【91330400146600914H】</w:t>
            </w:r>
          </w:p>
          <w:p w14:paraId="5088D7E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住所：【浙江省嘉兴市嘉善县罗星街道车站南路999号】</w:t>
            </w:r>
          </w:p>
          <w:p w14:paraId="3C1D19A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E86B75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41.企业名称：【浙江平湖农村商业银行股份有限公司】</w:t>
            </w:r>
          </w:p>
          <w:p w14:paraId="3EA65EF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统一社会信用代码：【913304821466775403】</w:t>
            </w:r>
          </w:p>
          <w:p w14:paraId="4F84327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住所：【浙江省平湖市当湖街道胜利路518号】</w:t>
            </w:r>
          </w:p>
          <w:p w14:paraId="256ADD8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2A5941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42.企业名称：【浙江海宁农村商业银行股份有限公司】</w:t>
            </w:r>
          </w:p>
          <w:p w14:paraId="5D5E6AA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统一社会信用代码：【91330400146707324M】</w:t>
            </w:r>
          </w:p>
          <w:p w14:paraId="7B7794A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住所：【浙江省海宁市海洲街道钱江西路278号】</w:t>
            </w:r>
          </w:p>
          <w:p w14:paraId="2F05566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79B649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43.企业名称：【浙江海盐农村商业银行股份有限公司】</w:t>
            </w:r>
          </w:p>
          <w:p w14:paraId="68D6431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统一社会信用代码：【91330424254846268L】</w:t>
            </w:r>
          </w:p>
          <w:p w14:paraId="11D7728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住所：【浙江省海盐县武原街道枣园西路176号】</w:t>
            </w:r>
          </w:p>
          <w:p w14:paraId="04348E2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BE790E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44.企业名称：【浙江桐乡农村商业银行股份有限公司】</w:t>
            </w:r>
          </w:p>
          <w:p w14:paraId="5191C22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统一社会信用代码：【91330483146852863F】</w:t>
            </w:r>
          </w:p>
          <w:p w14:paraId="1BF646A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住所：【浙江省嘉兴市桐乡市梧桐街道校场东路59号】</w:t>
            </w:r>
          </w:p>
          <w:p w14:paraId="0688213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7A60AD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45.企业名称：【浙江安吉农村商业银行股份有限公司】</w:t>
            </w:r>
          </w:p>
          <w:p w14:paraId="7F85362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统一社会信用代码：【91330500680700499G】</w:t>
            </w:r>
          </w:p>
          <w:p w14:paraId="764F199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住所：【浙江省湖州市安吉县昌硕街道昌硕东路1号】</w:t>
            </w:r>
          </w:p>
          <w:p w14:paraId="08FBA33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A5B35D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46.企业名称：【浙江南浔农村商业银行股份有限公司】</w:t>
            </w:r>
          </w:p>
          <w:p w14:paraId="14718AD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统一社会信用代码：【913305001470196549】</w:t>
            </w:r>
          </w:p>
          <w:p w14:paraId="60A4C99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住所：【浙江省湖州市南浔区南浔镇人瑞路1188号】</w:t>
            </w:r>
          </w:p>
          <w:p w14:paraId="769B954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578572B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47.企业名称：【浙江上虞农村商业银行股份有限公司】</w:t>
            </w:r>
          </w:p>
          <w:p w14:paraId="1F4DB4D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统一社会信用代码：【91330600146116161G】</w:t>
            </w:r>
          </w:p>
          <w:p w14:paraId="1A34EF1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住所：【浙江省百官街道德盛路55号】</w:t>
            </w:r>
          </w:p>
          <w:p w14:paraId="685063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6CF688B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48.企业名称：【浙江缙云农村商业银行股份有限公司】</w:t>
            </w:r>
          </w:p>
          <w:p w14:paraId="6142CF7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统一社会信用代码：【913311227047843259】</w:t>
            </w:r>
          </w:p>
          <w:p w14:paraId="2E5BEE5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住所：【浙江省丽水市缙云县五云镇新区仙都路68号】</w:t>
            </w:r>
          </w:p>
          <w:p w14:paraId="3AE7232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5D264D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49.企业名称：【浙江义乌农村商业银行股份有限公司】</w:t>
            </w:r>
          </w:p>
          <w:p w14:paraId="23A07F3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统一社会信用代码：【91330782609786576E】</w:t>
            </w:r>
          </w:p>
          <w:p w14:paraId="0306164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住所：【浙江省义乌市福田街道城北路677号】</w:t>
            </w:r>
          </w:p>
          <w:p w14:paraId="481640F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D7541F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50.企业名称：【浙江兰溪农村商业银行股份有限公司】</w:t>
            </w:r>
          </w:p>
          <w:p w14:paraId="0FAC591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统一社会信用代码：【91330781147387545R】</w:t>
            </w:r>
          </w:p>
          <w:p w14:paraId="6EE7F37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住所：【浙江省兰溪市兰江街道丹溪大道18号】</w:t>
            </w:r>
          </w:p>
          <w:p w14:paraId="0B535B8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D5B41E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51.企业名称：【浙江长兴农村商业银行股份有限公司】</w:t>
            </w:r>
          </w:p>
          <w:p w14:paraId="28543E1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统一社会信用代码：【91330522147148640A】</w:t>
            </w:r>
          </w:p>
          <w:p w14:paraId="21F432F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住所：【浙江省湖州市长兴县太湖街道明珠路1298号】</w:t>
            </w:r>
          </w:p>
          <w:p w14:paraId="43B7D95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F62552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52.企业名称：【浙江绍兴恒信农村商业银行股份有限公司】</w:t>
            </w:r>
          </w:p>
          <w:p w14:paraId="249EE44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统一社会信用代码：【9133060271252980XJ】</w:t>
            </w:r>
          </w:p>
          <w:p w14:paraId="53F74E8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住所：【浙江省绍兴市中兴中路159号】</w:t>
            </w:r>
          </w:p>
          <w:p w14:paraId="59DF6EF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1DBD1A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53.企业名称：【浙江武义农村商业银行股份有限公司】</w:t>
            </w:r>
          </w:p>
          <w:p w14:paraId="36CFCC4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统一社会信用代码：【91330723552860156J】</w:t>
            </w:r>
          </w:p>
          <w:p w14:paraId="418124F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住所：【浙江省武义县城武阳中路37号】</w:t>
            </w:r>
          </w:p>
          <w:p w14:paraId="4D598E4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57D381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54.企业名称：【浙江岱山农村商业银行股份有限公司】</w:t>
            </w:r>
          </w:p>
          <w:p w14:paraId="022553E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统一社会信用代码：【91330921778250107N】</w:t>
            </w:r>
          </w:p>
          <w:p w14:paraId="7D91F0D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住所：【浙江省舟山市岱山县高亭镇衢山大道1009号】</w:t>
            </w:r>
          </w:p>
          <w:p w14:paraId="4A8BBD9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BC01B3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55.企业名称：【浙江仙居农村商业银行股份有限公司】</w:t>
            </w:r>
          </w:p>
          <w:p w14:paraId="3F5EB3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统一社会信用代码：【91331024148032965W】</w:t>
            </w:r>
          </w:p>
          <w:p w14:paraId="073417A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住所：【浙江省仙居县南峰街道穿城中路21号】</w:t>
            </w:r>
          </w:p>
          <w:p w14:paraId="6B32734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A42914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56.企业名称：【浙江玉环农村商业银行股份有限公司】</w:t>
            </w:r>
          </w:p>
          <w:p w14:paraId="1AFF7D5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统一社会信用代码：【91331021704702414T】</w:t>
            </w:r>
          </w:p>
          <w:p w14:paraId="465B172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住所：【浙江省玉环市玉城街道珠港大道26号】</w:t>
            </w:r>
          </w:p>
          <w:p w14:paraId="4F26367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BD97E3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57.企业名称：【浙江诸暨农村商业银行股份有限公司】</w:t>
            </w:r>
          </w:p>
          <w:p w14:paraId="70C2CAE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统一社会信用代码：【91330600146217704F】</w:t>
            </w:r>
          </w:p>
          <w:p w14:paraId="1877F6E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住所：【浙江省诸暨市暨阳街道大桥东路2号】</w:t>
            </w:r>
          </w:p>
          <w:p w14:paraId="13AE62F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AA0F7F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58.企业名称：【浙江临海农村商业银行股份有限公司】</w:t>
            </w:r>
          </w:p>
          <w:p w14:paraId="5481F9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统一社会信用代码：【91331000147999461D】</w:t>
            </w:r>
          </w:p>
          <w:p w14:paraId="65526EE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住所：【浙江省台州市临海市大洋街道河阳路299号】</w:t>
            </w:r>
          </w:p>
          <w:p w14:paraId="7E635A1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9F46ED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59.企业名称：【浙江建德农村商业银行股份有限公司】</w:t>
            </w:r>
          </w:p>
          <w:p w14:paraId="628BFEC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统一社会信用代码：【9133018270429246XA】</w:t>
            </w:r>
          </w:p>
          <w:p w14:paraId="2916304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住所：【浙江省建德市新安江街道江滨中路176号】</w:t>
            </w:r>
          </w:p>
          <w:p w14:paraId="443A2D7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DA3F54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60.企业名称：【浙江文成农村商业银行股份有限公司】</w:t>
            </w:r>
          </w:p>
          <w:p w14:paraId="768A7C0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统一社会信用代码：【91330328145827746X】</w:t>
            </w:r>
          </w:p>
          <w:p w14:paraId="6149CCF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住所：【浙江省温州市文成县大峃镇伯温路6号】</w:t>
            </w:r>
          </w:p>
          <w:p w14:paraId="1E583B4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A868FC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61.企业名称：【浙江萧山农村商业银行股份有限公司】</w:t>
            </w:r>
          </w:p>
          <w:p w14:paraId="35D2141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统一社会信用代码：【91330100143568234F】</w:t>
            </w:r>
          </w:p>
          <w:p w14:paraId="4BD5372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住所：【浙江省杭州市萧山区人民路258号】</w:t>
            </w:r>
          </w:p>
          <w:p w14:paraId="7986936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398893E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62.企业名称：【浙江乐清农村商业银行股份有限公司】</w:t>
            </w:r>
          </w:p>
          <w:p w14:paraId="13CACB2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统一社会信用代码：【91330300712576278B】</w:t>
            </w:r>
          </w:p>
          <w:p w14:paraId="1D80D3F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住所：【乐清市城南街道伯乐西路99号】</w:t>
            </w:r>
          </w:p>
          <w:p w14:paraId="0DD55CA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70D26D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63.企业名称：【宁波余姚农村商业银行股份有限公司】</w:t>
            </w:r>
          </w:p>
          <w:p w14:paraId="71F4344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统一社会信用代码：【91330281768530578N】</w:t>
            </w:r>
          </w:p>
          <w:p w14:paraId="69B532C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住所：【余姚市新建路69号】</w:t>
            </w:r>
          </w:p>
          <w:p w14:paraId="292FCA4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C7F834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64.企业名称：【浙江桐庐农村商业银行股份有限公司】</w:t>
            </w:r>
          </w:p>
          <w:p w14:paraId="271102C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统一社会信用代码：【913301228436000474】</w:t>
            </w:r>
          </w:p>
          <w:p w14:paraId="4087EE6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住所：【浙江省杭州市桐庐县城迎春南路278号】</w:t>
            </w:r>
          </w:p>
          <w:p w14:paraId="6AA93D9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AF1AE2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65.企业名称：【杭州联合农村商业银行股份有限公司】</w:t>
            </w:r>
          </w:p>
          <w:p w14:paraId="3E7B1CD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统一社会信用代码：【91330100773585469H】</w:t>
            </w:r>
          </w:p>
          <w:p w14:paraId="6F70250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住所：【浙江省杭州市上城区建国中路99号】</w:t>
            </w:r>
          </w:p>
          <w:p w14:paraId="6AC06C1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AB6B9D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66.企业名称：【浙江温州鹿城农村商业银行股份有限公司】</w:t>
            </w:r>
          </w:p>
          <w:p w14:paraId="57B60BB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统一社会信用代码：【91330300777212117L】</w:t>
            </w:r>
          </w:p>
          <w:p w14:paraId="016E0CC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住所：【浙江省温州市鹿城区会展路1500号富银大厦】</w:t>
            </w:r>
          </w:p>
          <w:p w14:paraId="6E62AD8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7E1D83F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67.企业名称：【浙江绍兴瑞丰农村商业银行股份有限公司】</w:t>
            </w:r>
          </w:p>
          <w:p w14:paraId="256063B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统一社会信用代码：【91330600145965997H】</w:t>
            </w:r>
          </w:p>
          <w:p w14:paraId="0C449AB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住所：【浙江省绍兴市柯桥区柯桥笛扬路1363号】</w:t>
            </w:r>
          </w:p>
          <w:p w14:paraId="511B865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642252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68.企业名称：【浙江禾城农村商业银行股份有限公司】</w:t>
            </w:r>
          </w:p>
          <w:p w14:paraId="7966CB5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统一社会信用代码：【91330400146466356E】</w:t>
            </w:r>
          </w:p>
          <w:p w14:paraId="3B01C8B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住所：【浙江省嘉兴市经济技术开发区文昌路 1229 号】</w:t>
            </w:r>
          </w:p>
          <w:p w14:paraId="7C9798C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5974E5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6</w:t>
            </w:r>
            <w:r>
              <w:rPr>
                <w:rFonts w:ascii="楷体_GB2312" w:eastAsia="楷体_GB2312" w:cs="楷体_GB2312"/>
                <w:sz w:val="20"/>
                <w:szCs w:val="20"/>
              </w:rPr>
              <w:t>9.</w:t>
            </w:r>
            <w:r>
              <w:rPr>
                <w:rFonts w:hint="eastAsia" w:ascii="楷体_GB2312" w:eastAsia="楷体_GB2312" w:cs="楷体_GB2312"/>
                <w:sz w:val="20"/>
                <w:szCs w:val="20"/>
              </w:rPr>
              <w:t>企业名称：【浙江泰顺农村商业银行股份有限公司】</w:t>
            </w:r>
          </w:p>
          <w:p w14:paraId="7A1BE86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统一社会信用代码：【913303297043793629】</w:t>
            </w:r>
          </w:p>
          <w:p w14:paraId="3A8CA74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住所：【浙江省温州市泰顺县罗阳镇新城区文祥大道181号】</w:t>
            </w:r>
          </w:p>
          <w:p w14:paraId="5B5FC24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642D90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0.</w:t>
            </w:r>
            <w:r>
              <w:rPr>
                <w:rFonts w:hint="eastAsia" w:ascii="楷体_GB2312" w:eastAsia="楷体_GB2312" w:cs="楷体_GB2312"/>
                <w:sz w:val="20"/>
                <w:szCs w:val="20"/>
              </w:rPr>
              <w:t>企业名称：【浙江嵊州农村商业银行股份有限公司】</w:t>
            </w:r>
          </w:p>
          <w:p w14:paraId="332ABF5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统一社会信用代码：【91330683146384641Y】</w:t>
            </w:r>
          </w:p>
          <w:p w14:paraId="4900321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住所：【浙江省嵊州市剡湖街道官河路398号】</w:t>
            </w:r>
          </w:p>
          <w:p w14:paraId="4DFECBA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02AF5B4F">
            <w:pPr>
              <w:spacing w:line="300" w:lineRule="atLeast"/>
              <w:ind w:left="-2" w:right="31"/>
              <w:rPr>
                <w:rFonts w:ascii="楷体_GB2312" w:eastAsia="楷体_GB2312" w:cs="楷体_GB2312"/>
                <w:sz w:val="20"/>
                <w:szCs w:val="20"/>
              </w:rPr>
            </w:pPr>
            <w:r>
              <w:rPr>
                <w:rFonts w:ascii="楷体_GB2312" w:eastAsia="楷体_GB2312" w:cs="楷体_GB2312"/>
                <w:sz w:val="20"/>
                <w:szCs w:val="20"/>
              </w:rPr>
              <w:t>71.</w:t>
            </w:r>
            <w:r>
              <w:rPr>
                <w:rFonts w:hint="eastAsia" w:ascii="楷体_GB2312" w:eastAsia="楷体_GB2312" w:cs="楷体_GB2312"/>
                <w:sz w:val="20"/>
                <w:szCs w:val="20"/>
              </w:rPr>
              <w:t>企业名称：【浙江庆元农村商业银行股份有限公司】</w:t>
            </w:r>
          </w:p>
          <w:p w14:paraId="3901615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统一社会信用代码：【91331126609962015U】</w:t>
            </w:r>
          </w:p>
          <w:p w14:paraId="2161C08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住所：【浙江省丽水市庆元县濛洲街道云鹤路3号】</w:t>
            </w:r>
          </w:p>
          <w:p w14:paraId="016A49A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C45649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2.</w:t>
            </w:r>
            <w:r>
              <w:rPr>
                <w:rFonts w:hint="eastAsia" w:ascii="楷体_GB2312" w:eastAsia="楷体_GB2312" w:cs="楷体_GB2312"/>
                <w:sz w:val="20"/>
                <w:szCs w:val="20"/>
              </w:rPr>
              <w:t>企业名称：【浙江温州瓯海农村商业银行股份有限公司】</w:t>
            </w:r>
          </w:p>
          <w:p w14:paraId="7669647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统一社会信用代码：【91330300776489333D】</w:t>
            </w:r>
          </w:p>
          <w:p w14:paraId="31F9333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住所：【浙江省温州市瓯海区瓯海大道989号】</w:t>
            </w:r>
          </w:p>
          <w:p w14:paraId="5B95699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F953EA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3.</w:t>
            </w:r>
            <w:r>
              <w:rPr>
                <w:rFonts w:hint="eastAsia" w:ascii="楷体_GB2312" w:eastAsia="楷体_GB2312" w:cs="楷体_GB2312"/>
                <w:sz w:val="20"/>
                <w:szCs w:val="20"/>
              </w:rPr>
              <w:t>企业名称：【浙江云和农村商业银行股份有限公司】</w:t>
            </w:r>
          </w:p>
          <w:p w14:paraId="2860526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统一社会信用代码：【9133112514848825XE】</w:t>
            </w:r>
          </w:p>
          <w:p w14:paraId="66EB629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住所：【浙江省丽水市云和县浮云街道新建路72号】</w:t>
            </w:r>
          </w:p>
          <w:p w14:paraId="55972B3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1398D20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4.</w:t>
            </w:r>
            <w:r>
              <w:rPr>
                <w:rFonts w:hint="eastAsia" w:ascii="楷体_GB2312" w:eastAsia="楷体_GB2312" w:cs="楷体_GB2312"/>
                <w:sz w:val="20"/>
                <w:szCs w:val="20"/>
              </w:rPr>
              <w:t>企业名称：【宁波慈溪农村商业银行股份有限公司】</w:t>
            </w:r>
          </w:p>
          <w:p w14:paraId="492DBB1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统一社会信用代码：【91330200144756720Q】</w:t>
            </w:r>
          </w:p>
          <w:p w14:paraId="07D1DF8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住所：【浙江省慈溪市浒山街道南城路25号、59号5-6楼】</w:t>
            </w:r>
          </w:p>
          <w:p w14:paraId="33D25FE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342770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7</w:t>
            </w:r>
            <w:r>
              <w:rPr>
                <w:rFonts w:ascii="楷体_GB2312" w:eastAsia="楷体_GB2312" w:cs="楷体_GB2312"/>
                <w:sz w:val="20"/>
                <w:szCs w:val="20"/>
              </w:rPr>
              <w:t>5</w:t>
            </w:r>
            <w:r>
              <w:rPr>
                <w:rFonts w:hint="eastAsia" w:ascii="楷体_GB2312" w:eastAsia="楷体_GB2312" w:cs="楷体_GB2312"/>
                <w:sz w:val="20"/>
                <w:szCs w:val="20"/>
              </w:rPr>
              <w:t>.企业名称：【浙江温州龙湾农村商业银行股份有限公司 】</w:t>
            </w:r>
          </w:p>
          <w:p w14:paraId="5B98F02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统一社会信用代码：【913303007772078015】</w:t>
            </w:r>
          </w:p>
          <w:p w14:paraId="50A381C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住所：【浙江省温州市龙湾区永中街道永宁西路555号】</w:t>
            </w:r>
          </w:p>
          <w:p w14:paraId="386FA6C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4F0E2327">
            <w:pPr>
              <w:spacing w:line="300" w:lineRule="atLeast"/>
              <w:ind w:left="-2" w:right="31"/>
              <w:rPr>
                <w:rFonts w:ascii="楷体_GB2312" w:eastAsia="楷体_GB2312" w:cs="楷体_GB2312"/>
                <w:sz w:val="20"/>
                <w:szCs w:val="20"/>
              </w:rPr>
            </w:pPr>
            <w:r>
              <w:rPr>
                <w:rFonts w:ascii="楷体_GB2312" w:eastAsia="楷体_GB2312" w:cs="楷体_GB2312"/>
                <w:sz w:val="20"/>
                <w:szCs w:val="20"/>
              </w:rPr>
              <w:t>76</w:t>
            </w:r>
            <w:r>
              <w:rPr>
                <w:rFonts w:hint="eastAsia" w:ascii="楷体_GB2312" w:eastAsia="楷体_GB2312" w:cs="楷体_GB2312"/>
                <w:sz w:val="20"/>
                <w:szCs w:val="20"/>
              </w:rPr>
              <w:t>.企业名称：【浙江苍南农村商业银行股份有限公司】</w:t>
            </w:r>
          </w:p>
          <w:p w14:paraId="5BD2821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统一社会信用代码：【913303007043722167】</w:t>
            </w:r>
          </w:p>
          <w:p w14:paraId="1DDF657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住所：【浙江省苍南县灵溪镇人民大道425号】</w:t>
            </w:r>
          </w:p>
          <w:p w14:paraId="068F081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客户服务热线：【0571-96596】</w:t>
            </w:r>
          </w:p>
          <w:p w14:paraId="2222863D">
            <w:pPr>
              <w:spacing w:line="300" w:lineRule="atLeast"/>
              <w:ind w:left="-2" w:right="31"/>
              <w:rPr>
                <w:rFonts w:ascii="楷体_GB2312" w:eastAsia="楷体_GB2312" w:cs="楷体_GB2312"/>
                <w:sz w:val="20"/>
                <w:szCs w:val="20"/>
              </w:rPr>
            </w:pPr>
            <w:r>
              <w:rPr>
                <w:rFonts w:ascii="楷体_GB2312" w:eastAsia="楷体_GB2312" w:cs="楷体_GB2312"/>
                <w:sz w:val="20"/>
                <w:szCs w:val="20"/>
              </w:rPr>
              <w:t>77</w:t>
            </w:r>
            <w:r>
              <w:rPr>
                <w:rFonts w:hint="eastAsia" w:ascii="楷体_GB2312" w:eastAsia="楷体_GB2312" w:cs="楷体_GB2312"/>
                <w:sz w:val="20"/>
                <w:szCs w:val="20"/>
              </w:rPr>
              <w:t>.企业名称：【浙江嵊泗农村商业银行股份有限公司】</w:t>
            </w:r>
          </w:p>
          <w:p w14:paraId="64CAEC4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统一社会信用代码：【9133092270466354XL】</w:t>
            </w:r>
          </w:p>
          <w:p w14:paraId="4F45374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住所：【浙江省嵊泗县菜园镇沙河路110号】</w:t>
            </w:r>
          </w:p>
          <w:p w14:paraId="2C71DE5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客户服务热线：【400-88-96596】</w:t>
            </w:r>
          </w:p>
          <w:p w14:paraId="4F65D2E7">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78.企业名称：【宁波鄞州农村商业银行股份有限公司】</w:t>
            </w:r>
          </w:p>
          <w:p w14:paraId="5E090481">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91330212144417235R】</w:t>
            </w:r>
          </w:p>
          <w:p w14:paraId="6251D652">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住所：【浙江省宁波市鄞州区民惠西路</w:t>
            </w:r>
            <w:r>
              <w:rPr>
                <w:rFonts w:ascii="楷体_GB2312" w:eastAsia="楷体_GB2312" w:cs="楷体_GB2312"/>
                <w:color w:val="000000" w:themeColor="text1"/>
                <w:sz w:val="20"/>
                <w:szCs w:val="20"/>
                <w14:textFill>
                  <w14:solidFill>
                    <w14:schemeClr w14:val="tx1"/>
                  </w14:solidFill>
                </w14:textFill>
              </w:rPr>
              <w:t xml:space="preserve"> 88 号】</w:t>
            </w:r>
          </w:p>
          <w:p w14:paraId="0D8BA9D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956058】</w:t>
            </w:r>
          </w:p>
          <w:p w14:paraId="51763D4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5190EEA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6AE86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95E0BD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10" w:type="pct"/>
            <w:vAlign w:val="center"/>
          </w:tcPr>
          <w:p w14:paraId="0770BE62">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0C9AAA5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39372108">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理财产品认/申购、赎回等业务办理；</w:t>
            </w:r>
          </w:p>
          <w:p w14:paraId="13E6CB2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2A06AD4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310D3CC0">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00C045D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1EA6B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DB28B10">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10" w:type="pct"/>
            <w:vAlign w:val="center"/>
          </w:tcPr>
          <w:p w14:paraId="2EBF8682">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企业</w:t>
            </w:r>
            <w:r>
              <w:rPr>
                <w:rFonts w:ascii="楷体_GB2312" w:eastAsia="楷体_GB2312" w:cs="楷体_GB2312"/>
                <w:sz w:val="20"/>
                <w:szCs w:val="20"/>
              </w:rPr>
              <w:t>名称：</w:t>
            </w:r>
            <w:r>
              <w:rPr>
                <w:rFonts w:hint="eastAsia" w:ascii="楷体_GB2312" w:eastAsia="楷体_GB2312" w:cs="楷体_GB2312"/>
                <w:sz w:val="20"/>
                <w:szCs w:val="20"/>
              </w:rPr>
              <w:t>【中信银行股份有限公司】</w:t>
            </w:r>
          </w:p>
          <w:p w14:paraId="373BC2A2">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w:t>
            </w:r>
            <w:r>
              <w:rPr>
                <w:rFonts w:ascii="楷体_GB2312" w:eastAsia="楷体_GB2312" w:cs="楷体_GB2312"/>
                <w:sz w:val="20"/>
                <w:szCs w:val="20"/>
              </w:rPr>
              <w:t>社会信用代码：【91110000101690725E】</w:t>
            </w:r>
          </w:p>
          <w:p w14:paraId="1822250F">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纳税人识别号</w:t>
            </w:r>
            <w:r>
              <w:rPr>
                <w:rFonts w:ascii="楷体_GB2312" w:eastAsia="楷体_GB2312" w:cs="楷体_GB2312"/>
                <w:sz w:val="20"/>
                <w:szCs w:val="20"/>
              </w:rPr>
              <w:t>：【91110000101690725E】</w:t>
            </w:r>
          </w:p>
          <w:p w14:paraId="3E584E5A">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法定</w:t>
            </w:r>
            <w:r>
              <w:rPr>
                <w:rFonts w:ascii="楷体_GB2312" w:eastAsia="楷体_GB2312" w:cs="楷体_GB2312"/>
                <w:sz w:val="20"/>
                <w:szCs w:val="20"/>
              </w:rPr>
              <w:t>代表人：</w:t>
            </w:r>
            <w:r>
              <w:rPr>
                <w:rFonts w:hint="eastAsia" w:ascii="楷体_GB2312" w:eastAsia="楷体_GB2312" w:cs="楷体_GB2312"/>
                <w:sz w:val="20"/>
                <w:szCs w:val="20"/>
              </w:rPr>
              <w:t>【方合英</w:t>
            </w:r>
            <w:r>
              <w:rPr>
                <w:rFonts w:ascii="楷体_GB2312" w:eastAsia="楷体_GB2312" w:cs="楷体_GB2312"/>
                <w:sz w:val="20"/>
                <w:szCs w:val="20"/>
              </w:rPr>
              <w:t>】</w:t>
            </w:r>
          </w:p>
          <w:p w14:paraId="59A4F5B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住所</w:t>
            </w:r>
            <w:r>
              <w:rPr>
                <w:rFonts w:ascii="楷体_GB2312" w:eastAsia="楷体_GB2312" w:cs="楷体_GB2312"/>
                <w:sz w:val="20"/>
                <w:szCs w:val="20"/>
              </w:rPr>
              <w:t>：</w:t>
            </w:r>
            <w:r>
              <w:rPr>
                <w:rFonts w:hint="eastAsia" w:ascii="楷体_GB2312" w:eastAsia="楷体_GB2312" w:cs="楷体_GB2312"/>
                <w:sz w:val="20"/>
                <w:szCs w:val="20"/>
              </w:rPr>
              <w:t>【北京市朝阳区光华路</w:t>
            </w:r>
            <w:r>
              <w:rPr>
                <w:rFonts w:ascii="楷体_GB2312" w:eastAsia="楷体_GB2312" w:cs="楷体_GB2312"/>
                <w:sz w:val="20"/>
                <w:szCs w:val="20"/>
              </w:rPr>
              <w:t>10号中信大厦】</w:t>
            </w:r>
          </w:p>
        </w:tc>
      </w:tr>
      <w:tr w14:paraId="01774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CE8118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10" w:type="pct"/>
            <w:vAlign w:val="center"/>
          </w:tcPr>
          <w:p w14:paraId="7F74F6B2">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3CEBF79A">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2A62C7EF">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678FCCE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w:t>
            </w:r>
            <w:r>
              <w:rPr>
                <w:rFonts w:ascii="楷体_GB2312" w:eastAsia="楷体_GB2312" w:cs="楷体_GB2312"/>
                <w:color w:val="000000" w:themeColor="text1"/>
                <w:sz w:val="20"/>
                <w:szCs w:val="20"/>
                <w14:textFill>
                  <w14:solidFill>
                    <w14:schemeClr w14:val="tx1"/>
                  </w14:solidFill>
                </w14:textFill>
              </w:rPr>
              <w:t>资产净值</w:t>
            </w:r>
            <w:r>
              <w:rPr>
                <w:rFonts w:hint="eastAsia" w:ascii="楷体_GB2312" w:eastAsia="楷体_GB2312" w:cs="楷体_GB2312"/>
                <w:color w:val="000000" w:themeColor="text1"/>
                <w:sz w:val="20"/>
                <w:szCs w:val="20"/>
                <w14:textFill>
                  <w14:solidFill>
                    <w14:schemeClr w14:val="tx1"/>
                  </w14:solidFill>
                </w14:textFill>
              </w:rPr>
              <w:t>、理财产品份额认</w:t>
            </w:r>
            <w:r>
              <w:rPr>
                <w:rFonts w:ascii="楷体_GB2312" w:eastAsia="楷体_GB2312" w:cs="楷体_GB2312"/>
                <w:color w:val="000000" w:themeColor="text1"/>
                <w:sz w:val="20"/>
                <w:szCs w:val="20"/>
                <w14:textFill>
                  <w14:solidFill>
                    <w14:schemeClr w14:val="tx1"/>
                  </w14:solidFill>
                </w14:textFill>
              </w:rPr>
              <w:t>/申购、赎回价格等数据，及时核查认/申购、赎回以及投资资金的支付和到账情况；</w:t>
            </w:r>
          </w:p>
          <w:p w14:paraId="4A30A01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3B2349A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359D767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w:t>
            </w:r>
            <w:r>
              <w:rPr>
                <w:rFonts w:ascii="楷体_GB2312" w:eastAsia="楷体_GB2312" w:cs="楷体_GB2312"/>
                <w:color w:val="000000" w:themeColor="text1"/>
                <w:sz w:val="20"/>
                <w:szCs w:val="20"/>
                <w14:textFill>
                  <w14:solidFill>
                    <w14:schemeClr w14:val="tx1"/>
                  </w14:solidFill>
                </w14:textFill>
              </w:rPr>
              <w:t>15</w:t>
            </w:r>
            <w:r>
              <w:rPr>
                <w:rFonts w:hint="eastAsia" w:ascii="楷体_GB2312" w:eastAsia="楷体_GB2312" w:cs="楷体_GB2312"/>
                <w:color w:val="000000" w:themeColor="text1"/>
                <w:sz w:val="20"/>
                <w:szCs w:val="20"/>
                <w14:textFill>
                  <w14:solidFill>
                    <w14:schemeClr w14:val="tx1"/>
                  </w14:solidFill>
                </w14:textFill>
              </w:rPr>
              <w:t>年以上；</w:t>
            </w:r>
          </w:p>
          <w:p w14:paraId="304B3EDC">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6DECDDF4">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4AD6C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41D674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10" w:type="pct"/>
            <w:vAlign w:val="center"/>
          </w:tcPr>
          <w:p w14:paraId="1A5BBDA8">
            <w:pPr>
              <w:spacing w:line="300" w:lineRule="exact"/>
              <w:ind w:right="36" w:rightChars="15" w:firstLine="284" w:firstLineChars="142"/>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3A9F7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057913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10" w:type="pct"/>
            <w:vAlign w:val="center"/>
          </w:tcPr>
          <w:p w14:paraId="17307A94">
            <w:pPr>
              <w:pStyle w:val="19"/>
              <w:spacing w:line="300" w:lineRule="exact"/>
              <w:ind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1D426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F68805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10" w:type="pct"/>
            <w:vAlign w:val="center"/>
          </w:tcPr>
          <w:p w14:paraId="5ED8D549">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为投资者开立的，唯一用于信银理财管理和记录投资者持有信银理财理财产品份额及理财产品份额变化等情况的账户。投资者购买信银理财理财产品的，信银理财将为其开立理财账户。开户需要的信息和要求以信银理财或代销机构营业场所或线上办理要求为准。</w:t>
            </w:r>
          </w:p>
        </w:tc>
      </w:tr>
      <w:tr w14:paraId="53B21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B203C6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10" w:type="pct"/>
            <w:vAlign w:val="center"/>
          </w:tcPr>
          <w:p w14:paraId="163A2EFE">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0DC2F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244146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10" w:type="pct"/>
            <w:vAlign w:val="center"/>
          </w:tcPr>
          <w:p w14:paraId="66811A17">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将通过【http://www.citic-wealth.com】</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14:paraId="5657582F">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本理财产品存续期间内，因</w:t>
            </w:r>
            <w:r>
              <w:rPr>
                <w:rFonts w:ascii="楷体_GB2312" w:eastAsia="楷体_GB2312" w:cs="楷体_GB2312"/>
                <w:color w:val="000000" w:themeColor="text1"/>
                <w:sz w:val="20"/>
                <w:szCs w:val="20"/>
                <w14:textFill>
                  <w14:solidFill>
                    <w14:schemeClr w14:val="tx1"/>
                  </w14:solidFill>
                </w14:textFill>
              </w:rPr>
              <w:t>国家法律法规、监管规定发生变化，或是出于维持本产品正常运营需要</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在不损害投资者</w:t>
            </w:r>
            <w:r>
              <w:rPr>
                <w:rFonts w:hint="eastAsia" w:ascii="楷体_GB2312" w:eastAsia="楷体_GB2312" w:cs="楷体_GB2312"/>
                <w:color w:val="000000" w:themeColor="text1"/>
                <w:sz w:val="20"/>
                <w:szCs w:val="20"/>
                <w14:textFill>
                  <w14:solidFill>
                    <w14:schemeClr w14:val="tx1"/>
                  </w14:solidFill>
                </w14:textFill>
              </w:rPr>
              <w:t>利益</w:t>
            </w:r>
            <w:r>
              <w:rPr>
                <w:rFonts w:ascii="楷体_GB2312" w:eastAsia="楷体_GB2312" w:cs="楷体_GB2312"/>
                <w:color w:val="000000" w:themeColor="text1"/>
                <w:sz w:val="20"/>
                <w:szCs w:val="20"/>
                <w14:textFill>
                  <w14:solidFill>
                    <w14:schemeClr w14:val="tx1"/>
                  </w14:solidFill>
                </w14:textFill>
              </w:rPr>
              <w:t>的前提下</w:t>
            </w:r>
            <w:r>
              <w:rPr>
                <w:rFonts w:hint="eastAsia" w:ascii="楷体_GB2312" w:eastAsia="楷体_GB2312" w:cs="楷体_GB2312"/>
                <w:color w:val="000000" w:themeColor="text1"/>
                <w:sz w:val="20"/>
                <w:szCs w:val="20"/>
                <w14:textFill>
                  <w14:solidFill>
                    <w14:schemeClr w14:val="tx1"/>
                  </w14:solidFill>
                </w14:textFill>
              </w:rPr>
              <w:t>，信银理财有权提前【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w:t>
            </w:r>
          </w:p>
          <w:p w14:paraId="61380B0E">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14:paraId="322E3233">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14:paraId="624AE430">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14:paraId="25B0E524">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7F35C0D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7B78FC4C">
            <w:pPr>
              <w:pStyle w:val="19"/>
              <w:spacing w:line="300" w:lineRule="exact"/>
              <w:ind w:left="360"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14:paraId="0E526A4F">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14:paraId="6BE7267E">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14:paraId="6B335983">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w:t>
            </w:r>
            <w:r>
              <w:rPr>
                <w:rFonts w:ascii="Times New Roman" w:hAnsi="Times New Roman" w:eastAsia="楷体_GB2312" w:cs="楷体_GB2312"/>
                <w:color w:val="000000" w:themeColor="text1"/>
                <w:sz w:val="20"/>
                <w:szCs w:val="20"/>
                <w14:textFill>
                  <w14:solidFill>
                    <w14:schemeClr w14:val="tx1"/>
                  </w14:solidFill>
                </w14:textFill>
              </w:rPr>
              <w:t>2</w:t>
            </w:r>
            <w:r>
              <w:rPr>
                <w:rFonts w:hint="eastAsia" w:ascii="Times New Roman" w:hAnsi="Times New Roman" w:eastAsia="楷体_GB2312" w:cs="楷体_GB2312"/>
                <w:color w:val="000000" w:themeColor="text1"/>
                <w:sz w:val="20"/>
                <w:szCs w:val="20"/>
                <w14:textFill>
                  <w14:solidFill>
                    <w14:schemeClr w14:val="tx1"/>
                  </w14:solidFill>
                </w14:textFill>
              </w:rPr>
              <w:t>】个工作日内告知投资者。</w:t>
            </w:r>
          </w:p>
          <w:p w14:paraId="69C0173A">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68D475F5">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产品存续期间，信银理财将向投资者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 xml:space="preserve">将在理财产品季度、半年和年度报告中披露理财产品组合资产情况及其流动性风险分析等； </w:t>
            </w:r>
          </w:p>
          <w:p w14:paraId="62FB5DF1">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经信银理财合理判断认为对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w:t>
            </w:r>
            <w:r>
              <w:rPr>
                <w:rFonts w:hint="eastAsia" w:ascii="楷体_GB2312" w:eastAsia="楷体_GB2312" w:cs="楷体_GB2312"/>
                <w:color w:val="000000" w:themeColor="text1"/>
                <w:sz w:val="20"/>
                <w:szCs w:val="20"/>
                <w14:textFill>
                  <w14:solidFill>
                    <w14:schemeClr w14:val="tx1"/>
                  </w14:solidFill>
                </w14:textFill>
              </w:rPr>
              <w:t>及时</w:t>
            </w:r>
            <w:r>
              <w:rPr>
                <w:rFonts w:ascii="楷体_GB2312" w:eastAsia="楷体_GB2312" w:cs="楷体_GB2312"/>
                <w:color w:val="000000" w:themeColor="text1"/>
                <w:sz w:val="20"/>
                <w:szCs w:val="20"/>
                <w14:textFill>
                  <w14:solidFill>
                    <w14:schemeClr w14:val="tx1"/>
                  </w14:solidFill>
                </w14:textFill>
              </w:rPr>
              <w:t>向投资者发布相关信息。</w:t>
            </w:r>
          </w:p>
          <w:p w14:paraId="132CE518">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至少每周向投资者披露一次本产品的资产净值和份额净值。</w:t>
            </w:r>
          </w:p>
          <w:p w14:paraId="6CDDD3F0">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w:t>
            </w:r>
            <w:r>
              <w:rPr>
                <w:rFonts w:ascii="楷体_GB2312" w:eastAsia="楷体_GB2312" w:cs="楷体_GB2312"/>
                <w:color w:val="000000" w:themeColor="text1"/>
                <w:sz w:val="20"/>
                <w:szCs w:val="20"/>
                <w14:textFill>
                  <w14:solidFill>
                    <w14:schemeClr w14:val="tx1"/>
                  </w14:solidFill>
                </w14:textFill>
              </w:rPr>
              <w:t>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购</w:t>
            </w:r>
            <w:r>
              <w:rPr>
                <w:rFonts w:ascii="楷体_GB2312" w:eastAsia="楷体_GB2312" w:cs="楷体_GB2312"/>
                <w:color w:val="000000" w:themeColor="text1"/>
                <w:sz w:val="20"/>
                <w:szCs w:val="20"/>
                <w14:textFill>
                  <w14:solidFill>
                    <w14:schemeClr w14:val="tx1"/>
                  </w14:solidFill>
                </w14:textFill>
              </w:rPr>
              <w:t>申请</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个交易日内告知投资者，并说明运用相关措施的原因、拟采取的应对安排等。在发生涉及理财产品认购事项调</w:t>
            </w:r>
            <w:r>
              <w:rPr>
                <w:rFonts w:hint="eastAsia" w:ascii="楷体_GB2312" w:eastAsia="楷体_GB2312" w:cs="楷体_GB2312"/>
                <w:color w:val="000000" w:themeColor="text1"/>
                <w:sz w:val="20"/>
                <w:szCs w:val="20"/>
                <w14:textFill>
                  <w14:solidFill>
                    <w14:schemeClr w14:val="tx1"/>
                  </w14:solidFill>
                </w14:textFill>
              </w:rPr>
              <w:t>整</w:t>
            </w:r>
            <w:r>
              <w:rPr>
                <w:rFonts w:ascii="楷体_GB2312" w:eastAsia="楷体_GB2312" w:cs="楷体_GB2312"/>
                <w:color w:val="000000" w:themeColor="text1"/>
                <w:sz w:val="20"/>
                <w:szCs w:val="20"/>
                <w14:textFill>
                  <w14:solidFill>
                    <w14:schemeClr w14:val="tx1"/>
                  </w14:solidFill>
                </w14:textFill>
              </w:rPr>
              <w:t>时，及时发布临时公告</w:t>
            </w:r>
            <w:r>
              <w:rPr>
                <w:rFonts w:hint="eastAsia" w:ascii="楷体_GB2312" w:eastAsia="楷体_GB2312" w:cs="楷体_GB2312"/>
                <w:color w:val="000000" w:themeColor="text1"/>
                <w:sz w:val="20"/>
                <w:szCs w:val="20"/>
                <w14:textFill>
                  <w14:solidFill>
                    <w14:schemeClr w14:val="tx1"/>
                  </w14:solidFill>
                </w14:textFill>
              </w:rPr>
              <w:t>。</w:t>
            </w:r>
          </w:p>
          <w:p w14:paraId="474DF4B7">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的，信银理财将根据上述规定向投资者发布相关信息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14:paraId="52F23400">
      <w:pPr>
        <w:snapToGrid w:val="0"/>
        <w:ind w:left="-2" w:leftChars="-1" w:right="53" w:rightChars="22"/>
        <w:outlineLvl w:val="0"/>
        <w:rPr>
          <w:rFonts w:ascii="黑体" w:hAnsi="Times New Roman" w:eastAsia="黑体" w:cs="黑体"/>
          <w:color w:val="000000" w:themeColor="text1"/>
          <w:sz w:val="20"/>
          <w:szCs w:val="20"/>
          <w14:textFill>
            <w14:solidFill>
              <w14:schemeClr w14:val="tx1"/>
            </w14:solidFill>
          </w14:textFill>
        </w:rPr>
      </w:pPr>
    </w:p>
    <w:p w14:paraId="48F1D935">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6CEF427C">
      <w:pPr>
        <w:spacing w:line="300" w:lineRule="exact"/>
        <w:ind w:left="-2" w:leftChars="-1" w:right="36" w:rightChars="15"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1B2ED197">
      <w:pPr>
        <w:pStyle w:val="19"/>
        <w:numPr>
          <w:ilvl w:val="0"/>
          <w:numId w:val="6"/>
        </w:numPr>
        <w:spacing w:line="300" w:lineRule="exact"/>
        <w:ind w:right="36" w:rightChars="15"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599A723D">
      <w:pPr>
        <w:pStyle w:val="19"/>
        <w:numPr>
          <w:ilvl w:val="0"/>
          <w:numId w:val="6"/>
        </w:numPr>
        <w:spacing w:line="300" w:lineRule="exact"/>
        <w:ind w:right="36" w:rightChars="15"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7DE2E6F8">
      <w:pPr>
        <w:pStyle w:val="19"/>
        <w:numPr>
          <w:ilvl w:val="0"/>
          <w:numId w:val="6"/>
        </w:numPr>
        <w:spacing w:line="300" w:lineRule="exact"/>
        <w:ind w:right="36" w:rightChars="15" w:firstLineChars="0"/>
        <w:jc w:val="both"/>
        <w:rPr>
          <w:rFonts w:ascii="Times New Roman" w:hAnsi="Times New Roman" w:eastAsia="楷体_GB2312"/>
          <w:b/>
          <w:color w:val="000000" w:themeColor="text1"/>
          <w:sz w:val="20"/>
          <w:szCs w:val="20"/>
          <w14:textFill>
            <w14:solidFill>
              <w14:schemeClr w14:val="tx1"/>
            </w14:solidFill>
          </w14:textFill>
        </w:rPr>
      </w:pPr>
      <w:r>
        <w:rPr>
          <w:rFonts w:hint="eastAsia"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w:t>
      </w:r>
      <w:r>
        <w:rPr>
          <w:rFonts w:ascii="Times New Roman" w:hAnsi="Times New Roman" w:eastAsia="楷体_GB2312"/>
          <w:b/>
          <w:color w:val="000000" w:themeColor="text1"/>
          <w:sz w:val="20"/>
          <w:szCs w:val="20"/>
          <w14:textFill>
            <w14:solidFill>
              <w14:schemeClr w14:val="tx1"/>
            </w14:solidFill>
          </w14:textFill>
        </w:rPr>
        <w:t>/</w:t>
      </w:r>
      <w:r>
        <w:rPr>
          <w:rFonts w:hint="eastAsia" w:ascii="Times New Roman" w:hAnsi="Times New Roman" w:eastAsia="楷体_GB2312"/>
          <w:b/>
          <w:color w:val="000000" w:themeColor="text1"/>
          <w:sz w:val="20"/>
          <w:szCs w:val="20"/>
          <w14:textFill>
            <w14:solidFill>
              <w14:schemeClr w14:val="tx1"/>
            </w14:solidFill>
          </w14:textFill>
        </w:rPr>
        <w:t>企业等各类投资对象行使出资人</w:t>
      </w:r>
      <w:r>
        <w:rPr>
          <w:rFonts w:ascii="Times New Roman" w:hAnsi="Times New Roman" w:eastAsia="楷体_GB2312"/>
          <w:b/>
          <w:color w:val="000000" w:themeColor="text1"/>
          <w:sz w:val="20"/>
          <w:szCs w:val="20"/>
          <w14:textFill>
            <w14:solidFill>
              <w14:schemeClr w14:val="tx1"/>
            </w14:solidFill>
          </w14:textFill>
        </w:rPr>
        <w:t>/</w:t>
      </w:r>
      <w:r>
        <w:rPr>
          <w:rFonts w:hint="eastAsia" w:ascii="Times New Roman" w:hAnsi="Times New Roman" w:eastAsia="楷体_GB2312"/>
          <w:b/>
          <w:color w:val="000000" w:themeColor="text1"/>
          <w:sz w:val="20"/>
          <w:szCs w:val="20"/>
          <w14:textFill>
            <w14:solidFill>
              <w14:schemeClr w14:val="tx1"/>
            </w14:solidFill>
          </w14:textFill>
        </w:rPr>
        <w:t>投资者权利（包括但不限于表决投票的权利）以及行使因理财产品财产投资于证券类基础资产（含债券、股票等）或其他基础资产（包括但不限于债权类资产）所产生的相关权利；</w:t>
      </w:r>
    </w:p>
    <w:p w14:paraId="1634F0C7">
      <w:pPr>
        <w:pStyle w:val="19"/>
        <w:numPr>
          <w:ilvl w:val="0"/>
          <w:numId w:val="6"/>
        </w:numPr>
        <w:spacing w:line="300" w:lineRule="exact"/>
        <w:ind w:right="36" w:rightChars="15" w:firstLineChars="0"/>
        <w:jc w:val="both"/>
        <w:rPr>
          <w:rFonts w:ascii="Times New Roman" w:hAnsi="Times New Roman" w:eastAsia="楷体_GB2312"/>
          <w:b/>
          <w:color w:val="000000" w:themeColor="text1"/>
          <w:sz w:val="20"/>
          <w:szCs w:val="20"/>
          <w14:textFill>
            <w14:solidFill>
              <w14:schemeClr w14:val="tx1"/>
            </w14:solidFill>
          </w14:textFill>
        </w:rPr>
      </w:pPr>
      <w:r>
        <w:rPr>
          <w:rFonts w:hint="eastAsia"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w:t>
      </w:r>
      <w:r>
        <w:rPr>
          <w:rFonts w:ascii="Times New Roman" w:hAnsi="Times New Roman" w:eastAsia="楷体_GB2312"/>
          <w:b/>
          <w:color w:val="000000" w:themeColor="text1"/>
          <w:sz w:val="20"/>
          <w:szCs w:val="20"/>
          <w14:textFill>
            <w14:solidFill>
              <w14:schemeClr w14:val="tx1"/>
            </w14:solidFill>
          </w14:textFill>
        </w:rPr>
        <w:t>/</w:t>
      </w:r>
      <w:r>
        <w:rPr>
          <w:rFonts w:hint="eastAsia" w:ascii="Times New Roman" w:hAnsi="Times New Roman" w:eastAsia="楷体_GB2312"/>
          <w:b/>
          <w:color w:val="000000" w:themeColor="text1"/>
          <w:sz w:val="20"/>
          <w:szCs w:val="20"/>
          <w14:textFill>
            <w14:solidFill>
              <w14:schemeClr w14:val="tx1"/>
            </w14:solidFill>
          </w14:textFill>
        </w:rPr>
        <w:t>仲裁、申请保全</w:t>
      </w:r>
      <w:r>
        <w:rPr>
          <w:rFonts w:ascii="Times New Roman" w:hAnsi="Times New Roman" w:eastAsia="楷体_GB2312"/>
          <w:b/>
          <w:color w:val="000000" w:themeColor="text1"/>
          <w:sz w:val="20"/>
          <w:szCs w:val="20"/>
          <w14:textFill>
            <w14:solidFill>
              <w14:schemeClr w14:val="tx1"/>
            </w14:solidFill>
          </w14:textFill>
        </w:rPr>
        <w:t>/</w:t>
      </w:r>
      <w:r>
        <w:rPr>
          <w:rFonts w:hint="eastAsia" w:ascii="Times New Roman" w:hAnsi="Times New Roman" w:eastAsia="楷体_GB2312"/>
          <w:b/>
          <w:color w:val="000000" w:themeColor="text1"/>
          <w:sz w:val="20"/>
          <w:szCs w:val="20"/>
          <w14:textFill>
            <w14:solidFill>
              <w14:schemeClr w14:val="tx1"/>
            </w14:solidFill>
          </w14:textFill>
        </w:rPr>
        <w:t>执行的权利）或者实施风险处置，行使、放弃、变更相关权利义务等其他法律行为，产生的合理费用由理财产品承担；</w:t>
      </w:r>
    </w:p>
    <w:p w14:paraId="1E51C534">
      <w:pPr>
        <w:pStyle w:val="19"/>
        <w:numPr>
          <w:ilvl w:val="0"/>
          <w:numId w:val="6"/>
        </w:numPr>
        <w:spacing w:line="300" w:lineRule="exact"/>
        <w:ind w:right="36" w:rightChars="15" w:firstLineChars="0"/>
        <w:jc w:val="both"/>
        <w:rPr>
          <w:rFonts w:ascii="Times New Roman" w:hAnsi="Times New Roman" w:eastAsia="楷体_GB2312"/>
          <w:b/>
          <w:color w:val="000000" w:themeColor="text1"/>
          <w:sz w:val="20"/>
          <w:szCs w:val="20"/>
          <w14:textFill>
            <w14:solidFill>
              <w14:schemeClr w14:val="tx1"/>
            </w14:solidFill>
          </w14:textFill>
        </w:rPr>
      </w:pPr>
      <w:r>
        <w:rPr>
          <w:rFonts w:hint="eastAsia" w:ascii="Times New Roman" w:hAnsi="Times New Roman" w:eastAsia="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2D0A0BDF">
      <w:pPr>
        <w:pStyle w:val="19"/>
        <w:numPr>
          <w:ilvl w:val="0"/>
          <w:numId w:val="6"/>
        </w:numPr>
        <w:spacing w:line="300" w:lineRule="exact"/>
        <w:ind w:right="36" w:rightChars="15" w:firstLineChars="0"/>
        <w:jc w:val="both"/>
        <w:rPr>
          <w:rFonts w:ascii="Times New Roman" w:hAnsi="Times New Roman" w:eastAsia="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 xml:space="preserve"> </w:t>
      </w:r>
      <w:r>
        <w:rPr>
          <w:rFonts w:hint="eastAsia" w:ascii="Times New Roman" w:hAnsi="Times New Roman" w:eastAsia="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1522CEF8">
      <w:pPr>
        <w:pStyle w:val="19"/>
        <w:numPr>
          <w:ilvl w:val="0"/>
          <w:numId w:val="6"/>
        </w:numPr>
        <w:spacing w:line="300" w:lineRule="exact"/>
        <w:ind w:right="36" w:rightChars="15" w:firstLineChars="0"/>
        <w:jc w:val="both"/>
        <w:rPr>
          <w:rFonts w:ascii="Times New Roman" w:hAnsi="Times New Roman" w:eastAsia="楷体_GB2312"/>
          <w:b/>
          <w:color w:val="000000" w:themeColor="text1"/>
          <w:sz w:val="20"/>
          <w:szCs w:val="20"/>
          <w14:textFill>
            <w14:solidFill>
              <w14:schemeClr w14:val="tx1"/>
            </w14:solidFill>
          </w14:textFill>
        </w:rPr>
      </w:pPr>
      <w:r>
        <w:rPr>
          <w:rFonts w:hint="eastAsia" w:ascii="Times New Roman" w:hAnsi="Times New Roman" w:eastAsia="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58120FF1">
      <w:pPr>
        <w:snapToGrid w:val="0"/>
        <w:spacing w:line="300" w:lineRule="exact"/>
        <w:ind w:left="-2" w:leftChars="-1" w:right="53" w:rightChars="22" w:firstLine="400" w:firstLineChars="200"/>
        <w:outlineLvl w:val="0"/>
        <w:rPr>
          <w:rFonts w:ascii="楷体_GB2312" w:eastAsia="楷体_GB2312"/>
          <w:color w:val="000000" w:themeColor="text1"/>
          <w:sz w:val="20"/>
          <w:szCs w:val="20"/>
          <w14:textFill>
            <w14:solidFill>
              <w14:schemeClr w14:val="tx1"/>
            </w14:solidFill>
          </w14:textFill>
        </w:rPr>
      </w:pPr>
    </w:p>
    <w:p w14:paraId="19F0447C">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四、理财产品的认购</w:t>
      </w:r>
    </w:p>
    <w:p w14:paraId="77ED47F8">
      <w:pPr>
        <w:pStyle w:val="19"/>
        <w:numPr>
          <w:ilvl w:val="0"/>
          <w:numId w:val="7"/>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投资者在募集期内可提交认购申请，认购理财产品份额。</w:t>
      </w:r>
    </w:p>
    <w:p w14:paraId="73F048E3">
      <w:pPr>
        <w:pStyle w:val="19"/>
        <w:numPr>
          <w:ilvl w:val="0"/>
          <w:numId w:val="7"/>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本理财产品采取金额认购的方式，认购份额</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人民币认购金额</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1-</w:t>
      </w:r>
      <w:r>
        <w:rPr>
          <w:rFonts w:hint="eastAsia" w:ascii="Times New Roman" w:hAnsi="Times New Roman" w:eastAsia="楷体_GB2312" w:cs="Times New Roman"/>
          <w:color w:val="000000" w:themeColor="text1"/>
          <w:sz w:val="20"/>
          <w:szCs w:val="20"/>
          <w14:textFill>
            <w14:solidFill>
              <w14:schemeClr w14:val="tx1"/>
            </w14:solidFill>
          </w14:textFill>
        </w:rPr>
        <w:t>认购费率）</w:t>
      </w:r>
      <w:r>
        <w:rPr>
          <w:rFonts w:ascii="Times New Roman" w:hAnsi="Times New Roman" w:eastAsia="楷体_GB2312" w:cs="Times New Roman"/>
          <w:color w:val="000000" w:themeColor="text1"/>
          <w:sz w:val="20"/>
          <w:szCs w:val="20"/>
          <w14:textFill>
            <w14:solidFill>
              <w14:schemeClr w14:val="tx1"/>
            </w14:solidFill>
          </w14:textFill>
        </w:rPr>
        <w:t>/1</w:t>
      </w:r>
      <w:r>
        <w:rPr>
          <w:rFonts w:hint="eastAsia" w:ascii="Times New Roman" w:hAnsi="Times New Roman" w:eastAsia="楷体_GB2312" w:cs="Times New Roman"/>
          <w:color w:val="000000" w:themeColor="text1"/>
          <w:sz w:val="20"/>
          <w:szCs w:val="20"/>
          <w14:textFill>
            <w14:solidFill>
              <w14:schemeClr w14:val="tx1"/>
            </w14:solidFill>
          </w14:textFill>
        </w:rPr>
        <w:t>元（认购份额按照四舍五入方法计算，保留小数点后【</w:t>
      </w:r>
      <w:r>
        <w:rPr>
          <w:rFonts w:ascii="Times New Roman" w:hAnsi="Times New Roman" w:eastAsia="楷体_GB2312" w:cs="Times New Roman"/>
          <w:color w:val="000000" w:themeColor="text1"/>
          <w:sz w:val="20"/>
          <w:szCs w:val="20"/>
          <w14:textFill>
            <w14:solidFill>
              <w14:schemeClr w14:val="tx1"/>
            </w14:solidFill>
          </w14:textFill>
        </w:rPr>
        <w:t>2</w:t>
      </w:r>
      <w:r>
        <w:rPr>
          <w:rFonts w:hint="eastAsia" w:ascii="Times New Roman" w:hAnsi="Times New Roman" w:eastAsia="楷体_GB2312" w:cs="Times New Roman"/>
          <w:color w:val="000000" w:themeColor="text1"/>
          <w:sz w:val="20"/>
          <w:szCs w:val="20"/>
          <w14:textFill>
            <w14:solidFill>
              <w14:schemeClr w14:val="tx1"/>
            </w14:solidFill>
          </w14:textFill>
        </w:rPr>
        <w:t>】位，</w:t>
      </w:r>
      <w:r>
        <w:rPr>
          <w:rFonts w:hint="eastAsia" w:ascii="楷体_GB2312" w:eastAsia="楷体_GB2312" w:cs="楷体_GB2312"/>
          <w:color w:val="000000" w:themeColor="text1"/>
          <w:sz w:val="20"/>
          <w:szCs w:val="20"/>
          <w14:textFill>
            <w14:solidFill>
              <w14:schemeClr w14:val="tx1"/>
            </w14:solidFill>
          </w14:textFill>
        </w:rPr>
        <w:t>由此误差产生的损失由理财财产承担，产生的收益归理财财产所有）</w:t>
      </w:r>
      <w:r>
        <w:rPr>
          <w:rFonts w:hint="eastAsia" w:ascii="Times New Roman" w:hAnsi="Times New Roman" w:eastAsia="楷体_GB2312" w:cs="Times New Roman"/>
          <w:color w:val="000000" w:themeColor="text1"/>
          <w:sz w:val="20"/>
          <w:szCs w:val="20"/>
          <w14:textFill>
            <w14:solidFill>
              <w14:schemeClr w14:val="tx1"/>
            </w14:solidFill>
          </w14:textFill>
        </w:rPr>
        <w:t>。</w:t>
      </w:r>
    </w:p>
    <w:p w14:paraId="1F4E8765">
      <w:pPr>
        <w:pStyle w:val="19"/>
        <w:numPr>
          <w:ilvl w:val="0"/>
          <w:numId w:val="7"/>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募集期结束后的第一个工作日</w:t>
      </w:r>
      <w:r>
        <w:rPr>
          <w:rFonts w:hint="eastAsia" w:ascii="Times New Roman" w:hAnsi="Times New Roman" w:eastAsia="楷体_GB2312" w:cs="Times New Roman"/>
          <w:color w:val="000000" w:themeColor="text1"/>
          <w:sz w:val="20"/>
          <w:szCs w:val="20"/>
          <w14:textFill>
            <w14:solidFill>
              <w14:schemeClr w14:val="tx1"/>
            </w14:solidFill>
          </w14:textFill>
        </w:rPr>
        <w:t>】为认购份额确认日，认购份额确认日后投资者可向销售机构查询认购是否成功。投资者通过代销机构购买理财产品的，代销机构受理认购申请并不表示对该申请成功的确认，而仅代表收到了认购申请，申请是否成功应以管理人的最终确认为准。具体而言，如管理人确认认购申请，并根据投资者的认购申请为投资者成功登记认购份额，则视为投资者的认购申请成功，并以管理人的登记结果为准。管理人会将认购申请及认购份额的确认结果及时反馈给代销机构，投资者应及时按照本产品说明书的约定查询认购结果。</w:t>
      </w:r>
    </w:p>
    <w:p w14:paraId="2BBEC886">
      <w:pPr>
        <w:pStyle w:val="19"/>
        <w:numPr>
          <w:ilvl w:val="0"/>
          <w:numId w:val="7"/>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管理人保留不接受认购申请的权利。</w:t>
      </w:r>
    </w:p>
    <w:p w14:paraId="05B8BBC0">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p>
    <w:p w14:paraId="51148BCB">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五、理财产品的申购和赎回</w:t>
      </w:r>
    </w:p>
    <w:p w14:paraId="706B7AA4">
      <w:pPr>
        <w:spacing w:line="300" w:lineRule="exact"/>
        <w:ind w:left="-2" w:leftChars="-1"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本产品不开放申购和赎回。</w:t>
      </w:r>
    </w:p>
    <w:p w14:paraId="6800E434">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22CEC653">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六、拒绝或暂停接受认购申请的情形及处理</w:t>
      </w:r>
    </w:p>
    <w:p w14:paraId="198506C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管理人可拒绝接受或暂停接受投资者的认购申请的情形包括：</w:t>
      </w:r>
    </w:p>
    <w:p w14:paraId="7673385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6848A5D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D85D0E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）当管理人认为某笔认购申请会有损于本产品其他份额持有人利益时，或基于投资运作和风险控制需要，可拒绝该笔认购申请；</w:t>
      </w:r>
    </w:p>
    <w:p w14:paraId="1E663AD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）当投资者认购金额将导致单笔认购金额上限、单个投资者持仓上限、计划募集金额上限、产品规模上限等各指标超限时，管理人有权拒绝投资者的认购申请；</w:t>
      </w:r>
    </w:p>
    <w:p w14:paraId="3AE46FC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588E631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如果投资者的认购申请被拒绝，被拒绝的认购款项将全额退还给投资者，扣款日至资金返还日期间不计付利息。投资者通过代销机构购买理财产品的，以代销机构的规定为准。</w:t>
      </w:r>
    </w:p>
    <w:p w14:paraId="00756372">
      <w:pPr>
        <w:spacing w:line="300" w:lineRule="exact"/>
        <w:ind w:right="96" w:rightChars="40"/>
        <w:rPr>
          <w:rFonts w:ascii="楷体_GB2312" w:eastAsia="楷体_GB2312" w:cs="楷体_GB2312"/>
          <w:color w:val="000000" w:themeColor="text1"/>
          <w:sz w:val="20"/>
          <w:szCs w:val="20"/>
          <w14:textFill>
            <w14:solidFill>
              <w14:schemeClr w14:val="tx1"/>
            </w14:solidFill>
          </w14:textFill>
        </w:rPr>
      </w:pPr>
    </w:p>
    <w:p w14:paraId="5B8C65A1">
      <w:pPr>
        <w:spacing w:line="300" w:lineRule="exact"/>
        <w:ind w:right="96" w:rightChars="4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w:t>
      </w:r>
      <w:r>
        <w:rPr>
          <w:rFonts w:ascii="黑体" w:eastAsia="黑体" w:cs="黑体"/>
          <w:color w:val="000000" w:themeColor="text1"/>
          <w:sz w:val="20"/>
          <w:szCs w:val="20"/>
          <w14:textFill>
            <w14:solidFill>
              <w14:schemeClr w14:val="tx1"/>
            </w14:solidFill>
          </w14:textFill>
        </w:rPr>
        <w:t>、理财资金分配</w:t>
      </w:r>
    </w:p>
    <w:p w14:paraId="1B61FF4D">
      <w:pPr>
        <w:spacing w:line="300" w:lineRule="exact"/>
        <w:ind w:right="96" w:rightChars="40"/>
        <w:rPr>
          <w:rFonts w:ascii="黑体"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1310F9B4">
      <w:pPr>
        <w:pStyle w:val="19"/>
        <w:spacing w:line="300" w:lineRule="exact"/>
        <w:ind w:left="862"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583AA53A">
      <w:pPr>
        <w:spacing w:line="300" w:lineRule="exact"/>
        <w:ind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（二）终止分配</w:t>
      </w:r>
    </w:p>
    <w:p w14:paraId="5D969546">
      <w:pPr>
        <w:spacing w:line="300" w:lineRule="exact"/>
        <w:ind w:firstLine="400" w:firstLineChars="200"/>
        <w:jc w:val="both"/>
        <w:rPr>
          <w:rFonts w:ascii="楷体_GB2312" w:eastAsia="楷体_GB2312" w:cs="楷体_GB2312"/>
          <w:b/>
          <w:sz w:val="20"/>
          <w:szCs w:val="20"/>
        </w:rPr>
      </w:pPr>
      <w:r>
        <w:rPr>
          <w:rFonts w:ascii="楷体_GB2312" w:eastAsia="楷体_GB2312" w:cs="楷体_GB2312"/>
          <w:sz w:val="20"/>
          <w:szCs w:val="20"/>
        </w:rPr>
        <w:t>1.</w:t>
      </w:r>
      <w:r>
        <w:rPr>
          <w:rFonts w:hint="eastAsia"/>
        </w:rPr>
        <w:t xml:space="preserve"> </w:t>
      </w:r>
      <w:r>
        <w:rPr>
          <w:rFonts w:hint="eastAsia" w:ascii="楷体_GB2312" w:eastAsia="楷体_GB2312" w:cs="楷体_GB2312"/>
          <w:sz w:val="20"/>
          <w:szCs w:val="20"/>
        </w:rPr>
        <w:t>本人</w:t>
      </w:r>
      <w:r>
        <w:rPr>
          <w:rFonts w:ascii="楷体_GB2312" w:eastAsia="楷体_GB2312" w:cs="楷体_GB2312"/>
          <w:sz w:val="20"/>
          <w:szCs w:val="20"/>
        </w:rPr>
        <w:t>/本单位确认，自愿同意并授权管理人代本人/本单位按照理财产品说明书中的约定，</w:t>
      </w:r>
      <w:r>
        <w:rPr>
          <w:rFonts w:ascii="楷体_GB2312" w:eastAsia="楷体_GB2312" w:cs="楷体_GB2312"/>
          <w:b/>
          <w:color w:val="FF0000"/>
          <w:sz w:val="20"/>
          <w:szCs w:val="20"/>
        </w:rPr>
        <w:t>在本产品到期日或提前终止日时，按照产品年化收益超过业绩比较基准</w:t>
      </w:r>
      <w:r>
        <w:rPr>
          <w:rFonts w:hint="eastAsia" w:ascii="楷体_GB2312" w:eastAsia="楷体_GB2312" w:cs="楷体_GB2312"/>
          <w:b/>
          <w:color w:val="FF0000"/>
          <w:sz w:val="20"/>
          <w:szCs w:val="20"/>
          <w:lang w:val="en-US" w:eastAsia="zh-CN"/>
        </w:rPr>
        <w:t>中枢</w:t>
      </w:r>
      <w:r>
        <w:rPr>
          <w:rFonts w:ascii="楷体_GB2312" w:eastAsia="楷体_GB2312" w:cs="楷体_GB2312"/>
          <w:b/>
          <w:color w:val="FF0000"/>
          <w:sz w:val="20"/>
          <w:szCs w:val="20"/>
        </w:rPr>
        <w:t>部分的【</w:t>
      </w:r>
      <w:r>
        <w:rPr>
          <w:rFonts w:hint="eastAsia" w:ascii="楷体_GB2312" w:eastAsia="楷体_GB2312" w:cs="楷体_GB2312"/>
          <w:b/>
          <w:color w:val="FF0000"/>
          <w:sz w:val="20"/>
          <w:szCs w:val="20"/>
          <w:lang w:val="en-US" w:eastAsia="zh-CN"/>
        </w:rPr>
        <w:t>5</w:t>
      </w:r>
      <w:r>
        <w:rPr>
          <w:rFonts w:ascii="楷体_GB2312" w:eastAsia="楷体_GB2312" w:cs="楷体_GB2312"/>
          <w:b/>
          <w:color w:val="FF0000"/>
          <w:sz w:val="20"/>
          <w:szCs w:val="20"/>
        </w:rPr>
        <w:t>0%】进行捐赠</w:t>
      </w:r>
      <w:r>
        <w:rPr>
          <w:rFonts w:ascii="楷体_GB2312" w:eastAsia="楷体_GB2312" w:cs="楷体_GB2312"/>
          <w:sz w:val="20"/>
          <w:szCs w:val="20"/>
        </w:rPr>
        <w:t>。在产品到期清算过程中，</w:t>
      </w:r>
      <w:r>
        <w:rPr>
          <w:rFonts w:ascii="楷体_GB2312" w:eastAsia="楷体_GB2312" w:cs="楷体_GB2312"/>
          <w:b/>
          <w:color w:val="FF0000"/>
          <w:sz w:val="20"/>
          <w:szCs w:val="20"/>
        </w:rPr>
        <w:t>如产品年化收益率超过业绩比较基准</w:t>
      </w:r>
      <w:r>
        <w:rPr>
          <w:rFonts w:hint="eastAsia" w:ascii="楷体_GB2312" w:eastAsia="楷体_GB2312" w:cs="楷体_GB2312"/>
          <w:b/>
          <w:color w:val="FF0000"/>
          <w:sz w:val="20"/>
          <w:szCs w:val="20"/>
          <w:lang w:val="en-US" w:eastAsia="zh-CN"/>
        </w:rPr>
        <w:t>中枢</w:t>
      </w:r>
      <w:r>
        <w:rPr>
          <w:rFonts w:ascii="楷体_GB2312" w:eastAsia="楷体_GB2312" w:cs="楷体_GB2312"/>
          <w:b/>
          <w:color w:val="FF0000"/>
          <w:sz w:val="20"/>
          <w:szCs w:val="20"/>
        </w:rPr>
        <w:t>，则按照超过业绩比较基准</w:t>
      </w:r>
      <w:r>
        <w:rPr>
          <w:rFonts w:hint="eastAsia" w:ascii="楷体_GB2312" w:eastAsia="楷体_GB2312" w:cs="楷体_GB2312"/>
          <w:b/>
          <w:color w:val="FF0000"/>
          <w:sz w:val="20"/>
          <w:szCs w:val="20"/>
          <w:lang w:val="en-US" w:eastAsia="zh-CN"/>
        </w:rPr>
        <w:t>中枢</w:t>
      </w:r>
      <w:r>
        <w:rPr>
          <w:rFonts w:ascii="楷体_GB2312" w:eastAsia="楷体_GB2312" w:cs="楷体_GB2312"/>
          <w:b/>
          <w:color w:val="FF0000"/>
          <w:sz w:val="20"/>
          <w:szCs w:val="20"/>
        </w:rPr>
        <w:t>部分的【</w:t>
      </w:r>
      <w:r>
        <w:rPr>
          <w:rFonts w:hint="eastAsia" w:ascii="楷体_GB2312" w:eastAsia="楷体_GB2312" w:cs="楷体_GB2312"/>
          <w:b/>
          <w:color w:val="FF0000"/>
          <w:sz w:val="20"/>
          <w:szCs w:val="20"/>
          <w:lang w:val="en-US" w:eastAsia="zh-CN"/>
        </w:rPr>
        <w:t>5</w:t>
      </w:r>
      <w:r>
        <w:rPr>
          <w:rFonts w:ascii="楷体_GB2312" w:eastAsia="楷体_GB2312" w:cs="楷体_GB2312"/>
          <w:b/>
          <w:color w:val="FF0000"/>
          <w:sz w:val="20"/>
          <w:szCs w:val="20"/>
        </w:rPr>
        <w:t>0%】进行捐赠。管理人将代投资者直接将捐赠金额以投资者名义捐赠至【</w:t>
      </w:r>
      <w:r>
        <w:rPr>
          <w:rFonts w:hint="eastAsia" w:ascii="楷体_GB2312" w:eastAsia="楷体_GB2312" w:cs="楷体_GB2312"/>
          <w:b/>
          <w:color w:val="FF0000"/>
          <w:sz w:val="20"/>
          <w:szCs w:val="20"/>
          <w:lang w:val="en-US" w:eastAsia="zh-CN"/>
        </w:rPr>
        <w:t>浙江省慈善联合总会</w:t>
      </w:r>
      <w:r>
        <w:rPr>
          <w:rFonts w:ascii="楷体_GB2312" w:eastAsia="楷体_GB2312" w:cs="楷体_GB2312"/>
          <w:b/>
          <w:color w:val="FF0000"/>
          <w:sz w:val="20"/>
          <w:szCs w:val="20"/>
        </w:rPr>
        <w:t>】（网址</w:t>
      </w:r>
      <w:r>
        <w:rPr>
          <w:rFonts w:hint="eastAsia" w:ascii="楷体_GB2312" w:eastAsia="楷体_GB2312" w:cs="楷体_GB2312"/>
          <w:b/>
          <w:color w:val="FF0000"/>
          <w:sz w:val="20"/>
          <w:szCs w:val="20"/>
          <w:lang w:val="en-US" w:eastAsia="zh-CN"/>
        </w:rPr>
        <w:t>https://www.zcf.org.cn</w:t>
      </w:r>
      <w:r>
        <w:rPr>
          <w:rFonts w:hint="eastAsia" w:ascii="楷体_GB2312" w:eastAsia="楷体_GB2312" w:cs="楷体_GB2312"/>
          <w:b/>
          <w:color w:val="FF0000"/>
          <w:sz w:val="20"/>
          <w:szCs w:val="20"/>
        </w:rPr>
        <w:t>，地方性公募基金会</w:t>
      </w:r>
      <w:r>
        <w:rPr>
          <w:rFonts w:ascii="楷体_GB2312" w:eastAsia="楷体_GB2312" w:cs="楷体_GB2312"/>
          <w:b/>
          <w:color w:val="FF0000"/>
          <w:sz w:val="20"/>
          <w:szCs w:val="20"/>
        </w:rPr>
        <w:t>）</w:t>
      </w:r>
      <w:r>
        <w:rPr>
          <w:rFonts w:ascii="楷体_GB2312" w:eastAsia="楷体_GB2312" w:cs="楷体_GB2312"/>
          <w:sz w:val="20"/>
          <w:szCs w:val="20"/>
        </w:rPr>
        <w:t>，产品到期后，投资者可通过产品销售机构或产品销售机构认可的其他方式申请办理相关捐赠证明，具体可详询【中信银行24小时</w:t>
      </w:r>
      <w:r>
        <w:rPr>
          <w:rFonts w:hint="eastAsia" w:ascii="楷体_GB2312" w:eastAsia="楷体_GB2312" w:cs="楷体_GB2312"/>
          <w:sz w:val="20"/>
          <w:szCs w:val="20"/>
        </w:rPr>
        <w:t>客户服务热线</w:t>
      </w:r>
      <w:r>
        <w:rPr>
          <w:rFonts w:ascii="楷体_GB2312" w:eastAsia="楷体_GB2312" w:cs="楷体_GB2312"/>
          <w:sz w:val="20"/>
          <w:szCs w:val="20"/>
        </w:rPr>
        <w:t>95558】【信银理财客户服务热线950950，工作时间为工作日8：30-20：30】。</w:t>
      </w:r>
      <w:r>
        <w:rPr>
          <w:rFonts w:ascii="楷体_GB2312" w:eastAsia="楷体_GB2312" w:cs="楷体_GB2312"/>
          <w:b/>
          <w:color w:val="FF0000"/>
          <w:sz w:val="20"/>
          <w:szCs w:val="20"/>
        </w:rPr>
        <w:t>投资者同意将捐赠金额的【</w:t>
      </w:r>
      <w:r>
        <w:rPr>
          <w:rFonts w:hint="eastAsia" w:ascii="楷体_GB2312" w:eastAsia="楷体_GB2312" w:cs="楷体_GB2312"/>
          <w:b/>
          <w:color w:val="FF0000"/>
          <w:sz w:val="20"/>
          <w:szCs w:val="20"/>
          <w:lang w:val="en-US" w:eastAsia="zh-CN"/>
        </w:rPr>
        <w:t>10</w:t>
      </w:r>
      <w:r>
        <w:rPr>
          <w:rFonts w:ascii="楷体_GB2312" w:eastAsia="楷体_GB2312" w:cs="楷体_GB2312"/>
          <w:b/>
          <w:color w:val="FF0000"/>
          <w:sz w:val="20"/>
          <w:szCs w:val="20"/>
        </w:rPr>
        <w:t>%】用于【</w:t>
      </w:r>
      <w:r>
        <w:rPr>
          <w:rFonts w:hint="eastAsia" w:ascii="楷体_GB2312" w:eastAsia="楷体_GB2312" w:cs="楷体_GB2312"/>
          <w:b/>
          <w:color w:val="FF0000"/>
          <w:sz w:val="20"/>
          <w:szCs w:val="20"/>
          <w:lang w:val="en-US" w:eastAsia="zh-CN"/>
        </w:rPr>
        <w:t>浙江省慈善联合总会</w:t>
      </w:r>
      <w:r>
        <w:rPr>
          <w:rFonts w:ascii="楷体_GB2312" w:eastAsia="楷体_GB2312" w:cs="楷体_GB2312"/>
          <w:b/>
          <w:color w:val="FF0000"/>
          <w:sz w:val="20"/>
          <w:szCs w:val="20"/>
        </w:rPr>
        <w:t>】管理费用</w:t>
      </w:r>
      <w:r>
        <w:rPr>
          <w:rFonts w:ascii="楷体_GB2312" w:eastAsia="楷体_GB2312" w:cs="楷体_GB2312"/>
          <w:sz w:val="20"/>
          <w:szCs w:val="20"/>
        </w:rPr>
        <w:t>，【</w:t>
      </w:r>
      <w:r>
        <w:rPr>
          <w:rFonts w:hint="eastAsia" w:ascii="楷体_GB2312" w:eastAsia="楷体_GB2312" w:cs="楷体_GB2312"/>
          <w:sz w:val="20"/>
          <w:szCs w:val="20"/>
          <w:lang w:val="en-US" w:eastAsia="zh-CN"/>
        </w:rPr>
        <w:t>浙江省慈善联合总会</w:t>
      </w:r>
      <w:r>
        <w:rPr>
          <w:rFonts w:ascii="楷体_GB2312" w:eastAsia="楷体_GB2312" w:cs="楷体_GB2312"/>
          <w:sz w:val="20"/>
          <w:szCs w:val="20"/>
        </w:rPr>
        <w:t>】有权按照相关法律法规的要求，合理使用捐赠款项，但不得擅自改变捐赠款项用途。投资者知晓并同意本次慈善捐赠为不可撤销的赠与，投资者无权要求信银理财或【</w:t>
      </w:r>
      <w:r>
        <w:rPr>
          <w:rFonts w:hint="eastAsia" w:ascii="楷体_GB2312" w:eastAsia="楷体_GB2312" w:cs="楷体_GB2312"/>
          <w:sz w:val="20"/>
          <w:szCs w:val="20"/>
          <w:lang w:val="en-US" w:eastAsia="zh-CN"/>
        </w:rPr>
        <w:t>浙江省慈善联合总会</w:t>
      </w:r>
      <w:r>
        <w:rPr>
          <w:rFonts w:ascii="楷体_GB2312" w:eastAsia="楷体_GB2312" w:cs="楷体_GB2312"/>
          <w:sz w:val="20"/>
          <w:szCs w:val="20"/>
        </w:rPr>
        <w:t>】返还捐赠款项。投资者同意并授权信银理财向【</w:t>
      </w:r>
      <w:r>
        <w:rPr>
          <w:rFonts w:hint="eastAsia" w:ascii="楷体_GB2312" w:eastAsia="楷体_GB2312" w:cs="楷体_GB2312"/>
          <w:sz w:val="20"/>
          <w:szCs w:val="20"/>
          <w:lang w:val="en-US" w:eastAsia="zh-CN"/>
        </w:rPr>
        <w:t>浙江省慈善联合总会</w:t>
      </w:r>
      <w:r>
        <w:rPr>
          <w:rFonts w:ascii="楷体_GB2312" w:eastAsia="楷体_GB2312" w:cs="楷体_GB2312"/>
          <w:sz w:val="20"/>
          <w:szCs w:val="20"/>
        </w:rPr>
        <w:t>】提供【投资者姓名、身份证号、持有的理财产品份额、手机号码、邮箱地址】等信息以用于开具捐赠证明或</w:t>
      </w:r>
      <w:r>
        <w:rPr>
          <w:rFonts w:hint="eastAsia" w:ascii="楷体_GB2312" w:eastAsia="楷体_GB2312" w:cs="楷体_GB2312"/>
          <w:sz w:val="20"/>
          <w:szCs w:val="20"/>
        </w:rPr>
        <w:t>捐赠票据。</w:t>
      </w:r>
    </w:p>
    <w:p w14:paraId="45BA3A58">
      <w:pPr>
        <w:spacing w:line="300" w:lineRule="exact"/>
        <w:ind w:right="96" w:rightChars="40" w:firstLine="402" w:firstLineChars="200"/>
        <w:jc w:val="both"/>
        <w:rPr>
          <w:rFonts w:ascii="楷体_GB2312" w:eastAsia="楷体_GB2312" w:cs="楷体_GB2312"/>
          <w:b/>
          <w:sz w:val="20"/>
          <w:szCs w:val="20"/>
        </w:rPr>
      </w:pPr>
      <w:r>
        <w:rPr>
          <w:rFonts w:hint="eastAsia" w:ascii="楷体_GB2312" w:eastAsia="楷体_GB2312" w:cs="楷体_GB2312"/>
          <w:b/>
          <w:sz w:val="20"/>
          <w:szCs w:val="20"/>
        </w:rPr>
        <w:t>投资者</w:t>
      </w:r>
      <w:r>
        <w:rPr>
          <w:rFonts w:ascii="楷体_GB2312" w:eastAsia="楷体_GB2312" w:cs="楷体_GB2312"/>
          <w:b/>
          <w:sz w:val="20"/>
          <w:szCs w:val="20"/>
        </w:rPr>
        <w:t xml:space="preserve">确认, 如因政策原因、政府行为、不可抗力等因素导致捐赠款项被退回，或慈善组织被撤销登记、吊销登记证书或被采取其他监管措施, 或发生相关监管部门对慈善组织进行检查、监管调查及处罚等风险，或存在其他经信银理财合理判断该慈善组织已不能或不宜接受捐赠的情形, </w:t>
      </w:r>
      <w:r>
        <w:rPr>
          <w:rFonts w:hint="eastAsia" w:ascii="楷体_GB2312" w:eastAsia="楷体_GB2312" w:cs="楷体_GB2312"/>
          <w:b/>
          <w:sz w:val="20"/>
          <w:szCs w:val="20"/>
        </w:rPr>
        <w:t>投资者</w:t>
      </w:r>
      <w:r>
        <w:rPr>
          <w:rFonts w:ascii="楷体_GB2312" w:eastAsia="楷体_GB2312" w:cs="楷体_GB2312"/>
          <w:b/>
          <w:sz w:val="20"/>
          <w:szCs w:val="20"/>
        </w:rPr>
        <w:t>自愿并授权信银理财根据法律法规或相关主管机构的规定进行处理（包括但不限于授权信银理财代本人/本单位选择其他宗旨相同或相近的慈善组织按照理财产品说明书中的约定进行捐赠，由届时接受捐赠的慈善组织按其规定收取管理费用并将捐赠款项依法用于其他慈</w:t>
      </w:r>
      <w:r>
        <w:rPr>
          <w:rFonts w:hint="eastAsia" w:ascii="楷体_GB2312" w:eastAsia="楷体_GB2312" w:cs="楷体_GB2312"/>
          <w:b/>
          <w:sz w:val="20"/>
          <w:szCs w:val="20"/>
        </w:rPr>
        <w:t>善公益项目）。</w:t>
      </w:r>
    </w:p>
    <w:p w14:paraId="33905AC5">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14:paraId="71F2C505">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093A5882">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401EC0F6">
      <w:pPr>
        <w:spacing w:line="300" w:lineRule="exact"/>
        <w:jc w:val="both"/>
        <w:rPr>
          <w:rFonts w:ascii="楷体_GB2312" w:eastAsia="楷体_GB2312"/>
          <w:sz w:val="20"/>
          <w:szCs w:val="20"/>
        </w:rPr>
      </w:pPr>
      <w:r>
        <w:rPr>
          <w:rFonts w:hint="eastAsia" w:ascii="楷体_GB2312" w:eastAsia="楷体_GB2312" w:cs="楷体_GB2312"/>
          <w:sz w:val="20"/>
          <w:szCs w:val="20"/>
        </w:rPr>
        <w:t>投资者应得资金</w:t>
      </w:r>
      <w:r>
        <w:rPr>
          <w:rFonts w:ascii="楷体_GB2312" w:eastAsia="楷体_GB2312" w:cs="楷体_GB2312"/>
          <w:sz w:val="20"/>
          <w:szCs w:val="20"/>
        </w:rPr>
        <w:t>=</w:t>
      </w:r>
      <w:r>
        <w:rPr>
          <w:rFonts w:hint="eastAsia" w:ascii="楷体_GB2312" w:eastAsia="楷体_GB2312" w:cs="楷体_GB2312"/>
          <w:sz w:val="20"/>
          <w:szCs w:val="20"/>
        </w:rPr>
        <w:t>到期日产品可分配的总金额</w:t>
      </w:r>
      <w:r>
        <w:rPr>
          <w:rFonts w:ascii="楷体_GB2312" w:eastAsia="楷体_GB2312" w:cs="楷体_GB2312"/>
          <w:sz w:val="20"/>
          <w:szCs w:val="20"/>
        </w:rPr>
        <w:t>/产品的总份额*投资者的持有份额-投资者授权信银理财捐赠资金</w:t>
      </w:r>
      <w:r>
        <w:rPr>
          <w:rFonts w:hint="eastAsia" w:ascii="楷体_GB2312" w:eastAsia="楷体_GB2312" w:cs="楷体_GB2312"/>
          <w:sz w:val="20"/>
          <w:szCs w:val="20"/>
        </w:rPr>
        <w:t>（如有）</w:t>
      </w:r>
    </w:p>
    <w:p w14:paraId="38D9A039">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w:t>
      </w:r>
      <w:r>
        <w:rPr>
          <w:rFonts w:ascii="楷体_GB2312" w:eastAsia="楷体_GB2312" w:cs="楷体_GB2312"/>
          <w:color w:val="000000" w:themeColor="text1"/>
          <w:sz w:val="20"/>
          <w:szCs w:val="20"/>
          <w14:textFill>
            <w14:solidFill>
              <w14:schemeClr w14:val="tx1"/>
            </w14:solidFill>
          </w14:textFill>
        </w:rPr>
        <w:t>说明书</w:t>
      </w:r>
      <w:r>
        <w:rPr>
          <w:rFonts w:hint="eastAsia" w:ascii="楷体_GB2312" w:eastAsia="楷体_GB2312" w:cs="楷体_GB2312"/>
          <w:color w:val="000000" w:themeColor="text1"/>
          <w:sz w:val="20"/>
          <w:szCs w:val="20"/>
          <w14:textFill>
            <w14:solidFill>
              <w14:schemeClr w14:val="tx1"/>
            </w14:solidFill>
          </w14:textFill>
        </w:rPr>
        <w:t>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323A0793">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08F0E57F">
      <w:pPr>
        <w:spacing w:line="300" w:lineRule="exact"/>
        <w:ind w:left="-2" w:leftChars="-1" w:right="36" w:rightChars="15"/>
        <w:rPr>
          <w:color w:val="000000" w:themeColor="text1"/>
          <w14:textFill>
            <w14:solidFill>
              <w14:schemeClr w14:val="tx1"/>
            </w14:solidFill>
          </w14:textFill>
        </w:rPr>
      </w:pPr>
    </w:p>
    <w:p w14:paraId="2F86C2D0">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八、理财产品的费用</w:t>
      </w:r>
    </w:p>
    <w:p w14:paraId="28FF5B6E">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05D2B751">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2．认购费</w:t>
      </w:r>
      <w:r>
        <w:rPr>
          <w:rFonts w:hint="eastAsia" w:ascii="楷体_GB2312" w:eastAsia="楷体_GB2312" w:cs="楷体_GB2312"/>
          <w:b/>
          <w:color w:val="000000"/>
          <w:sz w:val="20"/>
          <w:szCs w:val="20"/>
        </w:rPr>
        <w:t>：</w:t>
      </w:r>
      <w:r>
        <w:rPr>
          <w:rFonts w:hint="eastAsia" w:ascii="楷体_GB2312" w:eastAsia="楷体_GB2312" w:cs="楷体_GB2312"/>
          <w:b/>
          <w:color w:val="000000"/>
          <w:sz w:val="20"/>
          <w:szCs w:val="20"/>
          <w:lang w:val="en-US" w:eastAsia="zh-CN"/>
        </w:rPr>
        <w:t>B</w:t>
      </w:r>
      <w:r>
        <w:rPr>
          <w:rFonts w:ascii="楷体_GB2312" w:eastAsia="楷体_GB2312"/>
          <w:b/>
          <w:sz w:val="20"/>
          <w:szCs w:val="20"/>
        </w:rPr>
        <w:t>类份额不收取认购费</w:t>
      </w:r>
      <w:r>
        <w:rPr>
          <w:rFonts w:hint="eastAsia" w:ascii="楷体_GB2312" w:eastAsia="楷体_GB2312"/>
          <w:b/>
          <w:sz w:val="20"/>
          <w:szCs w:val="20"/>
          <w:lang w:eastAsia="zh-CN"/>
        </w:rPr>
        <w:t>，</w:t>
      </w:r>
      <w:r>
        <w:rPr>
          <w:rFonts w:hint="eastAsia" w:ascii="楷体_GB2312" w:eastAsia="楷体_GB2312"/>
          <w:b/>
          <w:sz w:val="20"/>
          <w:szCs w:val="20"/>
          <w:lang w:val="en-US" w:eastAsia="zh-CN"/>
        </w:rPr>
        <w:t>G</w:t>
      </w:r>
      <w:r>
        <w:rPr>
          <w:rFonts w:ascii="楷体_GB2312" w:eastAsia="楷体_GB2312"/>
          <w:b/>
          <w:sz w:val="20"/>
          <w:szCs w:val="20"/>
        </w:rPr>
        <w:t>类份额不收取认购费</w:t>
      </w:r>
      <w:r>
        <w:rPr>
          <w:rFonts w:hint="eastAsia" w:ascii="楷体_GB2312" w:eastAsia="楷体_GB2312"/>
          <w:b/>
          <w:sz w:val="20"/>
          <w:szCs w:val="20"/>
          <w:lang w:eastAsia="zh-CN"/>
        </w:rPr>
        <w:t>，</w:t>
      </w:r>
      <w:r>
        <w:rPr>
          <w:rFonts w:hint="eastAsia" w:ascii="楷体_GB2312" w:eastAsia="楷体_GB2312"/>
          <w:b/>
          <w:sz w:val="20"/>
          <w:szCs w:val="20"/>
          <w:lang w:val="en-US" w:eastAsia="zh-CN"/>
        </w:rPr>
        <w:t>M</w:t>
      </w:r>
      <w:r>
        <w:rPr>
          <w:rFonts w:ascii="楷体_GB2312" w:eastAsia="楷体_GB2312"/>
          <w:b/>
          <w:sz w:val="20"/>
          <w:szCs w:val="20"/>
        </w:rPr>
        <w:t>类份额不收取认购费</w:t>
      </w:r>
      <w:r>
        <w:rPr>
          <w:rFonts w:ascii="楷体_GB2312" w:eastAsia="楷体_GB2312" w:cs="楷体_GB2312"/>
          <w:b/>
          <w:color w:val="000000"/>
          <w:sz w:val="20"/>
          <w:szCs w:val="20"/>
        </w:rPr>
        <w:t>。</w:t>
      </w:r>
    </w:p>
    <w:p w14:paraId="14E68969">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3</w:t>
      </w:r>
      <w:r>
        <w:rPr>
          <w:rFonts w:hint="eastAsia" w:ascii="楷体_GB2312" w:eastAsia="楷体_GB2312" w:cs="楷体_GB2312"/>
          <w:b/>
          <w:color w:val="000000"/>
          <w:sz w:val="20"/>
          <w:szCs w:val="20"/>
        </w:rPr>
        <w:t>．</w:t>
      </w:r>
      <w:r>
        <w:rPr>
          <w:rFonts w:ascii="楷体_GB2312" w:eastAsia="楷体_GB2312" w:cs="楷体_GB2312"/>
          <w:b/>
          <w:color w:val="000000"/>
          <w:sz w:val="20"/>
          <w:szCs w:val="20"/>
        </w:rPr>
        <w:t>销售服务费</w:t>
      </w:r>
    </w:p>
    <w:p w14:paraId="2132E389">
      <w:pPr>
        <w:snapToGrid w:val="0"/>
        <w:spacing w:line="300" w:lineRule="exact"/>
        <w:ind w:firstLine="402" w:firstLineChars="200"/>
        <w:outlineLvl w:val="0"/>
        <w:rPr>
          <w:rFonts w:ascii="楷体_GB2312" w:eastAsia="楷体_GB2312"/>
          <w:b/>
          <w:sz w:val="20"/>
          <w:szCs w:val="20"/>
        </w:rPr>
      </w:pPr>
      <w:r>
        <w:rPr>
          <w:rFonts w:hint="eastAsia" w:ascii="楷体_GB2312" w:eastAsia="楷体_GB2312" w:cs="楷体_GB2312"/>
          <w:b/>
          <w:sz w:val="20"/>
          <w:szCs w:val="20"/>
          <w:lang w:val="en-US" w:eastAsia="zh-CN"/>
        </w:rPr>
        <w:t>B</w:t>
      </w:r>
      <w:r>
        <w:rPr>
          <w:rFonts w:ascii="楷体_GB2312" w:eastAsia="楷体_GB2312" w:cs="楷体_GB2312"/>
          <w:b/>
          <w:sz w:val="20"/>
          <w:szCs w:val="20"/>
        </w:rPr>
        <w:t>类份额费率【0.</w:t>
      </w:r>
      <w:r>
        <w:rPr>
          <w:rFonts w:hint="eastAsia" w:ascii="楷体_GB2312" w:eastAsia="楷体_GB2312" w:cs="楷体_GB2312"/>
          <w:b/>
          <w:sz w:val="20"/>
          <w:szCs w:val="20"/>
          <w:lang w:val="en-US" w:eastAsia="zh-CN"/>
        </w:rPr>
        <w:t>15</w:t>
      </w:r>
      <w:r>
        <w:rPr>
          <w:rFonts w:ascii="楷体_GB2312" w:eastAsia="楷体_GB2312" w:cs="楷体_GB2312"/>
          <w:b/>
          <w:sz w:val="20"/>
          <w:szCs w:val="20"/>
        </w:rPr>
        <w:t>%】/年</w:t>
      </w:r>
      <w:r>
        <w:rPr>
          <w:rFonts w:hint="eastAsia" w:ascii="楷体_GB2312" w:eastAsia="楷体_GB2312" w:cs="楷体_GB2312"/>
          <w:b/>
          <w:sz w:val="20"/>
          <w:szCs w:val="20"/>
        </w:rPr>
        <w:t>，</w:t>
      </w:r>
      <w:r>
        <w:rPr>
          <w:rFonts w:hint="eastAsia" w:ascii="楷体_GB2312" w:eastAsia="楷体_GB2312" w:cs="楷体_GB2312"/>
          <w:b/>
          <w:sz w:val="20"/>
          <w:szCs w:val="20"/>
          <w:lang w:val="en-US" w:eastAsia="zh-CN"/>
        </w:rPr>
        <w:t>G</w:t>
      </w:r>
      <w:r>
        <w:rPr>
          <w:rFonts w:ascii="楷体_GB2312" w:eastAsia="楷体_GB2312" w:cs="楷体_GB2312"/>
          <w:b/>
          <w:sz w:val="20"/>
          <w:szCs w:val="20"/>
        </w:rPr>
        <w:t>类份额费率【0.</w:t>
      </w:r>
      <w:r>
        <w:rPr>
          <w:rFonts w:hint="eastAsia" w:ascii="楷体_GB2312" w:eastAsia="楷体_GB2312" w:cs="楷体_GB2312"/>
          <w:b/>
          <w:sz w:val="20"/>
          <w:szCs w:val="20"/>
          <w:lang w:val="en-US" w:eastAsia="zh-CN"/>
        </w:rPr>
        <w:t>25</w:t>
      </w:r>
      <w:r>
        <w:rPr>
          <w:rFonts w:ascii="楷体_GB2312" w:eastAsia="楷体_GB2312" w:cs="楷体_GB2312"/>
          <w:b/>
          <w:sz w:val="20"/>
          <w:szCs w:val="20"/>
        </w:rPr>
        <w:t>%】/年</w:t>
      </w:r>
      <w:r>
        <w:rPr>
          <w:rFonts w:hint="eastAsia" w:ascii="楷体_GB2312" w:eastAsia="楷体_GB2312" w:cs="楷体_GB2312"/>
          <w:b/>
          <w:sz w:val="20"/>
          <w:szCs w:val="20"/>
          <w:lang w:eastAsia="zh-CN"/>
        </w:rPr>
        <w:t>，</w:t>
      </w:r>
      <w:r>
        <w:rPr>
          <w:rFonts w:hint="eastAsia" w:ascii="楷体_GB2312" w:eastAsia="楷体_GB2312" w:cs="楷体_GB2312"/>
          <w:b/>
          <w:sz w:val="20"/>
          <w:szCs w:val="20"/>
          <w:lang w:val="en-US" w:eastAsia="zh-CN"/>
        </w:rPr>
        <w:t>M</w:t>
      </w:r>
      <w:r>
        <w:rPr>
          <w:rFonts w:ascii="楷体_GB2312" w:eastAsia="楷体_GB2312" w:cs="楷体_GB2312"/>
          <w:b/>
          <w:sz w:val="20"/>
          <w:szCs w:val="20"/>
        </w:rPr>
        <w:t>类份额费率【0.</w:t>
      </w:r>
      <w:r>
        <w:rPr>
          <w:rFonts w:hint="eastAsia" w:ascii="楷体_GB2312" w:eastAsia="楷体_GB2312" w:cs="楷体_GB2312"/>
          <w:b/>
          <w:sz w:val="20"/>
          <w:szCs w:val="20"/>
          <w:lang w:val="en-US" w:eastAsia="zh-CN"/>
        </w:rPr>
        <w:t>05</w:t>
      </w:r>
      <w:r>
        <w:rPr>
          <w:rFonts w:ascii="楷体_GB2312" w:eastAsia="楷体_GB2312" w:cs="楷体_GB2312"/>
          <w:b/>
          <w:sz w:val="20"/>
          <w:szCs w:val="20"/>
        </w:rPr>
        <w:t>%】/年</w:t>
      </w:r>
      <w:r>
        <w:rPr>
          <w:rFonts w:hint="eastAsia" w:ascii="楷体_GB2312" w:eastAsia="楷体_GB2312" w:cs="楷体_GB2312"/>
          <w:b/>
          <w:sz w:val="20"/>
          <w:szCs w:val="20"/>
          <w:lang w:eastAsia="zh-CN"/>
        </w:rPr>
        <w:t>，</w:t>
      </w:r>
      <w:r>
        <w:rPr>
          <w:rFonts w:ascii="楷体_GB2312" w:eastAsia="楷体_GB2312" w:cs="楷体_GB2312"/>
          <w:b/>
          <w:sz w:val="20"/>
          <w:szCs w:val="20"/>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hint="eastAsia" w:ascii="楷体_GB2312" w:eastAsia="楷体_GB2312" w:cs="楷体_GB2312"/>
          <w:b/>
          <w:sz w:val="20"/>
          <w:szCs w:val="20"/>
        </w:rPr>
        <w:t>。</w:t>
      </w:r>
    </w:p>
    <w:p w14:paraId="503F3B50">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销售服务费每日计提，按【</w:t>
      </w:r>
      <w:r>
        <w:rPr>
          <w:rFonts w:hint="eastAsia" w:ascii="楷体_GB2312" w:eastAsia="楷体_GB2312" w:cs="楷体_GB2312"/>
          <w:b/>
          <w:sz w:val="20"/>
          <w:szCs w:val="20"/>
        </w:rPr>
        <w:t>季</w:t>
      </w:r>
      <w:r>
        <w:rPr>
          <w:rFonts w:ascii="楷体_GB2312" w:eastAsia="楷体_GB2312" w:cs="楷体_GB2312"/>
          <w:b/>
          <w:color w:val="000000"/>
          <w:sz w:val="20"/>
          <w:szCs w:val="20"/>
        </w:rPr>
        <w:t>】支付，由管理人向托管人发送指令，托管人复核后按【季】从资产中一次性支付。投资者通过代销机构购买理财产品的，代销机构收取的</w:t>
      </w:r>
      <w:r>
        <w:rPr>
          <w:rFonts w:hint="eastAsia" w:ascii="楷体_GB2312" w:eastAsia="楷体_GB2312" w:cs="楷体_GB2312"/>
          <w:b/>
          <w:color w:val="000000"/>
          <w:sz w:val="20"/>
          <w:szCs w:val="20"/>
        </w:rPr>
        <w:t>销售</w:t>
      </w:r>
      <w:r>
        <w:rPr>
          <w:rFonts w:ascii="楷体_GB2312" w:eastAsia="楷体_GB2312" w:cs="楷体_GB2312"/>
          <w:b/>
          <w:color w:val="000000"/>
          <w:sz w:val="20"/>
          <w:szCs w:val="20"/>
        </w:rPr>
        <w:t>相关费用以代销机构规定为准。</w:t>
      </w:r>
    </w:p>
    <w:p w14:paraId="5B464A08">
      <w:pPr>
        <w:spacing w:line="300" w:lineRule="exact"/>
        <w:ind w:firstLine="402" w:firstLineChars="200"/>
        <w:rPr>
          <w:rFonts w:ascii="楷体_GB2312" w:eastAsia="楷体_GB2312" w:cs="楷体_GB2312"/>
          <w:b/>
          <w:color w:val="000000"/>
          <w:sz w:val="20"/>
          <w:szCs w:val="20"/>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09FD53EF">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4．托管费</w:t>
      </w:r>
    </w:p>
    <w:p w14:paraId="24BE2AE6">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费率【0.0</w:t>
      </w:r>
      <w:r>
        <w:rPr>
          <w:rFonts w:hint="eastAsia" w:ascii="楷体_GB2312" w:eastAsia="楷体_GB2312" w:cs="楷体_GB2312"/>
          <w:b/>
          <w:sz w:val="20"/>
          <w:szCs w:val="20"/>
          <w:lang w:val="en-US" w:eastAsia="zh-CN"/>
        </w:rPr>
        <w:t>2</w:t>
      </w:r>
      <w:r>
        <w:rPr>
          <w:rFonts w:ascii="楷体_GB2312" w:eastAsia="楷体_GB2312" w:cs="楷体_GB2312"/>
          <w:b/>
          <w:sz w:val="20"/>
          <w:szCs w:val="20"/>
        </w:rPr>
        <w:t>%】/年，计算方式为【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hint="eastAsia" w:ascii="楷体_GB2312" w:eastAsia="楷体_GB2312" w:cs="楷体_GB2312"/>
          <w:b/>
          <w:sz w:val="20"/>
          <w:szCs w:val="20"/>
        </w:rPr>
        <w:t>。</w:t>
      </w:r>
    </w:p>
    <w:p w14:paraId="620E1E65">
      <w:pPr>
        <w:snapToGrid w:val="0"/>
        <w:spacing w:line="300" w:lineRule="exact"/>
        <w:ind w:firstLine="402" w:firstLineChars="200"/>
        <w:outlineLvl w:val="0"/>
        <w:rPr>
          <w:rFonts w:ascii="楷体_GB2312" w:eastAsia="楷体_GB2312"/>
          <w:b/>
          <w:color w:val="000000"/>
          <w:sz w:val="20"/>
          <w:szCs w:val="20"/>
        </w:rPr>
      </w:pPr>
      <w:r>
        <w:rPr>
          <w:rFonts w:ascii="楷体_GB2312" w:eastAsia="楷体_GB2312" w:cs="楷体_GB2312"/>
          <w:b/>
          <w:color w:val="000000"/>
          <w:sz w:val="20"/>
          <w:szCs w:val="20"/>
        </w:rPr>
        <w:t>托管费每日计提，按【年】支付，由管理人向托管人发送指令，托管人复核后从资产中一次性支付。</w:t>
      </w:r>
    </w:p>
    <w:p w14:paraId="795109BA">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5．固定管理费</w:t>
      </w:r>
    </w:p>
    <w:p w14:paraId="6CFD19A1">
      <w:pPr>
        <w:snapToGrid w:val="0"/>
        <w:spacing w:line="300" w:lineRule="exact"/>
        <w:ind w:firstLine="402" w:firstLineChars="200"/>
        <w:outlineLvl w:val="0"/>
        <w:rPr>
          <w:rFonts w:ascii="楷体_GB2312" w:eastAsia="楷体_GB2312"/>
          <w:b/>
          <w:sz w:val="20"/>
          <w:szCs w:val="20"/>
        </w:rPr>
      </w:pPr>
      <w:r>
        <w:rPr>
          <w:rFonts w:hint="eastAsia" w:ascii="楷体_GB2312" w:eastAsia="楷体_GB2312" w:cs="楷体_GB2312"/>
          <w:b/>
          <w:sz w:val="20"/>
          <w:szCs w:val="20"/>
        </w:rPr>
        <w:t>费率【</w:t>
      </w:r>
      <w:r>
        <w:rPr>
          <w:rFonts w:ascii="楷体_GB2312" w:eastAsia="楷体_GB2312" w:cs="楷体_GB2312"/>
          <w:b/>
          <w:sz w:val="20"/>
          <w:szCs w:val="20"/>
        </w:rPr>
        <w:t>0.</w:t>
      </w:r>
      <w:r>
        <w:rPr>
          <w:rFonts w:hint="eastAsia" w:ascii="楷体_GB2312" w:eastAsia="楷体_GB2312" w:cs="楷体_GB2312"/>
          <w:b/>
          <w:sz w:val="20"/>
          <w:szCs w:val="20"/>
          <w:lang w:val="en-US" w:eastAsia="zh-CN"/>
        </w:rPr>
        <w:t>05</w:t>
      </w:r>
      <w:r>
        <w:rPr>
          <w:rFonts w:ascii="楷体_GB2312" w:eastAsia="楷体_GB2312" w:cs="楷体_GB2312"/>
          <w:b/>
          <w:sz w:val="20"/>
          <w:szCs w:val="20"/>
        </w:rPr>
        <w:t>%】/年，计算方式为【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hint="eastAsia" w:ascii="楷体_GB2312" w:eastAsia="楷体_GB2312" w:cs="楷体_GB2312"/>
          <w:b/>
          <w:sz w:val="20"/>
          <w:szCs w:val="20"/>
        </w:rPr>
        <w:t>。</w:t>
      </w:r>
    </w:p>
    <w:p w14:paraId="02C42A8F">
      <w:pPr>
        <w:snapToGrid w:val="0"/>
        <w:spacing w:line="300" w:lineRule="exact"/>
        <w:ind w:left="-2" w:leftChars="-1" w:firstLine="402" w:firstLineChars="200"/>
        <w:outlineLvl w:val="0"/>
        <w:rPr>
          <w:rFonts w:ascii="楷体_GB2312" w:eastAsia="楷体_GB2312"/>
          <w:b/>
          <w:sz w:val="20"/>
          <w:szCs w:val="20"/>
        </w:rPr>
      </w:pPr>
      <w:r>
        <w:rPr>
          <w:rFonts w:hint="eastAsia" w:ascii="楷体_GB2312" w:eastAsia="楷体_GB2312" w:cs="楷体_GB2312"/>
          <w:b/>
          <w:sz w:val="20"/>
          <w:szCs w:val="20"/>
        </w:rPr>
        <w:t>固定管理费每日计提，按【月】支付，由管理人向托管人发送指令，托管人复核后从资产中一次性支付。</w:t>
      </w:r>
    </w:p>
    <w:p w14:paraId="19E9A269">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6．浮动管理费</w:t>
      </w:r>
    </w:p>
    <w:p w14:paraId="7A7D75F7">
      <w:pPr>
        <w:snapToGrid w:val="0"/>
        <w:spacing w:line="300" w:lineRule="exact"/>
        <w:ind w:right="96" w:rightChars="40" w:firstLine="402" w:firstLineChars="200"/>
        <w:outlineLvl w:val="0"/>
        <w:rPr>
          <w:rFonts w:ascii="楷体_GB2312" w:eastAsia="楷体_GB2312"/>
          <w:b/>
          <w:sz w:val="20"/>
          <w:szCs w:val="20"/>
        </w:rPr>
      </w:pPr>
      <w:r>
        <w:rPr>
          <w:rFonts w:hint="eastAsia" w:ascii="楷体_GB2312" w:eastAsia="楷体_GB2312"/>
          <w:b/>
          <w:sz w:val="20"/>
          <w:szCs w:val="20"/>
          <w:lang w:val="en-US" w:eastAsia="zh-CN"/>
        </w:rPr>
        <w:t>B</w:t>
      </w:r>
      <w:r>
        <w:rPr>
          <w:rFonts w:ascii="楷体_GB2312" w:eastAsia="楷体_GB2312"/>
          <w:b/>
          <w:sz w:val="20"/>
          <w:szCs w:val="20"/>
        </w:rPr>
        <w:t>类份额</w:t>
      </w:r>
      <w:r>
        <w:rPr>
          <w:rFonts w:hint="eastAsia" w:ascii="楷体_GB2312" w:eastAsia="楷体_GB2312"/>
          <w:b/>
          <w:sz w:val="20"/>
          <w:szCs w:val="20"/>
        </w:rPr>
        <w:t>不收取</w:t>
      </w:r>
      <w:r>
        <w:rPr>
          <w:rFonts w:ascii="楷体_GB2312" w:eastAsia="楷体_GB2312"/>
          <w:b/>
          <w:sz w:val="20"/>
          <w:szCs w:val="20"/>
        </w:rPr>
        <w:t>浮动管理费。</w:t>
      </w:r>
      <w:r>
        <w:rPr>
          <w:rFonts w:hint="eastAsia" w:ascii="楷体_GB2312" w:eastAsia="楷体_GB2312"/>
          <w:b/>
          <w:sz w:val="20"/>
          <w:szCs w:val="20"/>
        </w:rPr>
        <w:t>在本产品到期日或提前终止日时，如产品计提浮动管理费前年化收益率超过</w:t>
      </w:r>
      <w:r>
        <w:rPr>
          <w:rFonts w:hint="eastAsia" w:ascii="楷体_GB2312" w:eastAsia="楷体_GB2312"/>
          <w:b/>
          <w:sz w:val="20"/>
          <w:szCs w:val="20"/>
          <w:lang w:val="en-US" w:eastAsia="zh-CN"/>
        </w:rPr>
        <w:t>2.40%</w:t>
      </w:r>
      <w:r>
        <w:rPr>
          <w:rFonts w:hint="eastAsia" w:ascii="楷体_GB2312" w:eastAsia="楷体_GB2312"/>
          <w:b/>
          <w:sz w:val="20"/>
          <w:szCs w:val="20"/>
        </w:rPr>
        <w:t>的，投资者同意管理人代投资者按照产品计提浮动管理费前年化收益超过</w:t>
      </w:r>
      <w:r>
        <w:rPr>
          <w:rFonts w:hint="eastAsia" w:ascii="楷体_GB2312" w:eastAsia="楷体_GB2312"/>
          <w:b/>
          <w:sz w:val="20"/>
          <w:szCs w:val="20"/>
          <w:lang w:val="en-US" w:eastAsia="zh-CN"/>
        </w:rPr>
        <w:t>2.40%</w:t>
      </w:r>
      <w:r>
        <w:rPr>
          <w:rFonts w:hint="eastAsia" w:ascii="楷体_GB2312" w:eastAsia="楷体_GB2312"/>
          <w:b/>
          <w:sz w:val="20"/>
          <w:szCs w:val="20"/>
        </w:rPr>
        <w:t>的</w:t>
      </w:r>
      <w:r>
        <w:rPr>
          <w:rFonts w:hint="eastAsia" w:ascii="楷体_GB2312" w:eastAsia="楷体_GB2312"/>
          <w:b/>
          <w:sz w:val="20"/>
          <w:szCs w:val="20"/>
          <w:lang w:val="en-US" w:eastAsia="zh-CN"/>
        </w:rPr>
        <w:t>5</w:t>
      </w:r>
      <w:r>
        <w:rPr>
          <w:rFonts w:ascii="楷体_GB2312" w:eastAsia="楷体_GB2312"/>
          <w:b/>
          <w:sz w:val="20"/>
          <w:szCs w:val="20"/>
        </w:rPr>
        <w:t>0%进行捐赠。</w:t>
      </w:r>
    </w:p>
    <w:p w14:paraId="497DF36E">
      <w:pPr>
        <w:snapToGrid w:val="0"/>
        <w:spacing w:line="300" w:lineRule="exact"/>
        <w:ind w:right="96" w:rightChars="40" w:firstLine="402" w:firstLineChars="200"/>
        <w:outlineLvl w:val="0"/>
        <w:rPr>
          <w:rFonts w:ascii="楷体_GB2312" w:eastAsia="楷体_GB2312"/>
          <w:b/>
          <w:sz w:val="20"/>
          <w:szCs w:val="20"/>
        </w:rPr>
      </w:pPr>
      <w:r>
        <w:rPr>
          <w:rFonts w:hint="eastAsia" w:ascii="楷体_GB2312" w:eastAsia="楷体_GB2312"/>
          <w:b/>
          <w:sz w:val="20"/>
          <w:szCs w:val="20"/>
          <w:lang w:val="en-US" w:eastAsia="zh-CN"/>
        </w:rPr>
        <w:t>G</w:t>
      </w:r>
      <w:r>
        <w:rPr>
          <w:rFonts w:ascii="楷体_GB2312" w:eastAsia="楷体_GB2312"/>
          <w:b/>
          <w:sz w:val="20"/>
          <w:szCs w:val="20"/>
        </w:rPr>
        <w:t>类份额</w:t>
      </w:r>
      <w:r>
        <w:rPr>
          <w:rFonts w:hint="eastAsia" w:ascii="楷体_GB2312" w:eastAsia="楷体_GB2312"/>
          <w:b/>
          <w:sz w:val="20"/>
          <w:szCs w:val="20"/>
        </w:rPr>
        <w:t>不收取</w:t>
      </w:r>
      <w:r>
        <w:rPr>
          <w:rFonts w:ascii="楷体_GB2312" w:eastAsia="楷体_GB2312"/>
          <w:b/>
          <w:sz w:val="20"/>
          <w:szCs w:val="20"/>
        </w:rPr>
        <w:t>浮动管理费。</w:t>
      </w:r>
      <w:r>
        <w:rPr>
          <w:rFonts w:hint="eastAsia" w:ascii="楷体_GB2312" w:eastAsia="楷体_GB2312"/>
          <w:b/>
          <w:sz w:val="20"/>
          <w:szCs w:val="20"/>
        </w:rPr>
        <w:t>在本产品到期日或提前终止日时，如产品计提浮动管理费前年化收益率超过</w:t>
      </w:r>
      <w:r>
        <w:rPr>
          <w:rFonts w:hint="eastAsia" w:ascii="楷体_GB2312" w:eastAsia="楷体_GB2312"/>
          <w:b/>
          <w:sz w:val="20"/>
          <w:szCs w:val="20"/>
          <w:lang w:val="en-US" w:eastAsia="zh-CN"/>
        </w:rPr>
        <w:t>2.30%</w:t>
      </w:r>
      <w:r>
        <w:rPr>
          <w:rFonts w:hint="eastAsia" w:ascii="楷体_GB2312" w:eastAsia="楷体_GB2312"/>
          <w:b/>
          <w:sz w:val="20"/>
          <w:szCs w:val="20"/>
        </w:rPr>
        <w:t>的，投资者同意管理人代投资者按照产品计提浮动管理费前年化收益超过</w:t>
      </w:r>
      <w:r>
        <w:rPr>
          <w:rFonts w:hint="eastAsia" w:ascii="楷体_GB2312" w:eastAsia="楷体_GB2312"/>
          <w:b/>
          <w:sz w:val="20"/>
          <w:szCs w:val="20"/>
          <w:lang w:val="en-US" w:eastAsia="zh-CN"/>
        </w:rPr>
        <w:t>2.30%</w:t>
      </w:r>
      <w:r>
        <w:rPr>
          <w:rFonts w:hint="eastAsia" w:ascii="楷体_GB2312" w:eastAsia="楷体_GB2312"/>
          <w:b/>
          <w:sz w:val="20"/>
          <w:szCs w:val="20"/>
        </w:rPr>
        <w:t>的</w:t>
      </w:r>
      <w:r>
        <w:rPr>
          <w:rFonts w:hint="eastAsia" w:ascii="楷体_GB2312" w:eastAsia="楷体_GB2312"/>
          <w:b/>
          <w:sz w:val="20"/>
          <w:szCs w:val="20"/>
          <w:lang w:val="en-US" w:eastAsia="zh-CN"/>
        </w:rPr>
        <w:t>5</w:t>
      </w:r>
      <w:r>
        <w:rPr>
          <w:rFonts w:ascii="楷体_GB2312" w:eastAsia="楷体_GB2312"/>
          <w:b/>
          <w:sz w:val="20"/>
          <w:szCs w:val="20"/>
        </w:rPr>
        <w:t>0%进行捐赠。</w:t>
      </w:r>
    </w:p>
    <w:p w14:paraId="58D00274">
      <w:pPr>
        <w:snapToGrid w:val="0"/>
        <w:spacing w:line="300" w:lineRule="exact"/>
        <w:ind w:right="96" w:rightChars="40" w:firstLine="402" w:firstLineChars="200"/>
        <w:outlineLvl w:val="0"/>
        <w:rPr>
          <w:rFonts w:ascii="楷体_GB2312" w:eastAsia="楷体_GB2312"/>
          <w:b/>
          <w:sz w:val="20"/>
          <w:szCs w:val="20"/>
        </w:rPr>
      </w:pPr>
      <w:r>
        <w:rPr>
          <w:rFonts w:hint="eastAsia" w:ascii="楷体_GB2312" w:eastAsia="楷体_GB2312"/>
          <w:b/>
          <w:sz w:val="20"/>
          <w:szCs w:val="20"/>
          <w:lang w:val="en-US" w:eastAsia="zh-CN"/>
        </w:rPr>
        <w:t>M</w:t>
      </w:r>
      <w:r>
        <w:rPr>
          <w:rFonts w:ascii="楷体_GB2312" w:eastAsia="楷体_GB2312"/>
          <w:b/>
          <w:sz w:val="20"/>
          <w:szCs w:val="20"/>
        </w:rPr>
        <w:t>类份额</w:t>
      </w:r>
      <w:r>
        <w:rPr>
          <w:rFonts w:hint="eastAsia" w:ascii="楷体_GB2312" w:eastAsia="楷体_GB2312"/>
          <w:b/>
          <w:sz w:val="20"/>
          <w:szCs w:val="20"/>
        </w:rPr>
        <w:t>不收取</w:t>
      </w:r>
      <w:r>
        <w:rPr>
          <w:rFonts w:ascii="楷体_GB2312" w:eastAsia="楷体_GB2312"/>
          <w:b/>
          <w:sz w:val="20"/>
          <w:szCs w:val="20"/>
        </w:rPr>
        <w:t>浮动管理费。</w:t>
      </w:r>
      <w:r>
        <w:rPr>
          <w:rFonts w:hint="eastAsia" w:ascii="楷体_GB2312" w:eastAsia="楷体_GB2312"/>
          <w:b/>
          <w:sz w:val="20"/>
          <w:szCs w:val="20"/>
        </w:rPr>
        <w:t>在本产品到期日或提前终止日时，如产品计提浮动管理费前年化收益率超过</w:t>
      </w:r>
      <w:r>
        <w:rPr>
          <w:rFonts w:hint="eastAsia" w:ascii="楷体_GB2312" w:eastAsia="楷体_GB2312"/>
          <w:b/>
          <w:sz w:val="20"/>
          <w:szCs w:val="20"/>
          <w:lang w:val="en-US" w:eastAsia="zh-CN"/>
        </w:rPr>
        <w:t>2.50%</w:t>
      </w:r>
      <w:r>
        <w:rPr>
          <w:rFonts w:hint="eastAsia" w:ascii="楷体_GB2312" w:eastAsia="楷体_GB2312"/>
          <w:b/>
          <w:sz w:val="20"/>
          <w:szCs w:val="20"/>
        </w:rPr>
        <w:t>的，投资者同意管理人代投资者按照产品计提浮动管理费前年化收益超过</w:t>
      </w:r>
      <w:r>
        <w:rPr>
          <w:rFonts w:hint="eastAsia" w:ascii="楷体_GB2312" w:eastAsia="楷体_GB2312"/>
          <w:b/>
          <w:sz w:val="20"/>
          <w:szCs w:val="20"/>
          <w:lang w:val="en-US" w:eastAsia="zh-CN"/>
        </w:rPr>
        <w:t>2.50%</w:t>
      </w:r>
      <w:r>
        <w:rPr>
          <w:rFonts w:hint="eastAsia" w:ascii="楷体_GB2312" w:eastAsia="楷体_GB2312"/>
          <w:b/>
          <w:sz w:val="20"/>
          <w:szCs w:val="20"/>
        </w:rPr>
        <w:t>的</w:t>
      </w:r>
      <w:r>
        <w:rPr>
          <w:rFonts w:hint="eastAsia" w:ascii="楷体_GB2312" w:eastAsia="楷体_GB2312"/>
          <w:b/>
          <w:sz w:val="20"/>
          <w:szCs w:val="20"/>
          <w:lang w:val="en-US" w:eastAsia="zh-CN"/>
        </w:rPr>
        <w:t>5</w:t>
      </w:r>
      <w:r>
        <w:rPr>
          <w:rFonts w:ascii="楷体_GB2312" w:eastAsia="楷体_GB2312"/>
          <w:b/>
          <w:sz w:val="20"/>
          <w:szCs w:val="20"/>
        </w:rPr>
        <w:t>0%进行捐赠。</w:t>
      </w:r>
    </w:p>
    <w:p w14:paraId="1062073D">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7.产品运作和清算中产生的其他资金汇划费、结算费、交易手续费、注册登记费、信息披露费、账户服务费、审计费、律师费</w:t>
      </w:r>
      <w:r>
        <w:rPr>
          <w:rFonts w:hint="eastAsia" w:ascii="楷体_GB2312" w:eastAsia="楷体_GB2312" w:cs="楷体_GB2312"/>
          <w:b/>
          <w:color w:val="000000"/>
          <w:sz w:val="20"/>
          <w:szCs w:val="20"/>
        </w:rPr>
        <w:t>、因投资资产而产生的资产推荐服务费等相关费用</w:t>
      </w:r>
      <w:r>
        <w:rPr>
          <w:rFonts w:ascii="楷体_GB2312" w:eastAsia="楷体_GB2312" w:cs="楷体_GB2312"/>
          <w:b/>
          <w:color w:val="000000"/>
          <w:sz w:val="20"/>
          <w:szCs w:val="20"/>
        </w:rPr>
        <w:t>及按照法律法规规章规定和理财产品销售文件约定应由产品承担的费用等，按照实际发生时从产品资产中列支。</w:t>
      </w:r>
    </w:p>
    <w:p w14:paraId="7242F5AD">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64B39A11">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九、资产估值</w:t>
      </w:r>
    </w:p>
    <w:p w14:paraId="4D7D072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306A13F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净值披露日和收益分配日</w:t>
      </w:r>
      <w:r>
        <w:rPr>
          <w:rFonts w:ascii="楷体_GB2312" w:eastAsia="楷体_GB2312" w:cs="楷体_GB2312"/>
          <w:color w:val="000000" w:themeColor="text1"/>
          <w:sz w:val="20"/>
          <w:szCs w:val="20"/>
          <w14:textFill>
            <w14:solidFill>
              <w14:schemeClr w14:val="tx1"/>
            </w14:solidFill>
          </w14:textFill>
        </w:rPr>
        <w:t>。</w:t>
      </w:r>
    </w:p>
    <w:p w14:paraId="62B2FC7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27CE352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75C0AA4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0B020E5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36186F3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69FF916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在符合企业会计准则及监管要求前提下，若产品投资以收取合同现金流量为目的并持有到期的债券，可采用“摊余成本法”计量；</w:t>
      </w:r>
    </w:p>
    <w:p w14:paraId="1E5FF0A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其它不符合上述条件的，按第三方估值机构（中债、中证等）提供的相应品种当日的估值净价进行估值，未获取到第三方估值结果的，按照最新监管规定进行估值。</w:t>
      </w:r>
    </w:p>
    <w:p w14:paraId="3DA98A0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00D470A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4C7A342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62867B6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5592AB1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 xml:space="preserve">5）非上市股权估值 </w:t>
      </w:r>
    </w:p>
    <w:p w14:paraId="6F2F9F4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已在全国中小企业股份转让系统挂牌的股票，如其交易量及交易频率足以持续提供公允价值信息的，参考上市公司股票估值方法确定公允价值；对于未在股转系统挂牌或是已挂牌但其交易量或交易频率不足以反映公允价值的，应当充分考虑市场参与者在选择估值方法时考虑的各种因素，选择有充足证据表明能够准确估值的方法、估值技术或第三方专业评估机构等对非上市股权投资进行估值。</w:t>
      </w:r>
    </w:p>
    <w:p w14:paraId="151079B7">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6）信托计划、资管计划、私募基金等资产，以对方管理人披露的可获取到的最新净值，或前一估值日后至估值日期间（含节假日）能获取到的最新万分收益进行估值。</w:t>
      </w:r>
    </w:p>
    <w:p w14:paraId="63D9BD2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7）非标准化债权，在符合企业会计准则及监管要求前提下，可采用摊余成本法计量；存在并可以确定公允价值的，以公允价值估值，公允价值不能确定的，按照最新监管规定或管理人认可的估值技术进行估值。</w:t>
      </w:r>
    </w:p>
    <w:p w14:paraId="023FDADC">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578A4C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9）期货、互换、期权等衍生金融工具，有活跃市场的交易，以最近交易日结算价或收盘价进行估值；无活跃市场的交易，按照第三方机构提供的估值数据或管理人认可的估值技术进行估值。</w:t>
      </w:r>
    </w:p>
    <w:p w14:paraId="02369F3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10）对于以摊余成本法计量的资产，按照企业会计准则要求，采用第三方减值计量结果或模型计量结果进行预期信用损失计提。</w:t>
      </w:r>
    </w:p>
    <w:p w14:paraId="34BF405C">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11）若本产品存续期间持有其他投资品种，以管理人和托管人共同认可的方法估值。</w:t>
      </w:r>
    </w:p>
    <w:p w14:paraId="6D6998C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12）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00A6E26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13）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0AF2F4F6">
      <w:pPr>
        <w:spacing w:line="300" w:lineRule="exact"/>
        <w:ind w:firstLine="426" w:firstLineChars="213"/>
        <w:jc w:val="both"/>
        <w:rPr>
          <w:rFonts w:ascii="楷体_GB2312" w:eastAsia="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53EAE3B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错误的处理</w:t>
      </w:r>
    </w:p>
    <w:p w14:paraId="03CE2E2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w:t>
      </w:r>
      <w:r>
        <w:rPr>
          <w:rFonts w:ascii="楷体_GB2312" w:eastAsia="楷体_GB2312" w:cs="楷体_GB2312"/>
          <w:color w:val="000000" w:themeColor="text1"/>
          <w:sz w:val="20"/>
          <w:szCs w:val="20"/>
          <w14:textFill>
            <w14:solidFill>
              <w14:schemeClr w14:val="tx1"/>
            </w14:solidFill>
          </w14:textFill>
        </w:rPr>
        <w:t>托管人</w:t>
      </w:r>
      <w:r>
        <w:rPr>
          <w:rFonts w:hint="eastAsia" w:ascii="楷体_GB2312" w:eastAsia="楷体_GB2312" w:cs="楷体_GB2312"/>
          <w:color w:val="000000" w:themeColor="text1"/>
          <w:sz w:val="20"/>
          <w:szCs w:val="20"/>
          <w14:textFill>
            <w14:solidFill>
              <w14:schemeClr w14:val="tx1"/>
            </w14:solidFill>
          </w14:textFill>
        </w:rPr>
        <w:t>应当立即予以纠正，并采取合理的措施防止损失进一步扩大。</w:t>
      </w:r>
    </w:p>
    <w:p w14:paraId="694777F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）估值错误处理原则</w:t>
      </w:r>
    </w:p>
    <w:p w14:paraId="456B080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由于管理人或托管人自身的过错造成估值错误，导致投资者遭受损失的，由估值错误责任方按照各自过错程度对该估值错误导致投资者遭受的直接损失给予赔偿，承担赔偿责任。</w:t>
      </w:r>
    </w:p>
    <w:p w14:paraId="5A7EBE6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对于因技术原因引起的差错，若系同行业现有技术水平无法预见、无法避免、无法抗拒，属不可抗力。因不可抗力原因出现差错的当事人不对投资者承担赔偿责任，但</w:t>
      </w:r>
      <w:r>
        <w:rPr>
          <w:rFonts w:ascii="楷体_GB2312" w:eastAsia="楷体_GB2312"/>
          <w:color w:val="000000" w:themeColor="text1"/>
          <w:sz w:val="20"/>
          <w:szCs w:val="20"/>
          <w14:textFill>
            <w14:solidFill>
              <w14:schemeClr w14:val="tx1"/>
            </w14:solidFill>
          </w14:textFill>
        </w:rPr>
        <w:t>应当积极采取必要措施消除</w:t>
      </w:r>
      <w:r>
        <w:rPr>
          <w:rFonts w:hint="eastAsia" w:ascii="楷体_GB2312" w:eastAsia="楷体_GB2312"/>
          <w:color w:val="000000" w:themeColor="text1"/>
          <w:sz w:val="20"/>
          <w:szCs w:val="20"/>
          <w14:textFill>
            <w14:solidFill>
              <w14:schemeClr w14:val="tx1"/>
            </w14:solidFill>
          </w14:textFill>
        </w:rPr>
        <w:t>差错</w:t>
      </w:r>
      <w:r>
        <w:rPr>
          <w:rFonts w:ascii="楷体_GB2312" w:eastAsia="楷体_GB2312"/>
          <w:color w:val="000000" w:themeColor="text1"/>
          <w:sz w:val="20"/>
          <w:szCs w:val="20"/>
          <w14:textFill>
            <w14:solidFill>
              <w14:schemeClr w14:val="tx1"/>
            </w14:solidFill>
          </w14:textFill>
        </w:rPr>
        <w:t>带来的影响</w:t>
      </w:r>
      <w:r>
        <w:rPr>
          <w:rFonts w:hint="eastAsia" w:ascii="楷体_GB2312" w:eastAsia="楷体_GB2312"/>
          <w:color w:val="000000" w:themeColor="text1"/>
          <w:sz w:val="20"/>
          <w:szCs w:val="20"/>
          <w14:textFill>
            <w14:solidFill>
              <w14:schemeClr w14:val="tx1"/>
            </w14:solidFill>
          </w14:textFill>
        </w:rPr>
        <w:t>。</w:t>
      </w:r>
    </w:p>
    <w:p w14:paraId="4996519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3B4DCEE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w:t>
      </w:r>
      <w:r>
        <w:rPr>
          <w:rFonts w:hint="eastAsia" w:ascii="楷体_GB2312" w:eastAsia="楷体_GB2312"/>
          <w:color w:val="000000" w:themeColor="text1"/>
          <w:sz w:val="20"/>
          <w:szCs w:val="20"/>
          <w14:textFill>
            <w14:solidFill>
              <w14:schemeClr w14:val="tx1"/>
            </w14:solidFill>
          </w14:textFill>
        </w:rPr>
        <w:t>当估值出现错误时，因估值错误而获得不当得利的投资者负有及时返还不当得利的义务。</w:t>
      </w:r>
    </w:p>
    <w:p w14:paraId="6879688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w:t>
      </w:r>
      <w:r>
        <w:rPr>
          <w:rFonts w:hint="eastAsia" w:ascii="楷体_GB2312" w:eastAsia="楷体_GB2312"/>
          <w:color w:val="000000" w:themeColor="text1"/>
          <w:sz w:val="20"/>
          <w:szCs w:val="20"/>
          <w14:textFill>
            <w14:solidFill>
              <w14:schemeClr w14:val="tx1"/>
            </w14:solidFill>
          </w14:textFill>
        </w:rPr>
        <w:t>按法律法规规定的其他原则处理估值错误。</w:t>
      </w:r>
    </w:p>
    <w:p w14:paraId="065CC8E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）估值错误处理程序</w:t>
      </w:r>
    </w:p>
    <w:p w14:paraId="7A04CFA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6DFBAA1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查明估值错误发生的原因，列明所有的管理人和托管人并根据估值错误发生的原因确定估值错误的责任方。</w:t>
      </w:r>
    </w:p>
    <w:p w14:paraId="0314EFF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根据估值错误处理原则对因估值错误造成的损失进行评估。</w:t>
      </w:r>
    </w:p>
    <w:p w14:paraId="41E3851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根据管理人和托管人协商的方法，由管理人和托管人共同进行更正，由估值错误的责任方进行赔偿损失。</w:t>
      </w:r>
    </w:p>
    <w:p w14:paraId="257075D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特殊情况的处理</w:t>
      </w:r>
    </w:p>
    <w:p w14:paraId="7896E68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5C01157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）前述内容如法律法规、监管机关另有规定的，或有关会计准则发生变化等，按照国家最新规定或管理人最新约定估值。如果行业另有通行做法，管理人和托管人本着平等和保护投资者的原则进行协商。</w:t>
      </w:r>
    </w:p>
    <w:p w14:paraId="150A19B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．暂停</w:t>
      </w:r>
      <w:r>
        <w:rPr>
          <w:rFonts w:ascii="楷体_GB2312" w:eastAsia="楷体_GB2312" w:cs="楷体_GB2312"/>
          <w:color w:val="000000" w:themeColor="text1"/>
          <w:sz w:val="20"/>
          <w:szCs w:val="20"/>
          <w14:textFill>
            <w14:solidFill>
              <w14:schemeClr w14:val="tx1"/>
            </w14:solidFill>
          </w14:textFill>
        </w:rPr>
        <w:t>估值的情形</w:t>
      </w:r>
    </w:p>
    <w:p w14:paraId="41FCCF0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6907AE2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产品投资所涉及的交易市场遇法定节假日或因其他原因暂停营业时；</w:t>
      </w:r>
    </w:p>
    <w:p w14:paraId="6C67C1F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4ECD2C8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1B1C3A1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0C743A9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w:t>
      </w:r>
      <w:r>
        <w:rPr>
          <w:rFonts w:ascii="楷体_GB2312" w:eastAsia="楷体_GB2312" w:cs="楷体_GB2312"/>
          <w:color w:val="000000" w:themeColor="text1"/>
          <w:sz w:val="20"/>
          <w:szCs w:val="20"/>
          <w14:textFill>
            <w14:solidFill>
              <w14:schemeClr w14:val="tx1"/>
            </w14:solidFill>
          </w14:textFill>
        </w:rPr>
        <w:t>以上情形，</w:t>
      </w:r>
      <w:r>
        <w:rPr>
          <w:rFonts w:hint="eastAsia" w:ascii="楷体_GB2312" w:eastAsia="楷体_GB2312" w:cs="楷体_GB2312"/>
          <w:color w:val="000000" w:themeColor="text1"/>
          <w:sz w:val="20"/>
          <w:szCs w:val="20"/>
          <w14:textFill>
            <w14:solidFill>
              <w14:schemeClr w14:val="tx1"/>
            </w14:solidFill>
          </w14:textFill>
        </w:rPr>
        <w:t>管理人可暂停本产品估值直至另行通知。</w:t>
      </w:r>
    </w:p>
    <w:p w14:paraId="4811E6E9">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651B2EE8">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十、产品不成立</w:t>
      </w:r>
    </w:p>
    <w:p w14:paraId="56EF869E">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7DE95B4D">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】个工作日内返还投资者本金（扣款日至本金返还日期间不计付利息。投资者通过代销机构购买的，计息规则以代销机构规定为准）。投资者</w:t>
      </w:r>
      <w:r>
        <w:rPr>
          <w:rFonts w:ascii="楷体_GB2312" w:eastAsia="楷体_GB2312" w:cs="楷体_GB2312"/>
          <w:color w:val="000000" w:themeColor="text1"/>
          <w:sz w:val="20"/>
          <w:szCs w:val="20"/>
          <w14:textFill>
            <w14:solidFill>
              <w14:schemeClr w14:val="tx1"/>
            </w14:solidFill>
          </w14:textFill>
        </w:rPr>
        <w:t>通过代销机构渠道购买</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产品的，</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本金</w:t>
      </w:r>
      <w:r>
        <w:rPr>
          <w:rFonts w:hint="eastAsia" w:ascii="楷体_GB2312" w:eastAsia="楷体_GB2312" w:cs="楷体_GB2312"/>
          <w:color w:val="000000" w:themeColor="text1"/>
          <w:sz w:val="20"/>
          <w:szCs w:val="20"/>
          <w14:textFill>
            <w14:solidFill>
              <w14:schemeClr w14:val="tx1"/>
            </w14:solidFill>
          </w14:textFill>
        </w:rPr>
        <w:t>划转至</w:t>
      </w:r>
      <w:r>
        <w:rPr>
          <w:rFonts w:ascii="楷体_GB2312" w:eastAsia="楷体_GB2312" w:cs="楷体_GB2312"/>
          <w:color w:val="000000" w:themeColor="text1"/>
          <w:sz w:val="20"/>
          <w:szCs w:val="20"/>
          <w14:textFill>
            <w14:solidFill>
              <w14:schemeClr w14:val="tx1"/>
            </w14:solidFill>
          </w14:textFill>
        </w:rPr>
        <w:t>投资者账户的时间以代销机构</w:t>
      </w:r>
      <w:r>
        <w:rPr>
          <w:rFonts w:hint="eastAsia" w:ascii="楷体_GB2312" w:eastAsia="楷体_GB2312" w:cs="楷体_GB2312"/>
          <w:color w:val="000000" w:themeColor="text1"/>
          <w:sz w:val="20"/>
          <w:szCs w:val="20"/>
          <w14:textFill>
            <w14:solidFill>
              <w14:schemeClr w14:val="tx1"/>
            </w14:solidFill>
          </w14:textFill>
        </w:rPr>
        <w:t>清算</w:t>
      </w:r>
      <w:r>
        <w:rPr>
          <w:rFonts w:ascii="楷体_GB2312" w:eastAsia="楷体_GB2312" w:cs="楷体_GB2312"/>
          <w:color w:val="000000" w:themeColor="text1"/>
          <w:sz w:val="20"/>
          <w:szCs w:val="20"/>
          <w14:textFill>
            <w14:solidFill>
              <w14:schemeClr w14:val="tx1"/>
            </w14:solidFill>
          </w14:textFill>
        </w:rPr>
        <w:t>时间为准。</w:t>
      </w:r>
    </w:p>
    <w:p w14:paraId="38E073C0">
      <w:pPr>
        <w:snapToGrid w:val="0"/>
        <w:ind w:left="-2" w:leftChars="-1" w:right="53" w:rightChars="22"/>
        <w:rPr>
          <w:color w:val="000000" w:themeColor="text1"/>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42CE36AC">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十一、产品的提前终止</w:t>
      </w:r>
    </w:p>
    <w:p w14:paraId="63A56263">
      <w:pPr>
        <w:spacing w:line="300" w:lineRule="exact"/>
        <w:ind w:firstLine="400" w:firstLineChars="200"/>
        <w:jc w:val="both"/>
        <w:rPr>
          <w:rFonts w:ascii="楷体_GB2312" w:eastAsia="楷体_GB2312" w:cs="楷体_GB2312"/>
          <w:color w:val="000000"/>
          <w:sz w:val="20"/>
          <w:szCs w:val="20"/>
        </w:rPr>
      </w:pPr>
      <w:r>
        <w:rPr>
          <w:rFonts w:ascii="楷体_GB2312" w:eastAsia="楷体_GB2312" w:cs="楷体_GB2312"/>
          <w:color w:val="000000"/>
          <w:sz w:val="20"/>
          <w:szCs w:val="20"/>
        </w:rPr>
        <w:t>1．</w:t>
      </w:r>
      <w:r>
        <w:rPr>
          <w:rFonts w:hint="eastAsia" w:ascii="楷体_GB2312" w:eastAsia="楷体_GB2312" w:cs="楷体_GB2312"/>
          <w:color w:val="000000"/>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8BF38D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w:t>
      </w:r>
      <w:r>
        <w:rPr>
          <w:rFonts w:ascii="楷体_GB2312" w:eastAsia="楷体_GB2312" w:cs="楷体_GB2312"/>
          <w:color w:val="000000"/>
          <w:sz w:val="20"/>
          <w:szCs w:val="20"/>
        </w:rPr>
        <w:t>1）遇不可抗力事件</w:t>
      </w:r>
      <w:r>
        <w:rPr>
          <w:rFonts w:hint="eastAsia" w:ascii="楷体_GB2312" w:eastAsia="楷体_GB2312" w:cs="楷体_GB2312"/>
          <w:color w:val="000000"/>
          <w:sz w:val="20"/>
          <w:szCs w:val="20"/>
        </w:rPr>
        <w:t>、</w:t>
      </w:r>
      <w:r>
        <w:rPr>
          <w:rFonts w:ascii="楷体_GB2312" w:eastAsia="楷体_GB2312" w:cs="楷体_GB2312"/>
          <w:color w:val="000000"/>
          <w:sz w:val="20"/>
          <w:szCs w:val="20"/>
        </w:rPr>
        <w:t>法律法规</w:t>
      </w:r>
      <w:r>
        <w:rPr>
          <w:rFonts w:hint="eastAsia" w:ascii="楷体_GB2312" w:eastAsia="楷体_GB2312" w:cs="楷体_GB2312"/>
          <w:color w:val="000000"/>
          <w:sz w:val="20"/>
          <w:szCs w:val="20"/>
        </w:rPr>
        <w:t>规定、</w:t>
      </w:r>
      <w:r>
        <w:rPr>
          <w:rFonts w:ascii="楷体_GB2312" w:eastAsia="楷体_GB2312" w:cs="楷体_GB2312"/>
          <w:color w:val="000000"/>
          <w:sz w:val="20"/>
          <w:szCs w:val="20"/>
        </w:rPr>
        <w:t>国家有权机关强制要求等原因导致理财产品无法继续存续</w:t>
      </w:r>
      <w:r>
        <w:rPr>
          <w:rFonts w:hint="eastAsia" w:ascii="楷体_GB2312" w:eastAsia="楷体_GB2312" w:cs="楷体_GB2312"/>
          <w:color w:val="000000"/>
          <w:sz w:val="20"/>
          <w:szCs w:val="20"/>
        </w:rPr>
        <w:t>的；</w:t>
      </w:r>
    </w:p>
    <w:p w14:paraId="3A0F34BD">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w:t>
      </w:r>
      <w:r>
        <w:rPr>
          <w:rFonts w:ascii="楷体_GB2312" w:eastAsia="楷体_GB2312" w:cs="楷体_GB2312"/>
          <w:color w:val="000000"/>
          <w:sz w:val="20"/>
          <w:szCs w:val="20"/>
        </w:rPr>
        <w:t>2）遇国家金融政策出现重大调整，或本产品所投资资产市场价格大幅下滑，</w:t>
      </w:r>
      <w:r>
        <w:rPr>
          <w:rFonts w:hint="eastAsia" w:ascii="楷体_GB2312" w:eastAsia="楷体_GB2312" w:cs="楷体_GB2312"/>
          <w:color w:val="000000"/>
          <w:sz w:val="20"/>
          <w:szCs w:val="20"/>
        </w:rPr>
        <w:t>或信银理财认为将</w:t>
      </w:r>
      <w:r>
        <w:rPr>
          <w:rFonts w:ascii="楷体_GB2312" w:eastAsia="楷体_GB2312" w:cs="楷体_GB2312"/>
          <w:color w:val="000000"/>
          <w:sz w:val="20"/>
          <w:szCs w:val="20"/>
        </w:rPr>
        <w:t>影响理财产品正常运作</w:t>
      </w:r>
      <w:r>
        <w:rPr>
          <w:rFonts w:hint="eastAsia" w:ascii="楷体_GB2312" w:eastAsia="楷体_GB2312" w:cs="楷体_GB2312"/>
          <w:color w:val="000000"/>
          <w:sz w:val="20"/>
          <w:szCs w:val="20"/>
        </w:rPr>
        <w:t>、需要提前终止本产品的其他情形的；</w:t>
      </w:r>
    </w:p>
    <w:p w14:paraId="71FD57A2">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w:t>
      </w:r>
      <w:r>
        <w:rPr>
          <w:rFonts w:ascii="楷体_GB2312" w:eastAsia="楷体_GB2312" w:cs="楷体_GB2312"/>
          <w:color w:val="000000"/>
          <w:sz w:val="20"/>
          <w:szCs w:val="20"/>
        </w:rPr>
        <w:t>3）本产品所投资资产的信用状况发生恶化，</w:t>
      </w:r>
      <w:r>
        <w:rPr>
          <w:rFonts w:hint="eastAsia" w:ascii="楷体_GB2312" w:eastAsia="楷体_GB2312" w:cs="楷体_GB2312"/>
          <w:color w:val="000000"/>
          <w:sz w:val="20"/>
          <w:szCs w:val="20"/>
        </w:rPr>
        <w:t>信银理财合理判断可能影响到期正常兑付时；</w:t>
      </w:r>
    </w:p>
    <w:p w14:paraId="1B6DA874">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w:t>
      </w:r>
      <w:r>
        <w:rPr>
          <w:rFonts w:ascii="楷体_GB2312" w:eastAsia="楷体_GB2312" w:cs="楷体_GB2312"/>
          <w:color w:val="000000"/>
          <w:sz w:val="20"/>
          <w:szCs w:val="20"/>
        </w:rPr>
        <w:t>4）因投资者理财资金被有权机关扣划等原因导致理财产品剩余资产无法满足相关法律法规规定、所投资市场要求或协议等相关法律文件约定，或者继续存续无法实现投资目</w:t>
      </w:r>
      <w:r>
        <w:rPr>
          <w:rFonts w:hint="eastAsia" w:ascii="楷体_GB2312" w:eastAsia="楷体_GB2312" w:cs="楷体_GB2312"/>
          <w:color w:val="000000"/>
          <w:sz w:val="20"/>
          <w:szCs w:val="20"/>
        </w:rPr>
        <w:t>的；</w:t>
      </w:r>
    </w:p>
    <w:p w14:paraId="4FDBDFB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w:t>
      </w:r>
      <w:r>
        <w:rPr>
          <w:rFonts w:ascii="楷体_GB2312" w:eastAsia="楷体_GB2312" w:cs="楷体_GB2312"/>
          <w:color w:val="000000"/>
          <w:sz w:val="20"/>
          <w:szCs w:val="20"/>
        </w:rPr>
        <w:t>5）因相关投资管理机构解散、破产、撤销、被取消业务资格等原因无法继续履行相应职责导致产品无法继续运作；</w:t>
      </w:r>
    </w:p>
    <w:p w14:paraId="469AAF68">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w:t>
      </w:r>
      <w:r>
        <w:rPr>
          <w:rFonts w:ascii="楷体_GB2312" w:eastAsia="楷体_GB2312" w:cs="楷体_GB2312"/>
          <w:color w:val="000000"/>
          <w:sz w:val="20"/>
          <w:szCs w:val="20"/>
        </w:rPr>
        <w:t>6）相关投资管理机构或运用理财资金的第三</w:t>
      </w:r>
      <w:r>
        <w:rPr>
          <w:rFonts w:hint="eastAsia" w:ascii="楷体_GB2312" w:eastAsia="楷体_GB2312" w:cs="楷体_GB2312"/>
          <w:color w:val="000000"/>
          <w:sz w:val="20"/>
          <w:szCs w:val="20"/>
        </w:rPr>
        <w:t>方主体实施符合法律法规规定或协议等相关文件约定的行为导致理财产品被动提前终止；</w:t>
      </w:r>
    </w:p>
    <w:p w14:paraId="3FA1E334">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w:t>
      </w:r>
      <w:r>
        <w:rPr>
          <w:rFonts w:ascii="楷体_GB2312" w:eastAsia="楷体_GB2312" w:cs="楷体_GB2312"/>
          <w:color w:val="000000"/>
          <w:sz w:val="20"/>
          <w:szCs w:val="20"/>
        </w:rPr>
        <w:t>7）提前终止产品比维持产品运作更有利于保护产品持有人的权益；</w:t>
      </w:r>
    </w:p>
    <w:p w14:paraId="41AED716">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w:t>
      </w:r>
      <w:r>
        <w:rPr>
          <w:rFonts w:ascii="楷体_GB2312" w:eastAsia="楷体_GB2312" w:cs="楷体_GB2312"/>
          <w:color w:val="000000"/>
          <w:sz w:val="20"/>
          <w:szCs w:val="20"/>
        </w:rPr>
        <w:t>8）法律法规规定或监管部门认定的其他情形。</w:t>
      </w:r>
    </w:p>
    <w:p w14:paraId="2DBC84CC">
      <w:pPr>
        <w:spacing w:line="300" w:lineRule="exact"/>
        <w:ind w:firstLine="400" w:firstLineChars="200"/>
        <w:jc w:val="both"/>
        <w:rPr>
          <w:rFonts w:ascii="楷体_GB2312" w:eastAsia="楷体_GB2312" w:cs="楷体_GB2312"/>
          <w:color w:val="000000"/>
          <w:sz w:val="20"/>
          <w:szCs w:val="20"/>
        </w:rPr>
      </w:pPr>
      <w:r>
        <w:rPr>
          <w:rFonts w:ascii="楷体_GB2312" w:eastAsia="楷体_GB2312" w:cs="楷体_GB2312"/>
          <w:color w:val="000000"/>
          <w:sz w:val="20"/>
          <w:szCs w:val="20"/>
        </w:rPr>
        <w:t>2．</w:t>
      </w:r>
      <w:r>
        <w:rPr>
          <w:rFonts w:hint="eastAsia" w:ascii="楷体_GB2312" w:eastAsia="楷体_GB2312" w:cs="楷体_GB2312"/>
          <w:color w:val="000000"/>
          <w:sz w:val="20"/>
          <w:szCs w:val="20"/>
        </w:rPr>
        <w:t>如果信银理财提前终止本理财产品，信银理财将于提前终止日前【</w:t>
      </w:r>
      <w:r>
        <w:rPr>
          <w:rFonts w:ascii="楷体_GB2312" w:eastAsia="楷体_GB2312" w:cs="楷体_GB2312"/>
          <w:color w:val="000000"/>
          <w:sz w:val="20"/>
          <w:szCs w:val="20"/>
        </w:rPr>
        <w:t>2</w:t>
      </w:r>
      <w:r>
        <w:rPr>
          <w:rFonts w:hint="eastAsia" w:ascii="楷体_GB2312" w:eastAsia="楷体_GB2312" w:cs="楷体_GB2312"/>
          <w:color w:val="000000"/>
          <w:sz w:val="20"/>
          <w:szCs w:val="20"/>
        </w:rPr>
        <w:t>】个工作日通知投资者，并在提前终止日后【</w:t>
      </w:r>
      <w:r>
        <w:rPr>
          <w:rFonts w:ascii="楷体_GB2312" w:eastAsia="楷体_GB2312" w:cs="楷体_GB2312"/>
          <w:color w:val="000000"/>
          <w:sz w:val="20"/>
          <w:szCs w:val="20"/>
        </w:rPr>
        <w:t>2</w:t>
      </w:r>
      <w:r>
        <w:rPr>
          <w:rFonts w:hint="eastAsia" w:ascii="楷体_GB2312" w:eastAsia="楷体_GB2312" w:cs="楷体_GB2312"/>
          <w:color w:val="000000"/>
          <w:sz w:val="20"/>
          <w:szCs w:val="20"/>
        </w:rPr>
        <w:t>】个工作日内支付投资者应得</w:t>
      </w:r>
      <w:r>
        <w:rPr>
          <w:rFonts w:ascii="楷体_GB2312" w:eastAsia="楷体_GB2312" w:cs="楷体_GB2312"/>
          <w:color w:val="000000"/>
          <w:sz w:val="20"/>
          <w:szCs w:val="20"/>
        </w:rPr>
        <w:t>资金</w:t>
      </w:r>
      <w:r>
        <w:rPr>
          <w:rFonts w:hint="eastAsia" w:ascii="楷体_GB2312" w:eastAsia="楷体_GB2312" w:cs="楷体_GB2312"/>
          <w:color w:val="000000"/>
          <w:sz w:val="20"/>
          <w:szCs w:val="20"/>
        </w:rPr>
        <w:t>。投资者通过</w:t>
      </w:r>
      <w:r>
        <w:rPr>
          <w:rFonts w:ascii="楷体_GB2312" w:eastAsia="楷体_GB2312" w:cs="楷体_GB2312"/>
          <w:color w:val="000000"/>
          <w:sz w:val="20"/>
          <w:szCs w:val="20"/>
        </w:rPr>
        <w:t>代销机构购买本理财产品的</w:t>
      </w:r>
      <w:r>
        <w:rPr>
          <w:rFonts w:hint="eastAsia" w:ascii="楷体_GB2312" w:eastAsia="楷体_GB2312" w:cs="楷体_GB2312"/>
          <w:color w:val="000000"/>
          <w:sz w:val="20"/>
          <w:szCs w:val="20"/>
        </w:rPr>
        <w:t>，理财资金划转至投资者账户的时间以该代销机构的清算时间为准。若产品提前终止，产品到期日相应调整为提前终止日。</w:t>
      </w:r>
    </w:p>
    <w:p w14:paraId="01995C86">
      <w:pPr>
        <w:spacing w:line="300" w:lineRule="exact"/>
        <w:ind w:firstLine="400" w:firstLineChars="200"/>
        <w:jc w:val="both"/>
        <w:rPr>
          <w:rFonts w:ascii="楷体_GB2312" w:eastAsia="楷体_GB2312" w:cs="楷体_GB2312"/>
          <w:color w:val="000000"/>
          <w:sz w:val="20"/>
          <w:szCs w:val="20"/>
        </w:rPr>
      </w:pPr>
      <w:r>
        <w:rPr>
          <w:rFonts w:ascii="楷体_GB2312" w:eastAsia="楷体_GB2312" w:cs="楷体_GB2312"/>
          <w:color w:val="000000"/>
          <w:sz w:val="20"/>
          <w:szCs w:val="20"/>
        </w:rPr>
        <w:t>3．理财产品不因投资者死亡、丧失民事行为能力、破产而终止；投资者的法定继承人、承继人或指定受益人以及继任管理人承担本理财产品项下的相应权利和义务。</w:t>
      </w:r>
    </w:p>
    <w:p w14:paraId="71EB5580">
      <w:pPr>
        <w:spacing w:line="300" w:lineRule="exact"/>
        <w:ind w:firstLine="400" w:firstLineChars="200"/>
        <w:jc w:val="both"/>
        <w:rPr>
          <w:rFonts w:ascii="楷体_GB2312" w:eastAsia="楷体_GB2312" w:cs="楷体_GB2312"/>
          <w:color w:val="000000"/>
          <w:sz w:val="20"/>
          <w:szCs w:val="20"/>
        </w:rPr>
      </w:pPr>
    </w:p>
    <w:p w14:paraId="694B58D5">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十二、产品的延期清算</w:t>
      </w:r>
    </w:p>
    <w:p w14:paraId="20C1495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103BD3B9">
      <w:pPr>
        <w:snapToGrid w:val="0"/>
        <w:ind w:right="53" w:rightChars="22"/>
        <w:jc w:val="both"/>
        <w:rPr>
          <w:rFonts w:ascii="Times New Roman" w:hAnsi="Times New Roman" w:eastAsia="楷体_GB2312" w:cs="楷体_GB2312"/>
          <w:color w:val="000000" w:themeColor="text1"/>
          <w:sz w:val="20"/>
          <w:szCs w:val="20"/>
          <w14:textFill>
            <w14:solidFill>
              <w14:schemeClr w14:val="tx1"/>
            </w14:solidFill>
          </w14:textFill>
        </w:rPr>
      </w:pPr>
    </w:p>
    <w:p w14:paraId="5B059CDA">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十三、产品管理人与投资者权利义务</w:t>
      </w:r>
    </w:p>
    <w:p w14:paraId="4B7FD19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产品管理人声明与保证</w:t>
      </w:r>
    </w:p>
    <w:p w14:paraId="43632B9B">
      <w:pPr>
        <w:snapToGrid w:val="0"/>
        <w:ind w:right="53" w:rightChars="22" w:firstLine="428" w:firstLineChars="213"/>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7674AB1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4F89C4C2">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投资者声明与保证</w:t>
      </w:r>
    </w:p>
    <w:p w14:paraId="6A7B8EA9">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投资者具有完全民事行为能力，有完全适当的资格与能力订立并履行本理财产品销售文件，不存在法律、行政法规有关规定禁止或限制投资理财产品的情形（适用于个人投资者）。</w:t>
      </w:r>
    </w:p>
    <w:p w14:paraId="29D113DD">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销售文件所需的一切有关批准、许可、备案或者登记。（适用于机构投资者）；</w:t>
      </w:r>
    </w:p>
    <w:p w14:paraId="018137E0">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或资料发生变更，应当及时书面告知产品管理人或代销机构；</w:t>
      </w:r>
    </w:p>
    <w:p w14:paraId="46EBD4E9">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587E28C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hint="eastAsia"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1946CBD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hint="eastAsia"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69395B5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hint="eastAsia" w:ascii="Times New Roman" w:hAnsi="Times New Roman" w:eastAsia="楷体_GB2312" w:cs="楷体_GB2312"/>
          <w:b/>
          <w:color w:val="000000" w:themeColor="text1"/>
          <w:sz w:val="20"/>
          <w:szCs w:val="20"/>
          <w14:textFill>
            <w14:solidFill>
              <w14:schemeClr w14:val="tx1"/>
            </w14:solidFill>
          </w14:textFill>
        </w:rPr>
        <w:t>投资者不利用本理财业务及本理财产品销售文件项下理财产品从事违法活动；</w:t>
      </w:r>
    </w:p>
    <w:p w14:paraId="35176EC4">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hint="eastAsia"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代销机构开展投资者身份识别、交易记录保存、投资者身份及交易背景尽职调查、大额和可疑交易报告等各项反洗钱工作，并按要求提供相关证明材料；</w:t>
      </w:r>
    </w:p>
    <w:p w14:paraId="272F1530">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hint="eastAsia"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3D58580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hint="eastAsia"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6B8289E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双方同意</w:t>
      </w:r>
    </w:p>
    <w:p w14:paraId="614D5D23">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43D14B6A">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未经产品管理人同意，投资者不得向任何第三人转让、赠与本理财产品销售文件或本理财产品销售文件项下的任何权利、利益、权益（包括单独和整体）；</w:t>
      </w:r>
    </w:p>
    <w:p w14:paraId="04DA88C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47B0E1AE">
      <w:pPr>
        <w:spacing w:line="300" w:lineRule="exact"/>
        <w:ind w:left="402" w:right="29" w:rightChars="12" w:hanging="402" w:hangingChars="200"/>
        <w:rPr>
          <w:rFonts w:ascii="Times New Roman" w:hAnsi="Times New Roman"/>
          <w:b/>
          <w:bCs/>
          <w:color w:val="000000" w:themeColor="text1"/>
          <w:sz w:val="20"/>
          <w:szCs w:val="20"/>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2C0706E6">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十四、保密</w:t>
      </w:r>
      <w:r>
        <w:rPr>
          <w:rFonts w:ascii="黑体" w:eastAsia="黑体" w:cs="黑体"/>
          <w:b/>
          <w:color w:val="000000" w:themeColor="text1"/>
          <w:sz w:val="20"/>
          <w:szCs w:val="20"/>
          <w14:textFill>
            <w14:solidFill>
              <w14:schemeClr w14:val="tx1"/>
            </w14:solidFill>
          </w14:textFill>
        </w:rPr>
        <w:t>条款</w:t>
      </w:r>
    </w:p>
    <w:p w14:paraId="7B0595EF">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2A881DEA">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hAnsi="Times New Roman" w:eastAsia="楷体_GB2312" w:cs="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）向与本次投资有关而需要获知以上信息并受保密协议约束的律师、会计师、顾问和咨询人员披露的；（</w:t>
      </w:r>
      <w:r>
        <w:rPr>
          <w:rFonts w:ascii="Times New Roman" w:hAnsi="Times New Roman" w:eastAsia="楷体_GB2312" w:cs="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）根据适用的法律法规的要求，向有关政府部门、监管机构或者管理机构（包括证券交易所）披露的；（</w:t>
      </w:r>
      <w:r>
        <w:rPr>
          <w:rFonts w:ascii="Times New Roman" w:hAnsi="Times New Roman" w:eastAsia="楷体_GB2312" w:cs="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）本产品说明书另有约定的。前述保密义务不因本理财产品销售文件或相关协议的无效、被撤销、终止而受影响。</w:t>
      </w:r>
    </w:p>
    <w:p w14:paraId="3A0E7E0F">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根据监管机构要求，管理人（特指除本理财产品的管理人信银理财之外的其他管理人，包括但不限于本理财产品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4CC89BC3">
      <w:pPr>
        <w:spacing w:line="300" w:lineRule="exact"/>
        <w:ind w:left="2" w:firstLine="402" w:firstLineChars="200"/>
        <w:jc w:val="both"/>
        <w:rPr>
          <w:rFonts w:ascii="Times New Roman" w:hAnsi="Times New Roman" w:eastAsia="楷体_GB2312" w:cs="楷体_GB2312"/>
          <w:b/>
          <w:sz w:val="20"/>
          <w:szCs w:val="20"/>
        </w:rPr>
      </w:pPr>
      <w:r>
        <w:rPr>
          <w:rFonts w:ascii="Times New Roman" w:hAnsi="Times New Roman" w:eastAsia="楷体_GB2312" w:cs="楷体_GB2312"/>
          <w:b/>
          <w:sz w:val="20"/>
          <w:szCs w:val="20"/>
        </w:rPr>
        <w:t>4.</w:t>
      </w:r>
      <w:r>
        <w:t xml:space="preserve"> </w:t>
      </w:r>
      <w:r>
        <w:rPr>
          <w:rFonts w:hint="eastAsia" w:ascii="Times New Roman" w:hAnsi="Times New Roman" w:eastAsia="楷体_GB2312" w:cs="楷体_GB2312"/>
          <w:b/>
          <w:sz w:val="20"/>
          <w:szCs w:val="20"/>
        </w:rPr>
        <w:t>投资者同意并授权信银理财向【</w:t>
      </w:r>
      <w:r>
        <w:rPr>
          <w:rFonts w:hint="eastAsia" w:ascii="Times New Roman" w:hAnsi="Times New Roman" w:eastAsia="楷体_GB2312" w:cs="楷体_GB2312"/>
          <w:b/>
          <w:sz w:val="20"/>
          <w:szCs w:val="20"/>
          <w:lang w:val="en-US" w:eastAsia="zh-CN"/>
        </w:rPr>
        <w:t>浙江省慈善联合总会</w:t>
      </w:r>
      <w:r>
        <w:rPr>
          <w:rFonts w:hint="eastAsia" w:ascii="Times New Roman" w:hAnsi="Times New Roman" w:eastAsia="楷体_GB2312" w:cs="楷体_GB2312"/>
          <w:b/>
          <w:sz w:val="20"/>
          <w:szCs w:val="20"/>
        </w:rPr>
        <w:t>】提供【投资者姓名、身份证号、持有的理财产品份额、手机号码、邮箱地址】等信息仅用于开具捐赠证明或捐赠票据。</w:t>
      </w:r>
    </w:p>
    <w:p w14:paraId="36784725">
      <w:pPr>
        <w:spacing w:line="300" w:lineRule="exact"/>
        <w:ind w:left="2" w:right="29" w:rightChars="12" w:firstLine="282" w:firstLineChars="141"/>
        <w:rPr>
          <w:rFonts w:ascii="Times New Roman" w:hAnsi="Times New Roman" w:eastAsia="楷体_GB2312" w:cs="楷体_GB2312"/>
          <w:color w:val="000000" w:themeColor="text1"/>
          <w:sz w:val="20"/>
          <w:szCs w:val="20"/>
          <w14:textFill>
            <w14:solidFill>
              <w14:schemeClr w14:val="tx1"/>
            </w14:solidFill>
          </w14:textFill>
        </w:rPr>
      </w:pPr>
    </w:p>
    <w:p w14:paraId="79D0D39D">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十五、特别提示</w:t>
      </w:r>
    </w:p>
    <w:p w14:paraId="2B305DBD">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567EE404">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0CC2948F">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57444DE7">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689ED610">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有权提前赎回理财产品。信银理财有权根据情况设立临时的赎回开放日。</w:t>
      </w:r>
    </w:p>
    <w:p w14:paraId="7D223E8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4．咨询与投诉：投资者对本理财产品有任何建议、意见或投诉，请联系信银理财理财经理，或反馈至信银理财营业场所，或拨打信银理财客户服务热线【950950，工作时间为工作日8：30-20：30】，</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登录信银理财网站【http://www.citic-wealth.com/】进行查询。 信银理财将安排专人及时收集客户投诉，并在收到客户投诉的第一时间内与客户取得联系，及时处理并进行反馈。投资者通过代销机构购买理财产品的，可按照代销机构提供的联系方式反馈信息、咨询和投诉。</w:t>
      </w:r>
    </w:p>
    <w:p w14:paraId="55C0E17C">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7618DAD9">
      <w:pPr>
        <w:spacing w:line="300" w:lineRule="exact"/>
        <w:ind w:left="-2" w:firstLine="400" w:firstLineChars="200"/>
        <w:jc w:val="both"/>
        <w:rPr>
          <w:rFonts w:ascii="楷体_GB2312" w:eastAsia="楷体_GB2312"/>
          <w:sz w:val="20"/>
          <w:szCs w:val="20"/>
        </w:rPr>
      </w:pPr>
      <w:r>
        <w:rPr>
          <w:rFonts w:ascii="楷体_GB2312" w:eastAsia="楷体_GB2312"/>
          <w:sz w:val="20"/>
          <w:szCs w:val="20"/>
        </w:rPr>
        <w:t>6.</w:t>
      </w:r>
      <w:r>
        <w:t xml:space="preserve"> </w:t>
      </w:r>
      <w:r>
        <w:rPr>
          <w:rFonts w:hint="eastAsia" w:ascii="楷体_GB2312" w:eastAsia="楷体_GB2312"/>
          <w:b/>
          <w:sz w:val="20"/>
          <w:szCs w:val="20"/>
        </w:rPr>
        <w:t>投资者同意并授权信银理财向【</w:t>
      </w:r>
      <w:r>
        <w:rPr>
          <w:rFonts w:hint="eastAsia" w:ascii="楷体_GB2312" w:eastAsia="楷体_GB2312"/>
          <w:b/>
          <w:sz w:val="20"/>
          <w:szCs w:val="20"/>
          <w:lang w:val="en-US" w:eastAsia="zh-CN"/>
        </w:rPr>
        <w:t>浙江省慈善联合总会</w:t>
      </w:r>
      <w:r>
        <w:rPr>
          <w:rFonts w:hint="eastAsia" w:ascii="楷体_GB2312" w:eastAsia="楷体_GB2312"/>
          <w:b/>
          <w:sz w:val="20"/>
          <w:szCs w:val="20"/>
        </w:rPr>
        <w:t>】提供【投资者姓名、身份证号、持有的理财产品份额、手机号码、邮箱地址】等信息仅用于开具捐赠证明或捐赠票据。投资者可通过本说明书约定的捐赠证明获取途径提交捐赠证明开立申请，请投资者及时关注</w:t>
      </w:r>
      <w:r>
        <w:rPr>
          <w:rFonts w:hint="eastAsia" w:ascii="楷体_GB2312" w:eastAsia="楷体_GB2312"/>
          <w:sz w:val="20"/>
          <w:szCs w:val="20"/>
        </w:rPr>
        <w:t>。</w:t>
      </w:r>
    </w:p>
    <w:p w14:paraId="19A07B4E">
      <w:pPr>
        <w:spacing w:line="300" w:lineRule="exact"/>
        <w:ind w:left="-2" w:firstLine="402" w:firstLineChars="200"/>
        <w:jc w:val="both"/>
        <w:rPr>
          <w:rFonts w:ascii="楷体_GB2312" w:eastAsia="楷体_GB2312"/>
          <w:sz w:val="20"/>
          <w:szCs w:val="20"/>
        </w:rPr>
      </w:pPr>
      <w:r>
        <w:rPr>
          <w:rFonts w:ascii="楷体_GB2312" w:eastAsia="楷体_GB2312"/>
          <w:b/>
          <w:color w:val="000000" w:themeColor="text1"/>
          <w:sz w:val="20"/>
          <w:szCs w:val="20"/>
          <w14:textFill>
            <w14:solidFill>
              <w14:schemeClr w14:val="tx1"/>
            </w14:solidFill>
          </w14:textFill>
        </w:rPr>
        <w:t xml:space="preserve">7. </w:t>
      </w:r>
      <w:r>
        <w:rPr>
          <w:rFonts w:hint="eastAsia" w:ascii="楷体_GB2312" w:eastAsia="楷体_GB2312" w:cs="楷体_GB2312"/>
          <w:b/>
          <w:sz w:val="20"/>
          <w:szCs w:val="20"/>
        </w:rPr>
        <w:t>投资者</w:t>
      </w:r>
      <w:r>
        <w:rPr>
          <w:rFonts w:ascii="楷体_GB2312" w:eastAsia="楷体_GB2312" w:cs="楷体_GB2312"/>
          <w:b/>
          <w:sz w:val="20"/>
          <w:szCs w:val="20"/>
        </w:rPr>
        <w:t xml:space="preserve">确认, 如因政策原因、政府行为、不可抗力等因素导致捐赠款项被退回，或慈善组织被撤销登记、吊销登记证书或被采取其他监管措施, 或发生相关监管部门对慈善组织进行检查、监管调查及处罚等风险，或存在其他经信银理财合理判断该慈善组织已不能或不宜接受捐赠的情形, </w:t>
      </w:r>
      <w:r>
        <w:rPr>
          <w:rFonts w:hint="eastAsia" w:ascii="楷体_GB2312" w:eastAsia="楷体_GB2312" w:cs="楷体_GB2312"/>
          <w:b/>
          <w:sz w:val="20"/>
          <w:szCs w:val="20"/>
        </w:rPr>
        <w:t>投资者</w:t>
      </w:r>
      <w:r>
        <w:rPr>
          <w:rFonts w:ascii="楷体_GB2312" w:eastAsia="楷体_GB2312" w:cs="楷体_GB2312"/>
          <w:b/>
          <w:sz w:val="20"/>
          <w:szCs w:val="20"/>
        </w:rPr>
        <w:t>自愿并授权信银理财根据法律法规或相关主管机构的规定进行处理（包括但不限于授权信银理财代本人/本单位选择其他宗旨相同或相近的慈善组织按照理财产品说明书中的约定进行捐赠，由届时接受捐赠的慈善组织按其规定收取管理费用并将捐赠款项依法用于其他慈</w:t>
      </w:r>
      <w:r>
        <w:rPr>
          <w:rFonts w:hint="eastAsia" w:ascii="楷体_GB2312" w:eastAsia="楷体_GB2312" w:cs="楷体_GB2312"/>
          <w:b/>
          <w:sz w:val="20"/>
          <w:szCs w:val="20"/>
        </w:rPr>
        <w:t>善公益项目）。</w:t>
      </w:r>
    </w:p>
    <w:p w14:paraId="06F94957">
      <w:pPr>
        <w:spacing w:line="300" w:lineRule="exact"/>
        <w:ind w:left="-2" w:firstLine="400" w:firstLineChars="200"/>
        <w:jc w:val="both"/>
        <w:rPr>
          <w:rFonts w:ascii="楷体_GB2312" w:eastAsia="楷体_GB2312"/>
          <w:sz w:val="20"/>
          <w:szCs w:val="20"/>
        </w:rPr>
      </w:pPr>
      <w:r>
        <w:rPr>
          <w:rFonts w:ascii="楷体_GB2312" w:eastAsia="楷体_GB2312"/>
          <w:sz w:val="20"/>
          <w:szCs w:val="20"/>
        </w:rPr>
        <w:t>8.信银理财有权依法对本产品说明书进行</w:t>
      </w:r>
      <w:r>
        <w:rPr>
          <w:rFonts w:hint="eastAsia" w:ascii="楷体_GB2312" w:eastAsia="楷体_GB2312"/>
          <w:sz w:val="20"/>
          <w:szCs w:val="20"/>
        </w:rPr>
        <w:t>解释</w:t>
      </w:r>
      <w:r>
        <w:rPr>
          <w:rFonts w:ascii="楷体_GB2312" w:eastAsia="楷体_GB2312"/>
          <w:sz w:val="20"/>
          <w:szCs w:val="20"/>
        </w:rPr>
        <w:t>。</w:t>
      </w:r>
    </w:p>
    <w:p w14:paraId="01991227">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73314D92">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十六、违约责任</w:t>
      </w:r>
    </w:p>
    <w:p w14:paraId="63AEDD04">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0D107B2A">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9EF5346">
      <w:pPr>
        <w:spacing w:line="300" w:lineRule="exact"/>
        <w:ind w:left="402" w:right="29" w:rightChars="12" w:hanging="402" w:hangingChars="20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十七、免责内容</w:t>
      </w:r>
    </w:p>
    <w:p w14:paraId="20CEA3FE">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2CC1DE08">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12147AC7">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十八、本说明书的生效与终止</w:t>
      </w:r>
    </w:p>
    <w:p w14:paraId="5DA8B8AC">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w:t>
      </w:r>
      <w:r>
        <w:rPr>
          <w:rFonts w:hint="eastAsia" w:ascii="楷体_GB2312" w:eastAsia="楷体_GB2312"/>
          <w:color w:val="000000" w:themeColor="text1"/>
          <w:sz w:val="20"/>
          <w:szCs w:val="20"/>
          <w14:textFill>
            <w14:solidFill>
              <w14:schemeClr w14:val="tx1"/>
            </w14:solidFill>
          </w14:textFill>
        </w:rPr>
        <w:t>营业</w:t>
      </w:r>
      <w:r>
        <w:rPr>
          <w:rFonts w:ascii="楷体_GB2312" w:eastAsia="楷体_GB2312"/>
          <w:color w:val="000000" w:themeColor="text1"/>
          <w:sz w:val="20"/>
          <w:szCs w:val="20"/>
          <w14:textFill>
            <w14:solidFill>
              <w14:schemeClr w14:val="tx1"/>
            </w14:solidFill>
          </w14:textFill>
        </w:rPr>
        <w:t>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021C1DBF">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5C2ED7CD">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4E97F7CB">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十九、争议解决</w:t>
      </w:r>
    </w:p>
    <w:p w14:paraId="3C60D764">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43EA9D3E">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33D6A07F">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p>
    <w:p w14:paraId="01508096">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C765A3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7BA76A71">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p>
    <w:p w14:paraId="4F1D1817">
      <w:pPr>
        <w:spacing w:before="100" w:beforeAutospacing="1" w:after="100" w:afterAutospacing="1"/>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u w:val="single"/>
          <w14:textFill>
            <w14:solidFill>
              <w14:schemeClr w14:val="tx1"/>
            </w14:solidFill>
          </w14:textFill>
        </w:rPr>
        <w:t>                                       </w:t>
      </w:r>
    </w:p>
    <w:p w14:paraId="2EAE7976">
      <w:pPr>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503F4D48">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458FB6A6">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6335E0C6">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30C57A52">
      <w:pPr>
        <w:ind w:left="4440" w:right="440" w:hanging="4440" w:hangingChars="1850"/>
        <w:rPr>
          <w:rFonts w:ascii="Arial" w:hAnsi="Arial"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357B53E2">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15913DF8">
      <w:pPr>
        <w:ind w:right="-902" w:rightChars="-376"/>
        <w:rPr>
          <w:rFonts w:ascii="黑体" w:hAnsi="Times New Roman" w:eastAsia="黑体"/>
          <w:color w:val="000000" w:themeColor="text1"/>
          <w14:textFill>
            <w14:solidFill>
              <w14:schemeClr w14:val="tx1"/>
            </w14:solidFill>
          </w14:textFill>
        </w:rPr>
      </w:pPr>
    </w:p>
    <w:p w14:paraId="01C619DB">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机构客户（公章）：</w:t>
      </w:r>
      <w:r>
        <w:rPr>
          <w:rFonts w:ascii="黑体" w:hAnsi="Times New Roman" w:eastAsia="黑体"/>
          <w:color w:val="000000" w:themeColor="text1"/>
          <w14:textFill>
            <w14:solidFill>
              <w14:schemeClr w14:val="tx1"/>
            </w14:solidFill>
          </w14:textFill>
        </w:rPr>
        <w:t xml:space="preserve">                    </w:t>
      </w:r>
    </w:p>
    <w:p w14:paraId="26EAB85D">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772AF5B3">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0CFC1BC5">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1DF5803B">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731D9C3F">
      <w:pPr>
        <w:spacing w:line="300" w:lineRule="exact"/>
        <w:ind w:left="-2" w:leftChars="-1" w:right="36" w:rightChars="15"/>
        <w:rPr>
          <w:color w:val="000000" w:themeColor="text1"/>
          <w14:textFill>
            <w14:solidFill>
              <w14:schemeClr w14:val="tx1"/>
            </w14:solidFill>
          </w14:textFill>
        </w:rPr>
      </w:pPr>
    </w:p>
    <w:p w14:paraId="17031077">
      <w:pPr>
        <w:spacing w:line="300" w:lineRule="exact"/>
        <w:ind w:left="-2" w:leftChars="-1" w:right="36" w:rightChars="15"/>
        <w:rPr>
          <w:color w:val="000000" w:themeColor="text1"/>
          <w14:textFill>
            <w14:solidFill>
              <w14:schemeClr w14:val="tx1"/>
            </w14:solidFill>
          </w14:textFill>
        </w:rPr>
      </w:pPr>
    </w:p>
    <w:p w14:paraId="59EBAFA5">
      <w:pPr>
        <w:spacing w:line="300" w:lineRule="exact"/>
        <w:ind w:left="-2" w:leftChars="-1" w:right="36" w:rightChars="15"/>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C789E">
    <w:pPr>
      <w:pStyle w:val="4"/>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Arabic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440F424E">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30A9C">
    <w:pPr>
      <w:pStyle w:val="5"/>
    </w:pPr>
    <w:r>
      <w:rPr>
        <w:rFonts w:hint="eastAsia"/>
      </w:rPr>
      <w:t>本产品风险评级为【P</w:t>
    </w:r>
    <w:r>
      <w:t>R2</w:t>
    </w:r>
    <w:r>
      <w:rPr>
        <w:rFonts w:hint="eastAsia"/>
      </w:rPr>
      <w:t>】</w:t>
    </w:r>
    <w:r>
      <w:t xml:space="preserve">                                 理财非存款、产品有风险、投资须谨慎</w:t>
    </w:r>
  </w:p>
  <w:p w14:paraId="0B58A3B9">
    <w:pPr>
      <w:jc w:val="both"/>
      <w:rPr>
        <w:rFonts w:ascii="黑体" w:hAnsi="黑体" w:eastAsia="黑体"/>
        <w:b/>
        <w:color w:val="000000" w:themeColor="text1"/>
        <w:sz w:val="18"/>
        <w:szCs w:val="18"/>
        <w:u w:val="single"/>
        <w14:textFill>
          <w14:solidFill>
            <w14:schemeClr w14:val="tx1"/>
          </w14:solidFill>
        </w14:textFil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8E6008"/>
    <w:multiLevelType w:val="multilevel"/>
    <w:tmpl w:val="1B8E600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2">
    <w:nsid w:val="320240BE"/>
    <w:multiLevelType w:val="multilevel"/>
    <w:tmpl w:val="320240BE"/>
    <w:lvl w:ilvl="0" w:tentative="0">
      <w:start w:val="1"/>
      <w:numFmt w:val="decimal"/>
      <w:lvlText w:val="%1."/>
      <w:lvlJc w:val="left"/>
      <w:pPr>
        <w:ind w:left="360"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3">
    <w:nsid w:val="377E1DBC"/>
    <w:multiLevelType w:val="multilevel"/>
    <w:tmpl w:val="377E1DBC"/>
    <w:lvl w:ilvl="0" w:tentative="0">
      <w:start w:val="1"/>
      <w:numFmt w:val="lowerLetter"/>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37877AB9"/>
    <w:multiLevelType w:val="multilevel"/>
    <w:tmpl w:val="37877AB9"/>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62360528"/>
    <w:multiLevelType w:val="multilevel"/>
    <w:tmpl w:val="62360528"/>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6">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num w:numId="1">
    <w:abstractNumId w:val="5"/>
  </w:num>
  <w:num w:numId="2">
    <w:abstractNumId w:val="3"/>
  </w:num>
  <w:num w:numId="3">
    <w:abstractNumId w:val="2"/>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rawingGridHorizontalSpacing w:val="0"/>
  <w:drawingGridVerticalSpacing w:val="0"/>
  <w:displayHorizontalDrawingGridEvery w:val="0"/>
  <w:displayVerticalDrawingGridEvery w:val="2"/>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0D44"/>
    <w:rsid w:val="0000196F"/>
    <w:rsid w:val="00001C03"/>
    <w:rsid w:val="00001DC5"/>
    <w:rsid w:val="00003525"/>
    <w:rsid w:val="00004BEE"/>
    <w:rsid w:val="00006491"/>
    <w:rsid w:val="000112B7"/>
    <w:rsid w:val="000126B2"/>
    <w:rsid w:val="00014B73"/>
    <w:rsid w:val="000155CB"/>
    <w:rsid w:val="000160B3"/>
    <w:rsid w:val="00016C3A"/>
    <w:rsid w:val="0002679A"/>
    <w:rsid w:val="00027122"/>
    <w:rsid w:val="00032F3B"/>
    <w:rsid w:val="00033CE5"/>
    <w:rsid w:val="00035980"/>
    <w:rsid w:val="00035D4E"/>
    <w:rsid w:val="000363A0"/>
    <w:rsid w:val="00036A9C"/>
    <w:rsid w:val="0003776D"/>
    <w:rsid w:val="000426F9"/>
    <w:rsid w:val="00043AA8"/>
    <w:rsid w:val="00044325"/>
    <w:rsid w:val="00044A7F"/>
    <w:rsid w:val="00044D26"/>
    <w:rsid w:val="00047F09"/>
    <w:rsid w:val="00050D87"/>
    <w:rsid w:val="000512BB"/>
    <w:rsid w:val="0005210C"/>
    <w:rsid w:val="0005413C"/>
    <w:rsid w:val="000548A7"/>
    <w:rsid w:val="0005652B"/>
    <w:rsid w:val="00057AF1"/>
    <w:rsid w:val="00060380"/>
    <w:rsid w:val="0006039E"/>
    <w:rsid w:val="0006073B"/>
    <w:rsid w:val="000607E2"/>
    <w:rsid w:val="00060CF8"/>
    <w:rsid w:val="000610D4"/>
    <w:rsid w:val="00061294"/>
    <w:rsid w:val="00062B01"/>
    <w:rsid w:val="00062C0F"/>
    <w:rsid w:val="000637A0"/>
    <w:rsid w:val="00063F74"/>
    <w:rsid w:val="000642FF"/>
    <w:rsid w:val="00064EAD"/>
    <w:rsid w:val="00064EC6"/>
    <w:rsid w:val="000658A0"/>
    <w:rsid w:val="00065A18"/>
    <w:rsid w:val="0006668E"/>
    <w:rsid w:val="000728B5"/>
    <w:rsid w:val="00073BD2"/>
    <w:rsid w:val="00074951"/>
    <w:rsid w:val="00074C93"/>
    <w:rsid w:val="00077050"/>
    <w:rsid w:val="000771DC"/>
    <w:rsid w:val="00080C43"/>
    <w:rsid w:val="000818FE"/>
    <w:rsid w:val="00083FDD"/>
    <w:rsid w:val="000842BB"/>
    <w:rsid w:val="00084A58"/>
    <w:rsid w:val="00084DE7"/>
    <w:rsid w:val="000854AC"/>
    <w:rsid w:val="00085A4A"/>
    <w:rsid w:val="0008615C"/>
    <w:rsid w:val="00086D83"/>
    <w:rsid w:val="00087153"/>
    <w:rsid w:val="0008737E"/>
    <w:rsid w:val="00090945"/>
    <w:rsid w:val="00090A7C"/>
    <w:rsid w:val="000912BC"/>
    <w:rsid w:val="0009250D"/>
    <w:rsid w:val="00092F9D"/>
    <w:rsid w:val="000932A3"/>
    <w:rsid w:val="00093E27"/>
    <w:rsid w:val="00096806"/>
    <w:rsid w:val="00096A3A"/>
    <w:rsid w:val="000971E3"/>
    <w:rsid w:val="000A044F"/>
    <w:rsid w:val="000A0575"/>
    <w:rsid w:val="000A327A"/>
    <w:rsid w:val="000A3596"/>
    <w:rsid w:val="000A3794"/>
    <w:rsid w:val="000A3ED5"/>
    <w:rsid w:val="000A5B13"/>
    <w:rsid w:val="000A7618"/>
    <w:rsid w:val="000B5F5D"/>
    <w:rsid w:val="000C04B7"/>
    <w:rsid w:val="000C0E92"/>
    <w:rsid w:val="000C0EBF"/>
    <w:rsid w:val="000C19F3"/>
    <w:rsid w:val="000C2603"/>
    <w:rsid w:val="000C33FA"/>
    <w:rsid w:val="000C3AF8"/>
    <w:rsid w:val="000C4C04"/>
    <w:rsid w:val="000C57C0"/>
    <w:rsid w:val="000C6B2C"/>
    <w:rsid w:val="000C6FFC"/>
    <w:rsid w:val="000D0148"/>
    <w:rsid w:val="000D1511"/>
    <w:rsid w:val="000D2C6E"/>
    <w:rsid w:val="000D540C"/>
    <w:rsid w:val="000D69C3"/>
    <w:rsid w:val="000D70BA"/>
    <w:rsid w:val="000E07B2"/>
    <w:rsid w:val="000E10B6"/>
    <w:rsid w:val="000E3008"/>
    <w:rsid w:val="000E380F"/>
    <w:rsid w:val="000E59C5"/>
    <w:rsid w:val="000E6792"/>
    <w:rsid w:val="000E7046"/>
    <w:rsid w:val="000F1C10"/>
    <w:rsid w:val="000F1F2E"/>
    <w:rsid w:val="000F26F4"/>
    <w:rsid w:val="000F412B"/>
    <w:rsid w:val="000F7582"/>
    <w:rsid w:val="000F798A"/>
    <w:rsid w:val="00103F63"/>
    <w:rsid w:val="00104F74"/>
    <w:rsid w:val="0010616C"/>
    <w:rsid w:val="00110BCF"/>
    <w:rsid w:val="00110E7B"/>
    <w:rsid w:val="001114CE"/>
    <w:rsid w:val="00112931"/>
    <w:rsid w:val="00112CB3"/>
    <w:rsid w:val="00113152"/>
    <w:rsid w:val="001155EC"/>
    <w:rsid w:val="001157E8"/>
    <w:rsid w:val="00115B02"/>
    <w:rsid w:val="00117652"/>
    <w:rsid w:val="00122C68"/>
    <w:rsid w:val="00123C90"/>
    <w:rsid w:val="00125253"/>
    <w:rsid w:val="001260B9"/>
    <w:rsid w:val="001266EA"/>
    <w:rsid w:val="00126DB3"/>
    <w:rsid w:val="00130901"/>
    <w:rsid w:val="00132E82"/>
    <w:rsid w:val="001339CB"/>
    <w:rsid w:val="0013467D"/>
    <w:rsid w:val="001353DA"/>
    <w:rsid w:val="00136105"/>
    <w:rsid w:val="0014090C"/>
    <w:rsid w:val="001427D7"/>
    <w:rsid w:val="00142C0C"/>
    <w:rsid w:val="00143455"/>
    <w:rsid w:val="001452EC"/>
    <w:rsid w:val="00151544"/>
    <w:rsid w:val="00151D12"/>
    <w:rsid w:val="001521EB"/>
    <w:rsid w:val="001537DC"/>
    <w:rsid w:val="001549C8"/>
    <w:rsid w:val="001576D6"/>
    <w:rsid w:val="001606EE"/>
    <w:rsid w:val="00164277"/>
    <w:rsid w:val="001649F3"/>
    <w:rsid w:val="00167B0D"/>
    <w:rsid w:val="00171827"/>
    <w:rsid w:val="00172A27"/>
    <w:rsid w:val="00172E18"/>
    <w:rsid w:val="00182E25"/>
    <w:rsid w:val="00184D24"/>
    <w:rsid w:val="00184DC0"/>
    <w:rsid w:val="001850A8"/>
    <w:rsid w:val="00186A62"/>
    <w:rsid w:val="00190A62"/>
    <w:rsid w:val="001915B8"/>
    <w:rsid w:val="00191737"/>
    <w:rsid w:val="00194DE7"/>
    <w:rsid w:val="00197081"/>
    <w:rsid w:val="001A2FFC"/>
    <w:rsid w:val="001A30BE"/>
    <w:rsid w:val="001A5283"/>
    <w:rsid w:val="001A71A7"/>
    <w:rsid w:val="001A720A"/>
    <w:rsid w:val="001A73B3"/>
    <w:rsid w:val="001A7BE3"/>
    <w:rsid w:val="001B01FF"/>
    <w:rsid w:val="001B2542"/>
    <w:rsid w:val="001B35C0"/>
    <w:rsid w:val="001B3E8F"/>
    <w:rsid w:val="001B6029"/>
    <w:rsid w:val="001C1F96"/>
    <w:rsid w:val="001C2A78"/>
    <w:rsid w:val="001C36DA"/>
    <w:rsid w:val="001C3D71"/>
    <w:rsid w:val="001C4890"/>
    <w:rsid w:val="001C4C70"/>
    <w:rsid w:val="001C4FAF"/>
    <w:rsid w:val="001C5D78"/>
    <w:rsid w:val="001C6D57"/>
    <w:rsid w:val="001C6F2B"/>
    <w:rsid w:val="001C72BC"/>
    <w:rsid w:val="001D03C4"/>
    <w:rsid w:val="001D176C"/>
    <w:rsid w:val="001D40D2"/>
    <w:rsid w:val="001D48D6"/>
    <w:rsid w:val="001D51DA"/>
    <w:rsid w:val="001E269C"/>
    <w:rsid w:val="001E5D3C"/>
    <w:rsid w:val="001E6503"/>
    <w:rsid w:val="001F6640"/>
    <w:rsid w:val="001F6AE8"/>
    <w:rsid w:val="001F7114"/>
    <w:rsid w:val="001F7597"/>
    <w:rsid w:val="001F76C8"/>
    <w:rsid w:val="001F77A5"/>
    <w:rsid w:val="0020078B"/>
    <w:rsid w:val="00200AAD"/>
    <w:rsid w:val="0020185E"/>
    <w:rsid w:val="00202368"/>
    <w:rsid w:val="00202515"/>
    <w:rsid w:val="0020290B"/>
    <w:rsid w:val="00202E2D"/>
    <w:rsid w:val="00203EAD"/>
    <w:rsid w:val="002046D5"/>
    <w:rsid w:val="0020479E"/>
    <w:rsid w:val="0020493D"/>
    <w:rsid w:val="0020571D"/>
    <w:rsid w:val="00206FE3"/>
    <w:rsid w:val="00210108"/>
    <w:rsid w:val="00211658"/>
    <w:rsid w:val="002121B1"/>
    <w:rsid w:val="00212962"/>
    <w:rsid w:val="00214442"/>
    <w:rsid w:val="002153F5"/>
    <w:rsid w:val="00217384"/>
    <w:rsid w:val="00217805"/>
    <w:rsid w:val="0022225E"/>
    <w:rsid w:val="002255EE"/>
    <w:rsid w:val="00226CD2"/>
    <w:rsid w:val="00226ED1"/>
    <w:rsid w:val="00227275"/>
    <w:rsid w:val="00227A37"/>
    <w:rsid w:val="00227E5E"/>
    <w:rsid w:val="00233296"/>
    <w:rsid w:val="0023369F"/>
    <w:rsid w:val="00233AC8"/>
    <w:rsid w:val="00236C74"/>
    <w:rsid w:val="00236D3D"/>
    <w:rsid w:val="002370EE"/>
    <w:rsid w:val="00242513"/>
    <w:rsid w:val="00245D5A"/>
    <w:rsid w:val="002465F7"/>
    <w:rsid w:val="0025002B"/>
    <w:rsid w:val="002502BE"/>
    <w:rsid w:val="00250C86"/>
    <w:rsid w:val="002518C0"/>
    <w:rsid w:val="00253360"/>
    <w:rsid w:val="00253FDB"/>
    <w:rsid w:val="00254944"/>
    <w:rsid w:val="00254AB2"/>
    <w:rsid w:val="00255F6F"/>
    <w:rsid w:val="00257D24"/>
    <w:rsid w:val="002605F2"/>
    <w:rsid w:val="0026099E"/>
    <w:rsid w:val="00262588"/>
    <w:rsid w:val="00262EFA"/>
    <w:rsid w:val="00263626"/>
    <w:rsid w:val="0026420B"/>
    <w:rsid w:val="00266948"/>
    <w:rsid w:val="00266D74"/>
    <w:rsid w:val="00266F6D"/>
    <w:rsid w:val="00271488"/>
    <w:rsid w:val="00273BD6"/>
    <w:rsid w:val="002754B9"/>
    <w:rsid w:val="002761EB"/>
    <w:rsid w:val="0027693C"/>
    <w:rsid w:val="00277102"/>
    <w:rsid w:val="002808D0"/>
    <w:rsid w:val="00283FB0"/>
    <w:rsid w:val="00287256"/>
    <w:rsid w:val="00287DCD"/>
    <w:rsid w:val="00290755"/>
    <w:rsid w:val="00292667"/>
    <w:rsid w:val="00292E5F"/>
    <w:rsid w:val="00293163"/>
    <w:rsid w:val="00295A54"/>
    <w:rsid w:val="00296187"/>
    <w:rsid w:val="0029634A"/>
    <w:rsid w:val="00296760"/>
    <w:rsid w:val="002969A9"/>
    <w:rsid w:val="002A101B"/>
    <w:rsid w:val="002A118E"/>
    <w:rsid w:val="002A284E"/>
    <w:rsid w:val="002A37AD"/>
    <w:rsid w:val="002A3AB3"/>
    <w:rsid w:val="002A448B"/>
    <w:rsid w:val="002A5E24"/>
    <w:rsid w:val="002A6162"/>
    <w:rsid w:val="002A6FFD"/>
    <w:rsid w:val="002B17F0"/>
    <w:rsid w:val="002B195C"/>
    <w:rsid w:val="002B2EC5"/>
    <w:rsid w:val="002B53E3"/>
    <w:rsid w:val="002B68A0"/>
    <w:rsid w:val="002B7006"/>
    <w:rsid w:val="002B7859"/>
    <w:rsid w:val="002B7874"/>
    <w:rsid w:val="002B7DA9"/>
    <w:rsid w:val="002C0721"/>
    <w:rsid w:val="002C07C8"/>
    <w:rsid w:val="002C0DAE"/>
    <w:rsid w:val="002C0DF5"/>
    <w:rsid w:val="002C17C9"/>
    <w:rsid w:val="002C348D"/>
    <w:rsid w:val="002C3870"/>
    <w:rsid w:val="002C6C6D"/>
    <w:rsid w:val="002C6E82"/>
    <w:rsid w:val="002C7A65"/>
    <w:rsid w:val="002D0DD6"/>
    <w:rsid w:val="002D223E"/>
    <w:rsid w:val="002D2351"/>
    <w:rsid w:val="002D2C5D"/>
    <w:rsid w:val="002D3636"/>
    <w:rsid w:val="002D38B7"/>
    <w:rsid w:val="002D46D0"/>
    <w:rsid w:val="002D67DC"/>
    <w:rsid w:val="002D6E0E"/>
    <w:rsid w:val="002D7249"/>
    <w:rsid w:val="002E0FF1"/>
    <w:rsid w:val="002E1CEB"/>
    <w:rsid w:val="002E3954"/>
    <w:rsid w:val="002E4E91"/>
    <w:rsid w:val="002E5746"/>
    <w:rsid w:val="002F0F28"/>
    <w:rsid w:val="002F14A9"/>
    <w:rsid w:val="002F1A8B"/>
    <w:rsid w:val="002F265B"/>
    <w:rsid w:val="002F320A"/>
    <w:rsid w:val="002F7FA0"/>
    <w:rsid w:val="00301333"/>
    <w:rsid w:val="00304587"/>
    <w:rsid w:val="00306D2D"/>
    <w:rsid w:val="003075EA"/>
    <w:rsid w:val="00307DCB"/>
    <w:rsid w:val="00307EE8"/>
    <w:rsid w:val="00310EC2"/>
    <w:rsid w:val="00311784"/>
    <w:rsid w:val="0031212B"/>
    <w:rsid w:val="00312A2B"/>
    <w:rsid w:val="003132B9"/>
    <w:rsid w:val="003133C9"/>
    <w:rsid w:val="0031533D"/>
    <w:rsid w:val="00316DEC"/>
    <w:rsid w:val="003175C8"/>
    <w:rsid w:val="003211D9"/>
    <w:rsid w:val="00321CAD"/>
    <w:rsid w:val="00321ED4"/>
    <w:rsid w:val="0032334C"/>
    <w:rsid w:val="003242D1"/>
    <w:rsid w:val="003259DD"/>
    <w:rsid w:val="003313E2"/>
    <w:rsid w:val="00331993"/>
    <w:rsid w:val="00332EB9"/>
    <w:rsid w:val="00335B1F"/>
    <w:rsid w:val="003361BF"/>
    <w:rsid w:val="003413CC"/>
    <w:rsid w:val="00344E13"/>
    <w:rsid w:val="003452C4"/>
    <w:rsid w:val="00346433"/>
    <w:rsid w:val="00354663"/>
    <w:rsid w:val="00354FAB"/>
    <w:rsid w:val="00356364"/>
    <w:rsid w:val="003563BB"/>
    <w:rsid w:val="003576A4"/>
    <w:rsid w:val="00361614"/>
    <w:rsid w:val="00362735"/>
    <w:rsid w:val="00363912"/>
    <w:rsid w:val="0036565F"/>
    <w:rsid w:val="00365828"/>
    <w:rsid w:val="0036597B"/>
    <w:rsid w:val="00366351"/>
    <w:rsid w:val="00366D41"/>
    <w:rsid w:val="003709FB"/>
    <w:rsid w:val="00370AD9"/>
    <w:rsid w:val="003722EF"/>
    <w:rsid w:val="003735E5"/>
    <w:rsid w:val="00373CDD"/>
    <w:rsid w:val="0037708C"/>
    <w:rsid w:val="00380548"/>
    <w:rsid w:val="00380C44"/>
    <w:rsid w:val="00381BBC"/>
    <w:rsid w:val="003822F0"/>
    <w:rsid w:val="00382F22"/>
    <w:rsid w:val="0038413F"/>
    <w:rsid w:val="0038563B"/>
    <w:rsid w:val="00386290"/>
    <w:rsid w:val="00387B6D"/>
    <w:rsid w:val="003903BF"/>
    <w:rsid w:val="0039091A"/>
    <w:rsid w:val="00390CFD"/>
    <w:rsid w:val="00391106"/>
    <w:rsid w:val="00392188"/>
    <w:rsid w:val="00392670"/>
    <w:rsid w:val="00392AFF"/>
    <w:rsid w:val="00394EF2"/>
    <w:rsid w:val="003955A1"/>
    <w:rsid w:val="003957BE"/>
    <w:rsid w:val="00396A2B"/>
    <w:rsid w:val="00397ED6"/>
    <w:rsid w:val="003A0843"/>
    <w:rsid w:val="003A0B51"/>
    <w:rsid w:val="003A2BFB"/>
    <w:rsid w:val="003A3A91"/>
    <w:rsid w:val="003A3EC5"/>
    <w:rsid w:val="003B278B"/>
    <w:rsid w:val="003B3842"/>
    <w:rsid w:val="003B4081"/>
    <w:rsid w:val="003B4DB7"/>
    <w:rsid w:val="003B5259"/>
    <w:rsid w:val="003B62CB"/>
    <w:rsid w:val="003B7CAE"/>
    <w:rsid w:val="003C209C"/>
    <w:rsid w:val="003C61BE"/>
    <w:rsid w:val="003C70E3"/>
    <w:rsid w:val="003C727B"/>
    <w:rsid w:val="003C77EF"/>
    <w:rsid w:val="003C7AEF"/>
    <w:rsid w:val="003D3F19"/>
    <w:rsid w:val="003D5992"/>
    <w:rsid w:val="003D6740"/>
    <w:rsid w:val="003D6E7F"/>
    <w:rsid w:val="003D6EB5"/>
    <w:rsid w:val="003E231B"/>
    <w:rsid w:val="003E2E0B"/>
    <w:rsid w:val="003E3698"/>
    <w:rsid w:val="003E53B4"/>
    <w:rsid w:val="003E547A"/>
    <w:rsid w:val="003E6901"/>
    <w:rsid w:val="003E710F"/>
    <w:rsid w:val="003F2084"/>
    <w:rsid w:val="003F3C37"/>
    <w:rsid w:val="003F5CC9"/>
    <w:rsid w:val="003F7F7C"/>
    <w:rsid w:val="00400F04"/>
    <w:rsid w:val="004025B0"/>
    <w:rsid w:val="00403F2B"/>
    <w:rsid w:val="0040426A"/>
    <w:rsid w:val="004043C5"/>
    <w:rsid w:val="004057B9"/>
    <w:rsid w:val="00405B1C"/>
    <w:rsid w:val="00412DD6"/>
    <w:rsid w:val="00412EB7"/>
    <w:rsid w:val="00413B11"/>
    <w:rsid w:val="00415393"/>
    <w:rsid w:val="00415933"/>
    <w:rsid w:val="00415D0E"/>
    <w:rsid w:val="004163B7"/>
    <w:rsid w:val="00420285"/>
    <w:rsid w:val="004202B4"/>
    <w:rsid w:val="004205C0"/>
    <w:rsid w:val="00420C90"/>
    <w:rsid w:val="004210C6"/>
    <w:rsid w:val="00421F37"/>
    <w:rsid w:val="004220BE"/>
    <w:rsid w:val="004243EB"/>
    <w:rsid w:val="00424486"/>
    <w:rsid w:val="00424F9E"/>
    <w:rsid w:val="00426ED5"/>
    <w:rsid w:val="004276D2"/>
    <w:rsid w:val="00430677"/>
    <w:rsid w:val="00431443"/>
    <w:rsid w:val="00433133"/>
    <w:rsid w:val="004349AB"/>
    <w:rsid w:val="00435358"/>
    <w:rsid w:val="00436006"/>
    <w:rsid w:val="00441E3A"/>
    <w:rsid w:val="0044468D"/>
    <w:rsid w:val="00445495"/>
    <w:rsid w:val="00445508"/>
    <w:rsid w:val="004468BE"/>
    <w:rsid w:val="00450D5C"/>
    <w:rsid w:val="0045200A"/>
    <w:rsid w:val="0045444C"/>
    <w:rsid w:val="0045782F"/>
    <w:rsid w:val="004600AE"/>
    <w:rsid w:val="00460930"/>
    <w:rsid w:val="00461A21"/>
    <w:rsid w:val="00463F1F"/>
    <w:rsid w:val="00465DE6"/>
    <w:rsid w:val="004702CE"/>
    <w:rsid w:val="0047057B"/>
    <w:rsid w:val="00470FB6"/>
    <w:rsid w:val="0047108F"/>
    <w:rsid w:val="004713F0"/>
    <w:rsid w:val="0047199F"/>
    <w:rsid w:val="00472722"/>
    <w:rsid w:val="004735EC"/>
    <w:rsid w:val="00475B81"/>
    <w:rsid w:val="00475C7B"/>
    <w:rsid w:val="0048072D"/>
    <w:rsid w:val="00480C2E"/>
    <w:rsid w:val="0048138C"/>
    <w:rsid w:val="0048246F"/>
    <w:rsid w:val="00482619"/>
    <w:rsid w:val="0048455C"/>
    <w:rsid w:val="00487CC8"/>
    <w:rsid w:val="00491D21"/>
    <w:rsid w:val="00491EAE"/>
    <w:rsid w:val="004933E0"/>
    <w:rsid w:val="00493E01"/>
    <w:rsid w:val="00493FBA"/>
    <w:rsid w:val="0049560E"/>
    <w:rsid w:val="00497A0F"/>
    <w:rsid w:val="00497E6F"/>
    <w:rsid w:val="004A045E"/>
    <w:rsid w:val="004A0C4B"/>
    <w:rsid w:val="004A24DD"/>
    <w:rsid w:val="004A382D"/>
    <w:rsid w:val="004A3C1C"/>
    <w:rsid w:val="004A4CB6"/>
    <w:rsid w:val="004A73A9"/>
    <w:rsid w:val="004B0F38"/>
    <w:rsid w:val="004B3BD5"/>
    <w:rsid w:val="004B3E7F"/>
    <w:rsid w:val="004B49C4"/>
    <w:rsid w:val="004B4B7E"/>
    <w:rsid w:val="004B4E0C"/>
    <w:rsid w:val="004B5EE1"/>
    <w:rsid w:val="004B683E"/>
    <w:rsid w:val="004B7645"/>
    <w:rsid w:val="004C0143"/>
    <w:rsid w:val="004C0279"/>
    <w:rsid w:val="004C2BBE"/>
    <w:rsid w:val="004C3474"/>
    <w:rsid w:val="004C46A4"/>
    <w:rsid w:val="004C49DC"/>
    <w:rsid w:val="004C5D6E"/>
    <w:rsid w:val="004D1573"/>
    <w:rsid w:val="004D1EAE"/>
    <w:rsid w:val="004D3168"/>
    <w:rsid w:val="004D3982"/>
    <w:rsid w:val="004D440D"/>
    <w:rsid w:val="004D4C24"/>
    <w:rsid w:val="004D79DB"/>
    <w:rsid w:val="004E0E51"/>
    <w:rsid w:val="004E1E20"/>
    <w:rsid w:val="004E2636"/>
    <w:rsid w:val="004E2B94"/>
    <w:rsid w:val="004E326E"/>
    <w:rsid w:val="004E3690"/>
    <w:rsid w:val="004E3FA9"/>
    <w:rsid w:val="004E7622"/>
    <w:rsid w:val="004E7A67"/>
    <w:rsid w:val="004F08A6"/>
    <w:rsid w:val="004F1681"/>
    <w:rsid w:val="004F23CE"/>
    <w:rsid w:val="004F2C00"/>
    <w:rsid w:val="004F47CE"/>
    <w:rsid w:val="004F49FC"/>
    <w:rsid w:val="004F6BE4"/>
    <w:rsid w:val="0050023D"/>
    <w:rsid w:val="005029E8"/>
    <w:rsid w:val="00503B4E"/>
    <w:rsid w:val="00504DA4"/>
    <w:rsid w:val="00505BE4"/>
    <w:rsid w:val="0050603A"/>
    <w:rsid w:val="0050607E"/>
    <w:rsid w:val="00506276"/>
    <w:rsid w:val="00510E0C"/>
    <w:rsid w:val="005127D4"/>
    <w:rsid w:val="00517930"/>
    <w:rsid w:val="005204CE"/>
    <w:rsid w:val="005220C7"/>
    <w:rsid w:val="005221AA"/>
    <w:rsid w:val="005237D3"/>
    <w:rsid w:val="00524101"/>
    <w:rsid w:val="005251A7"/>
    <w:rsid w:val="00525CB4"/>
    <w:rsid w:val="00526733"/>
    <w:rsid w:val="00527BAE"/>
    <w:rsid w:val="00530FEA"/>
    <w:rsid w:val="00531C79"/>
    <w:rsid w:val="005347A9"/>
    <w:rsid w:val="0053502F"/>
    <w:rsid w:val="00537091"/>
    <w:rsid w:val="00537627"/>
    <w:rsid w:val="00540252"/>
    <w:rsid w:val="00540C44"/>
    <w:rsid w:val="0054113B"/>
    <w:rsid w:val="00542BD1"/>
    <w:rsid w:val="0054435B"/>
    <w:rsid w:val="0054504E"/>
    <w:rsid w:val="00545208"/>
    <w:rsid w:val="00547F06"/>
    <w:rsid w:val="00551A7A"/>
    <w:rsid w:val="005530C9"/>
    <w:rsid w:val="00557038"/>
    <w:rsid w:val="00561499"/>
    <w:rsid w:val="005616A3"/>
    <w:rsid w:val="00562F86"/>
    <w:rsid w:val="0056311A"/>
    <w:rsid w:val="00566105"/>
    <w:rsid w:val="005677B6"/>
    <w:rsid w:val="00567895"/>
    <w:rsid w:val="00570679"/>
    <w:rsid w:val="005733BC"/>
    <w:rsid w:val="00573B2A"/>
    <w:rsid w:val="005755E0"/>
    <w:rsid w:val="00575AA3"/>
    <w:rsid w:val="005769C1"/>
    <w:rsid w:val="005773A9"/>
    <w:rsid w:val="00577699"/>
    <w:rsid w:val="00580CAC"/>
    <w:rsid w:val="00581BEA"/>
    <w:rsid w:val="005828C6"/>
    <w:rsid w:val="00582D53"/>
    <w:rsid w:val="00583D51"/>
    <w:rsid w:val="005862B0"/>
    <w:rsid w:val="005865C3"/>
    <w:rsid w:val="005903F1"/>
    <w:rsid w:val="0059646B"/>
    <w:rsid w:val="00597DBA"/>
    <w:rsid w:val="005A099D"/>
    <w:rsid w:val="005A0E20"/>
    <w:rsid w:val="005A199B"/>
    <w:rsid w:val="005A20DA"/>
    <w:rsid w:val="005A2FE5"/>
    <w:rsid w:val="005A3C8F"/>
    <w:rsid w:val="005A41E3"/>
    <w:rsid w:val="005A4BB1"/>
    <w:rsid w:val="005A4F1E"/>
    <w:rsid w:val="005A5EC0"/>
    <w:rsid w:val="005B0BE3"/>
    <w:rsid w:val="005B1608"/>
    <w:rsid w:val="005B1D91"/>
    <w:rsid w:val="005B26C0"/>
    <w:rsid w:val="005B2BD9"/>
    <w:rsid w:val="005B2DB0"/>
    <w:rsid w:val="005B2FCA"/>
    <w:rsid w:val="005B4B89"/>
    <w:rsid w:val="005C1012"/>
    <w:rsid w:val="005C26A1"/>
    <w:rsid w:val="005C2BE9"/>
    <w:rsid w:val="005C338B"/>
    <w:rsid w:val="005C3873"/>
    <w:rsid w:val="005C42A6"/>
    <w:rsid w:val="005C67EC"/>
    <w:rsid w:val="005C6EF7"/>
    <w:rsid w:val="005C7D77"/>
    <w:rsid w:val="005D039E"/>
    <w:rsid w:val="005D2357"/>
    <w:rsid w:val="005D25FF"/>
    <w:rsid w:val="005D357E"/>
    <w:rsid w:val="005D45A1"/>
    <w:rsid w:val="005D62A3"/>
    <w:rsid w:val="005D756C"/>
    <w:rsid w:val="005E0A11"/>
    <w:rsid w:val="005E4210"/>
    <w:rsid w:val="005E7116"/>
    <w:rsid w:val="005E729A"/>
    <w:rsid w:val="005F076E"/>
    <w:rsid w:val="005F1399"/>
    <w:rsid w:val="005F16A2"/>
    <w:rsid w:val="005F369A"/>
    <w:rsid w:val="005F5CE4"/>
    <w:rsid w:val="005F5F1C"/>
    <w:rsid w:val="005F6EBA"/>
    <w:rsid w:val="00601D9E"/>
    <w:rsid w:val="00603005"/>
    <w:rsid w:val="0060591E"/>
    <w:rsid w:val="00606F08"/>
    <w:rsid w:val="00607679"/>
    <w:rsid w:val="00611B92"/>
    <w:rsid w:val="00612511"/>
    <w:rsid w:val="006130F7"/>
    <w:rsid w:val="00617119"/>
    <w:rsid w:val="006173BA"/>
    <w:rsid w:val="0061743D"/>
    <w:rsid w:val="00621EF3"/>
    <w:rsid w:val="006222B7"/>
    <w:rsid w:val="006223DC"/>
    <w:rsid w:val="006235CB"/>
    <w:rsid w:val="00623A07"/>
    <w:rsid w:val="0062630B"/>
    <w:rsid w:val="00626BED"/>
    <w:rsid w:val="00627679"/>
    <w:rsid w:val="00627B39"/>
    <w:rsid w:val="00630777"/>
    <w:rsid w:val="00631B83"/>
    <w:rsid w:val="0063231F"/>
    <w:rsid w:val="006368D3"/>
    <w:rsid w:val="00637A0A"/>
    <w:rsid w:val="00640235"/>
    <w:rsid w:val="006412AE"/>
    <w:rsid w:val="00646863"/>
    <w:rsid w:val="006509E5"/>
    <w:rsid w:val="00650E7B"/>
    <w:rsid w:val="0065148A"/>
    <w:rsid w:val="0065191B"/>
    <w:rsid w:val="00651DB2"/>
    <w:rsid w:val="006526BE"/>
    <w:rsid w:val="0065402A"/>
    <w:rsid w:val="0065475E"/>
    <w:rsid w:val="00655589"/>
    <w:rsid w:val="00655856"/>
    <w:rsid w:val="00655959"/>
    <w:rsid w:val="0065724F"/>
    <w:rsid w:val="006627C0"/>
    <w:rsid w:val="00662B2A"/>
    <w:rsid w:val="006647C0"/>
    <w:rsid w:val="00664AB0"/>
    <w:rsid w:val="0066536D"/>
    <w:rsid w:val="00665606"/>
    <w:rsid w:val="00665DA1"/>
    <w:rsid w:val="006667FB"/>
    <w:rsid w:val="00666C5E"/>
    <w:rsid w:val="00670261"/>
    <w:rsid w:val="00670CE2"/>
    <w:rsid w:val="00671D41"/>
    <w:rsid w:val="006741B2"/>
    <w:rsid w:val="006748AC"/>
    <w:rsid w:val="00674A3A"/>
    <w:rsid w:val="00675773"/>
    <w:rsid w:val="00680BF4"/>
    <w:rsid w:val="00683ADB"/>
    <w:rsid w:val="00687B21"/>
    <w:rsid w:val="0069257C"/>
    <w:rsid w:val="00692C48"/>
    <w:rsid w:val="0069652B"/>
    <w:rsid w:val="006974C3"/>
    <w:rsid w:val="006975BC"/>
    <w:rsid w:val="006976C9"/>
    <w:rsid w:val="006A07DF"/>
    <w:rsid w:val="006A1119"/>
    <w:rsid w:val="006A19F9"/>
    <w:rsid w:val="006A7AC1"/>
    <w:rsid w:val="006B4B13"/>
    <w:rsid w:val="006B5645"/>
    <w:rsid w:val="006B7649"/>
    <w:rsid w:val="006C0090"/>
    <w:rsid w:val="006C0ABB"/>
    <w:rsid w:val="006C1134"/>
    <w:rsid w:val="006C175C"/>
    <w:rsid w:val="006C1A97"/>
    <w:rsid w:val="006C284C"/>
    <w:rsid w:val="006C4FBC"/>
    <w:rsid w:val="006C5373"/>
    <w:rsid w:val="006C5D6D"/>
    <w:rsid w:val="006C71BD"/>
    <w:rsid w:val="006C774E"/>
    <w:rsid w:val="006D11C9"/>
    <w:rsid w:val="006D380D"/>
    <w:rsid w:val="006D41B2"/>
    <w:rsid w:val="006D621E"/>
    <w:rsid w:val="006D70AD"/>
    <w:rsid w:val="006D78A9"/>
    <w:rsid w:val="006D7DF5"/>
    <w:rsid w:val="006E0C09"/>
    <w:rsid w:val="006E0F1E"/>
    <w:rsid w:val="006E10CF"/>
    <w:rsid w:val="006E308C"/>
    <w:rsid w:val="006E30F2"/>
    <w:rsid w:val="006E3116"/>
    <w:rsid w:val="006E4B6F"/>
    <w:rsid w:val="006E4D8B"/>
    <w:rsid w:val="006E730A"/>
    <w:rsid w:val="006F04C3"/>
    <w:rsid w:val="006F04C6"/>
    <w:rsid w:val="006F0E73"/>
    <w:rsid w:val="006F166D"/>
    <w:rsid w:val="006F1790"/>
    <w:rsid w:val="006F4028"/>
    <w:rsid w:val="006F415D"/>
    <w:rsid w:val="006F692A"/>
    <w:rsid w:val="00701D14"/>
    <w:rsid w:val="00701D1A"/>
    <w:rsid w:val="0070335C"/>
    <w:rsid w:val="007075DF"/>
    <w:rsid w:val="0071213F"/>
    <w:rsid w:val="00712DEB"/>
    <w:rsid w:val="00712DF4"/>
    <w:rsid w:val="007146CC"/>
    <w:rsid w:val="007160F3"/>
    <w:rsid w:val="00716F0D"/>
    <w:rsid w:val="00720700"/>
    <w:rsid w:val="0072217D"/>
    <w:rsid w:val="00722807"/>
    <w:rsid w:val="0072328E"/>
    <w:rsid w:val="00724020"/>
    <w:rsid w:val="0072578C"/>
    <w:rsid w:val="00726055"/>
    <w:rsid w:val="007271E2"/>
    <w:rsid w:val="00731B32"/>
    <w:rsid w:val="0073319B"/>
    <w:rsid w:val="00733458"/>
    <w:rsid w:val="00733D84"/>
    <w:rsid w:val="007341D7"/>
    <w:rsid w:val="0073572E"/>
    <w:rsid w:val="00736C6D"/>
    <w:rsid w:val="00742D4B"/>
    <w:rsid w:val="00743001"/>
    <w:rsid w:val="007439E8"/>
    <w:rsid w:val="00747AD7"/>
    <w:rsid w:val="00747EE7"/>
    <w:rsid w:val="00747F07"/>
    <w:rsid w:val="007535A2"/>
    <w:rsid w:val="00755E0B"/>
    <w:rsid w:val="00756E6B"/>
    <w:rsid w:val="007574A2"/>
    <w:rsid w:val="0076007B"/>
    <w:rsid w:val="007605BD"/>
    <w:rsid w:val="0076099D"/>
    <w:rsid w:val="007618D4"/>
    <w:rsid w:val="00762E9A"/>
    <w:rsid w:val="007634BA"/>
    <w:rsid w:val="00764467"/>
    <w:rsid w:val="00765762"/>
    <w:rsid w:val="00765D62"/>
    <w:rsid w:val="00766900"/>
    <w:rsid w:val="007709FB"/>
    <w:rsid w:val="00770AED"/>
    <w:rsid w:val="0077131D"/>
    <w:rsid w:val="0077233F"/>
    <w:rsid w:val="00772F06"/>
    <w:rsid w:val="00773EF6"/>
    <w:rsid w:val="0077550E"/>
    <w:rsid w:val="007808F5"/>
    <w:rsid w:val="00781A2A"/>
    <w:rsid w:val="00782433"/>
    <w:rsid w:val="00782961"/>
    <w:rsid w:val="00782BD3"/>
    <w:rsid w:val="00783598"/>
    <w:rsid w:val="00783654"/>
    <w:rsid w:val="0078380F"/>
    <w:rsid w:val="00784653"/>
    <w:rsid w:val="007851DF"/>
    <w:rsid w:val="00786149"/>
    <w:rsid w:val="00786BE9"/>
    <w:rsid w:val="007902BE"/>
    <w:rsid w:val="007905D3"/>
    <w:rsid w:val="007909B9"/>
    <w:rsid w:val="00790CC2"/>
    <w:rsid w:val="0079138E"/>
    <w:rsid w:val="007929F7"/>
    <w:rsid w:val="00792E50"/>
    <w:rsid w:val="007A1863"/>
    <w:rsid w:val="007A21A1"/>
    <w:rsid w:val="007A2FFD"/>
    <w:rsid w:val="007A38A6"/>
    <w:rsid w:val="007A4008"/>
    <w:rsid w:val="007A792C"/>
    <w:rsid w:val="007A79D6"/>
    <w:rsid w:val="007A7B18"/>
    <w:rsid w:val="007B05FD"/>
    <w:rsid w:val="007B0FB2"/>
    <w:rsid w:val="007B16F7"/>
    <w:rsid w:val="007B37FA"/>
    <w:rsid w:val="007B5B47"/>
    <w:rsid w:val="007B7D9D"/>
    <w:rsid w:val="007C2C0B"/>
    <w:rsid w:val="007C2FC3"/>
    <w:rsid w:val="007C3128"/>
    <w:rsid w:val="007C3B98"/>
    <w:rsid w:val="007C4EA6"/>
    <w:rsid w:val="007D0A11"/>
    <w:rsid w:val="007D1EC7"/>
    <w:rsid w:val="007D7593"/>
    <w:rsid w:val="007E043B"/>
    <w:rsid w:val="007E04C1"/>
    <w:rsid w:val="007E1068"/>
    <w:rsid w:val="007E29BB"/>
    <w:rsid w:val="007E3841"/>
    <w:rsid w:val="007E6676"/>
    <w:rsid w:val="007E7634"/>
    <w:rsid w:val="007F094F"/>
    <w:rsid w:val="007F0B7D"/>
    <w:rsid w:val="007F287A"/>
    <w:rsid w:val="007F52AA"/>
    <w:rsid w:val="007F7379"/>
    <w:rsid w:val="007F779B"/>
    <w:rsid w:val="00800062"/>
    <w:rsid w:val="0080146A"/>
    <w:rsid w:val="00801C95"/>
    <w:rsid w:val="00803588"/>
    <w:rsid w:val="00803B53"/>
    <w:rsid w:val="00803C1D"/>
    <w:rsid w:val="008048AB"/>
    <w:rsid w:val="00805AE9"/>
    <w:rsid w:val="00806515"/>
    <w:rsid w:val="008069CD"/>
    <w:rsid w:val="0080753F"/>
    <w:rsid w:val="00807588"/>
    <w:rsid w:val="008077EC"/>
    <w:rsid w:val="00807CA4"/>
    <w:rsid w:val="00810BD4"/>
    <w:rsid w:val="00815CD7"/>
    <w:rsid w:val="00816DF3"/>
    <w:rsid w:val="008178C4"/>
    <w:rsid w:val="00820B08"/>
    <w:rsid w:val="00821110"/>
    <w:rsid w:val="00821D35"/>
    <w:rsid w:val="00822EB0"/>
    <w:rsid w:val="008241B9"/>
    <w:rsid w:val="008247C2"/>
    <w:rsid w:val="0082485C"/>
    <w:rsid w:val="008248E5"/>
    <w:rsid w:val="00824EDA"/>
    <w:rsid w:val="008276D5"/>
    <w:rsid w:val="0083053C"/>
    <w:rsid w:val="00831228"/>
    <w:rsid w:val="008328F6"/>
    <w:rsid w:val="00832BAC"/>
    <w:rsid w:val="008342FE"/>
    <w:rsid w:val="00834740"/>
    <w:rsid w:val="0083530F"/>
    <w:rsid w:val="00835642"/>
    <w:rsid w:val="008357D1"/>
    <w:rsid w:val="00837988"/>
    <w:rsid w:val="00837AA9"/>
    <w:rsid w:val="00842495"/>
    <w:rsid w:val="008424E6"/>
    <w:rsid w:val="008437E9"/>
    <w:rsid w:val="008466DD"/>
    <w:rsid w:val="00847469"/>
    <w:rsid w:val="00847971"/>
    <w:rsid w:val="00850703"/>
    <w:rsid w:val="0085303E"/>
    <w:rsid w:val="008548FE"/>
    <w:rsid w:val="00857D7A"/>
    <w:rsid w:val="00860EDD"/>
    <w:rsid w:val="008619AD"/>
    <w:rsid w:val="00863ADD"/>
    <w:rsid w:val="00864636"/>
    <w:rsid w:val="00865BAE"/>
    <w:rsid w:val="0086720D"/>
    <w:rsid w:val="00867B11"/>
    <w:rsid w:val="008734E7"/>
    <w:rsid w:val="00873F3A"/>
    <w:rsid w:val="008802D9"/>
    <w:rsid w:val="008802E0"/>
    <w:rsid w:val="00882723"/>
    <w:rsid w:val="008829FC"/>
    <w:rsid w:val="00882FCC"/>
    <w:rsid w:val="0088574C"/>
    <w:rsid w:val="008859E1"/>
    <w:rsid w:val="008876D2"/>
    <w:rsid w:val="008906E1"/>
    <w:rsid w:val="00890816"/>
    <w:rsid w:val="00890D1C"/>
    <w:rsid w:val="0089154C"/>
    <w:rsid w:val="00891A87"/>
    <w:rsid w:val="008A0CA2"/>
    <w:rsid w:val="008A2CDF"/>
    <w:rsid w:val="008A39D6"/>
    <w:rsid w:val="008A411C"/>
    <w:rsid w:val="008A4906"/>
    <w:rsid w:val="008A4B55"/>
    <w:rsid w:val="008A6EBC"/>
    <w:rsid w:val="008A783D"/>
    <w:rsid w:val="008A7EB4"/>
    <w:rsid w:val="008B06B0"/>
    <w:rsid w:val="008B1F4C"/>
    <w:rsid w:val="008B2747"/>
    <w:rsid w:val="008B2B11"/>
    <w:rsid w:val="008B4408"/>
    <w:rsid w:val="008B4CCC"/>
    <w:rsid w:val="008B52FB"/>
    <w:rsid w:val="008B5BC5"/>
    <w:rsid w:val="008B7931"/>
    <w:rsid w:val="008C1224"/>
    <w:rsid w:val="008C2067"/>
    <w:rsid w:val="008C33C9"/>
    <w:rsid w:val="008C390D"/>
    <w:rsid w:val="008C5AA5"/>
    <w:rsid w:val="008C5B3C"/>
    <w:rsid w:val="008C6EB3"/>
    <w:rsid w:val="008D437D"/>
    <w:rsid w:val="008D50F2"/>
    <w:rsid w:val="008D5779"/>
    <w:rsid w:val="008D6F47"/>
    <w:rsid w:val="008D742F"/>
    <w:rsid w:val="008D7679"/>
    <w:rsid w:val="008E0B45"/>
    <w:rsid w:val="008E1358"/>
    <w:rsid w:val="008E2351"/>
    <w:rsid w:val="008E3191"/>
    <w:rsid w:val="008E5E61"/>
    <w:rsid w:val="008E796F"/>
    <w:rsid w:val="008E7AC3"/>
    <w:rsid w:val="008F1276"/>
    <w:rsid w:val="008F17D6"/>
    <w:rsid w:val="008F2378"/>
    <w:rsid w:val="008F473B"/>
    <w:rsid w:val="008F4915"/>
    <w:rsid w:val="008F5554"/>
    <w:rsid w:val="00900C38"/>
    <w:rsid w:val="00902206"/>
    <w:rsid w:val="00903D64"/>
    <w:rsid w:val="00904330"/>
    <w:rsid w:val="00904916"/>
    <w:rsid w:val="009105DF"/>
    <w:rsid w:val="00911440"/>
    <w:rsid w:val="009136A2"/>
    <w:rsid w:val="009146B0"/>
    <w:rsid w:val="00916142"/>
    <w:rsid w:val="00916769"/>
    <w:rsid w:val="0092093A"/>
    <w:rsid w:val="009210DA"/>
    <w:rsid w:val="00922284"/>
    <w:rsid w:val="009238E1"/>
    <w:rsid w:val="00924A90"/>
    <w:rsid w:val="009252A0"/>
    <w:rsid w:val="009252DC"/>
    <w:rsid w:val="00925A45"/>
    <w:rsid w:val="00925ABF"/>
    <w:rsid w:val="00926170"/>
    <w:rsid w:val="00930C38"/>
    <w:rsid w:val="0093120E"/>
    <w:rsid w:val="00931A97"/>
    <w:rsid w:val="00934714"/>
    <w:rsid w:val="00935DD4"/>
    <w:rsid w:val="00940B4D"/>
    <w:rsid w:val="009421CA"/>
    <w:rsid w:val="009437CB"/>
    <w:rsid w:val="00944077"/>
    <w:rsid w:val="00944564"/>
    <w:rsid w:val="0094593C"/>
    <w:rsid w:val="00951827"/>
    <w:rsid w:val="009525FD"/>
    <w:rsid w:val="009561B3"/>
    <w:rsid w:val="00956597"/>
    <w:rsid w:val="00961F75"/>
    <w:rsid w:val="009647FC"/>
    <w:rsid w:val="0096558D"/>
    <w:rsid w:val="00965700"/>
    <w:rsid w:val="009674D8"/>
    <w:rsid w:val="00967A57"/>
    <w:rsid w:val="0097118F"/>
    <w:rsid w:val="0097254F"/>
    <w:rsid w:val="00973F7A"/>
    <w:rsid w:val="00974963"/>
    <w:rsid w:val="0097502E"/>
    <w:rsid w:val="00975A17"/>
    <w:rsid w:val="0097694B"/>
    <w:rsid w:val="00976AFC"/>
    <w:rsid w:val="00977330"/>
    <w:rsid w:val="00977354"/>
    <w:rsid w:val="00984988"/>
    <w:rsid w:val="00985402"/>
    <w:rsid w:val="00986603"/>
    <w:rsid w:val="00986EBC"/>
    <w:rsid w:val="00987855"/>
    <w:rsid w:val="00990416"/>
    <w:rsid w:val="00991685"/>
    <w:rsid w:val="009927D5"/>
    <w:rsid w:val="00994FCB"/>
    <w:rsid w:val="00995489"/>
    <w:rsid w:val="00996D44"/>
    <w:rsid w:val="00997ADB"/>
    <w:rsid w:val="009A18DB"/>
    <w:rsid w:val="009A303C"/>
    <w:rsid w:val="009A45FE"/>
    <w:rsid w:val="009A4690"/>
    <w:rsid w:val="009A489C"/>
    <w:rsid w:val="009A51C5"/>
    <w:rsid w:val="009A675F"/>
    <w:rsid w:val="009A6C99"/>
    <w:rsid w:val="009A77B9"/>
    <w:rsid w:val="009B38D1"/>
    <w:rsid w:val="009B3CC6"/>
    <w:rsid w:val="009B56EF"/>
    <w:rsid w:val="009B6B54"/>
    <w:rsid w:val="009B6D89"/>
    <w:rsid w:val="009B7656"/>
    <w:rsid w:val="009C0046"/>
    <w:rsid w:val="009C0C53"/>
    <w:rsid w:val="009C0D3A"/>
    <w:rsid w:val="009C0DD8"/>
    <w:rsid w:val="009C187E"/>
    <w:rsid w:val="009C1DC1"/>
    <w:rsid w:val="009C24DC"/>
    <w:rsid w:val="009C367E"/>
    <w:rsid w:val="009C4D47"/>
    <w:rsid w:val="009C5CA1"/>
    <w:rsid w:val="009C61F2"/>
    <w:rsid w:val="009C6E8C"/>
    <w:rsid w:val="009D02B9"/>
    <w:rsid w:val="009D3197"/>
    <w:rsid w:val="009D4B49"/>
    <w:rsid w:val="009E18BD"/>
    <w:rsid w:val="009E253B"/>
    <w:rsid w:val="009E6C2C"/>
    <w:rsid w:val="009E74E9"/>
    <w:rsid w:val="009F0713"/>
    <w:rsid w:val="009F2387"/>
    <w:rsid w:val="009F3A6B"/>
    <w:rsid w:val="009F4DDF"/>
    <w:rsid w:val="009F5C6A"/>
    <w:rsid w:val="009F63BA"/>
    <w:rsid w:val="009F7493"/>
    <w:rsid w:val="009F7E21"/>
    <w:rsid w:val="00A009A8"/>
    <w:rsid w:val="00A037C9"/>
    <w:rsid w:val="00A04383"/>
    <w:rsid w:val="00A05548"/>
    <w:rsid w:val="00A11C2A"/>
    <w:rsid w:val="00A123E3"/>
    <w:rsid w:val="00A13F92"/>
    <w:rsid w:val="00A15FD3"/>
    <w:rsid w:val="00A1651C"/>
    <w:rsid w:val="00A167A3"/>
    <w:rsid w:val="00A16D0B"/>
    <w:rsid w:val="00A16E9F"/>
    <w:rsid w:val="00A17DCA"/>
    <w:rsid w:val="00A21691"/>
    <w:rsid w:val="00A217CD"/>
    <w:rsid w:val="00A22514"/>
    <w:rsid w:val="00A22533"/>
    <w:rsid w:val="00A2361C"/>
    <w:rsid w:val="00A2391B"/>
    <w:rsid w:val="00A25672"/>
    <w:rsid w:val="00A26E51"/>
    <w:rsid w:val="00A271B6"/>
    <w:rsid w:val="00A322DE"/>
    <w:rsid w:val="00A33A66"/>
    <w:rsid w:val="00A33A98"/>
    <w:rsid w:val="00A3557B"/>
    <w:rsid w:val="00A35D39"/>
    <w:rsid w:val="00A36D31"/>
    <w:rsid w:val="00A408EB"/>
    <w:rsid w:val="00A40EFC"/>
    <w:rsid w:val="00A40F80"/>
    <w:rsid w:val="00A4272A"/>
    <w:rsid w:val="00A45DE0"/>
    <w:rsid w:val="00A46540"/>
    <w:rsid w:val="00A52506"/>
    <w:rsid w:val="00A53B68"/>
    <w:rsid w:val="00A54BA1"/>
    <w:rsid w:val="00A54CF5"/>
    <w:rsid w:val="00A56C74"/>
    <w:rsid w:val="00A61C27"/>
    <w:rsid w:val="00A632C2"/>
    <w:rsid w:val="00A6470A"/>
    <w:rsid w:val="00A65794"/>
    <w:rsid w:val="00A700B0"/>
    <w:rsid w:val="00A7040A"/>
    <w:rsid w:val="00A74E7A"/>
    <w:rsid w:val="00A7596B"/>
    <w:rsid w:val="00A75EE9"/>
    <w:rsid w:val="00A7690D"/>
    <w:rsid w:val="00A77CC1"/>
    <w:rsid w:val="00A84324"/>
    <w:rsid w:val="00A8483D"/>
    <w:rsid w:val="00A86923"/>
    <w:rsid w:val="00A87ABC"/>
    <w:rsid w:val="00A903C9"/>
    <w:rsid w:val="00A90C5B"/>
    <w:rsid w:val="00A90F6A"/>
    <w:rsid w:val="00A90F99"/>
    <w:rsid w:val="00A91ECB"/>
    <w:rsid w:val="00A9276D"/>
    <w:rsid w:val="00A930C7"/>
    <w:rsid w:val="00A93BF6"/>
    <w:rsid w:val="00A956AD"/>
    <w:rsid w:val="00AA13F8"/>
    <w:rsid w:val="00AA2E4C"/>
    <w:rsid w:val="00AA3BFD"/>
    <w:rsid w:val="00AA5CB2"/>
    <w:rsid w:val="00AA643C"/>
    <w:rsid w:val="00AB0CBF"/>
    <w:rsid w:val="00AB268C"/>
    <w:rsid w:val="00AB29D0"/>
    <w:rsid w:val="00AB30EC"/>
    <w:rsid w:val="00AB3B1E"/>
    <w:rsid w:val="00AB4C0B"/>
    <w:rsid w:val="00AB5DF7"/>
    <w:rsid w:val="00AC2BE4"/>
    <w:rsid w:val="00AC37F5"/>
    <w:rsid w:val="00AC4A02"/>
    <w:rsid w:val="00AC71C0"/>
    <w:rsid w:val="00AD0D6B"/>
    <w:rsid w:val="00AD1722"/>
    <w:rsid w:val="00AD1FE5"/>
    <w:rsid w:val="00AD206B"/>
    <w:rsid w:val="00AD3163"/>
    <w:rsid w:val="00AD5938"/>
    <w:rsid w:val="00AD5C44"/>
    <w:rsid w:val="00AE158D"/>
    <w:rsid w:val="00AE1A21"/>
    <w:rsid w:val="00AE22BA"/>
    <w:rsid w:val="00AE3747"/>
    <w:rsid w:val="00AE4E72"/>
    <w:rsid w:val="00AE6247"/>
    <w:rsid w:val="00AE6718"/>
    <w:rsid w:val="00AE6808"/>
    <w:rsid w:val="00AE7012"/>
    <w:rsid w:val="00AF0557"/>
    <w:rsid w:val="00AF0C5C"/>
    <w:rsid w:val="00AF2C00"/>
    <w:rsid w:val="00AF2D3A"/>
    <w:rsid w:val="00AF3A2F"/>
    <w:rsid w:val="00AF3C89"/>
    <w:rsid w:val="00AF660D"/>
    <w:rsid w:val="00AF7872"/>
    <w:rsid w:val="00AF7BEC"/>
    <w:rsid w:val="00B00A25"/>
    <w:rsid w:val="00B03631"/>
    <w:rsid w:val="00B04414"/>
    <w:rsid w:val="00B04D83"/>
    <w:rsid w:val="00B05BE6"/>
    <w:rsid w:val="00B07607"/>
    <w:rsid w:val="00B100CE"/>
    <w:rsid w:val="00B11419"/>
    <w:rsid w:val="00B1183E"/>
    <w:rsid w:val="00B140C3"/>
    <w:rsid w:val="00B1731F"/>
    <w:rsid w:val="00B17FC5"/>
    <w:rsid w:val="00B20513"/>
    <w:rsid w:val="00B21109"/>
    <w:rsid w:val="00B230BA"/>
    <w:rsid w:val="00B24B2B"/>
    <w:rsid w:val="00B2555E"/>
    <w:rsid w:val="00B27A3E"/>
    <w:rsid w:val="00B30613"/>
    <w:rsid w:val="00B3200F"/>
    <w:rsid w:val="00B331C0"/>
    <w:rsid w:val="00B3407C"/>
    <w:rsid w:val="00B35F6D"/>
    <w:rsid w:val="00B40410"/>
    <w:rsid w:val="00B41274"/>
    <w:rsid w:val="00B416CA"/>
    <w:rsid w:val="00B417BD"/>
    <w:rsid w:val="00B41994"/>
    <w:rsid w:val="00B42CDD"/>
    <w:rsid w:val="00B45671"/>
    <w:rsid w:val="00B51166"/>
    <w:rsid w:val="00B5193E"/>
    <w:rsid w:val="00B5267D"/>
    <w:rsid w:val="00B55E40"/>
    <w:rsid w:val="00B6066D"/>
    <w:rsid w:val="00B609AF"/>
    <w:rsid w:val="00B6170E"/>
    <w:rsid w:val="00B627D4"/>
    <w:rsid w:val="00B64EEB"/>
    <w:rsid w:val="00B65C11"/>
    <w:rsid w:val="00B65E51"/>
    <w:rsid w:val="00B673C1"/>
    <w:rsid w:val="00B7025F"/>
    <w:rsid w:val="00B70461"/>
    <w:rsid w:val="00B71490"/>
    <w:rsid w:val="00B72C4F"/>
    <w:rsid w:val="00B75B5B"/>
    <w:rsid w:val="00B75F05"/>
    <w:rsid w:val="00B7611D"/>
    <w:rsid w:val="00B76E5A"/>
    <w:rsid w:val="00B77E4F"/>
    <w:rsid w:val="00B80717"/>
    <w:rsid w:val="00B81A6D"/>
    <w:rsid w:val="00B8302F"/>
    <w:rsid w:val="00B83367"/>
    <w:rsid w:val="00B844D7"/>
    <w:rsid w:val="00B8483F"/>
    <w:rsid w:val="00B85ECF"/>
    <w:rsid w:val="00B90964"/>
    <w:rsid w:val="00B92D59"/>
    <w:rsid w:val="00B95A27"/>
    <w:rsid w:val="00B96B8F"/>
    <w:rsid w:val="00B9728F"/>
    <w:rsid w:val="00BA02EB"/>
    <w:rsid w:val="00BA03A6"/>
    <w:rsid w:val="00BA43AC"/>
    <w:rsid w:val="00BA707B"/>
    <w:rsid w:val="00BB0C5E"/>
    <w:rsid w:val="00BB1C90"/>
    <w:rsid w:val="00BB3AC1"/>
    <w:rsid w:val="00BB3D31"/>
    <w:rsid w:val="00BB56E1"/>
    <w:rsid w:val="00BB6914"/>
    <w:rsid w:val="00BB7026"/>
    <w:rsid w:val="00BB78FE"/>
    <w:rsid w:val="00BB7B35"/>
    <w:rsid w:val="00BC0F00"/>
    <w:rsid w:val="00BC4F45"/>
    <w:rsid w:val="00BC641A"/>
    <w:rsid w:val="00BC7731"/>
    <w:rsid w:val="00BC7AB3"/>
    <w:rsid w:val="00BC7F2E"/>
    <w:rsid w:val="00BD1B90"/>
    <w:rsid w:val="00BD4F2A"/>
    <w:rsid w:val="00BD6055"/>
    <w:rsid w:val="00BD60FE"/>
    <w:rsid w:val="00BE0C23"/>
    <w:rsid w:val="00BE3245"/>
    <w:rsid w:val="00BE5733"/>
    <w:rsid w:val="00BE6AF6"/>
    <w:rsid w:val="00BF06E1"/>
    <w:rsid w:val="00BF1BF1"/>
    <w:rsid w:val="00BF23C0"/>
    <w:rsid w:val="00BF272B"/>
    <w:rsid w:val="00BF2FC4"/>
    <w:rsid w:val="00BF3591"/>
    <w:rsid w:val="00BF3DDB"/>
    <w:rsid w:val="00BF5419"/>
    <w:rsid w:val="00BF7E48"/>
    <w:rsid w:val="00C0010B"/>
    <w:rsid w:val="00C02A0B"/>
    <w:rsid w:val="00C03CF5"/>
    <w:rsid w:val="00C045A6"/>
    <w:rsid w:val="00C04640"/>
    <w:rsid w:val="00C04E3C"/>
    <w:rsid w:val="00C05C2D"/>
    <w:rsid w:val="00C07363"/>
    <w:rsid w:val="00C10AA1"/>
    <w:rsid w:val="00C127EB"/>
    <w:rsid w:val="00C15EB3"/>
    <w:rsid w:val="00C169CF"/>
    <w:rsid w:val="00C2022D"/>
    <w:rsid w:val="00C209E9"/>
    <w:rsid w:val="00C2349F"/>
    <w:rsid w:val="00C2365D"/>
    <w:rsid w:val="00C24BE4"/>
    <w:rsid w:val="00C24C09"/>
    <w:rsid w:val="00C24C46"/>
    <w:rsid w:val="00C24E0C"/>
    <w:rsid w:val="00C250C7"/>
    <w:rsid w:val="00C26961"/>
    <w:rsid w:val="00C26F36"/>
    <w:rsid w:val="00C27CD0"/>
    <w:rsid w:val="00C31EE4"/>
    <w:rsid w:val="00C32C0D"/>
    <w:rsid w:val="00C32F38"/>
    <w:rsid w:val="00C42069"/>
    <w:rsid w:val="00C43848"/>
    <w:rsid w:val="00C456AC"/>
    <w:rsid w:val="00C46031"/>
    <w:rsid w:val="00C4764F"/>
    <w:rsid w:val="00C476AD"/>
    <w:rsid w:val="00C47CDE"/>
    <w:rsid w:val="00C53922"/>
    <w:rsid w:val="00C53A4A"/>
    <w:rsid w:val="00C54066"/>
    <w:rsid w:val="00C5434D"/>
    <w:rsid w:val="00C5458A"/>
    <w:rsid w:val="00C55661"/>
    <w:rsid w:val="00C617F7"/>
    <w:rsid w:val="00C63943"/>
    <w:rsid w:val="00C6515B"/>
    <w:rsid w:val="00C65322"/>
    <w:rsid w:val="00C66210"/>
    <w:rsid w:val="00C66250"/>
    <w:rsid w:val="00C678A9"/>
    <w:rsid w:val="00C67C43"/>
    <w:rsid w:val="00C710C7"/>
    <w:rsid w:val="00C71B36"/>
    <w:rsid w:val="00C762BF"/>
    <w:rsid w:val="00C76545"/>
    <w:rsid w:val="00C76797"/>
    <w:rsid w:val="00C76FCE"/>
    <w:rsid w:val="00C8401A"/>
    <w:rsid w:val="00C86416"/>
    <w:rsid w:val="00C86EA9"/>
    <w:rsid w:val="00C87A50"/>
    <w:rsid w:val="00C9016C"/>
    <w:rsid w:val="00C9083D"/>
    <w:rsid w:val="00C911BB"/>
    <w:rsid w:val="00C9257D"/>
    <w:rsid w:val="00C92B5D"/>
    <w:rsid w:val="00C92F79"/>
    <w:rsid w:val="00C966AE"/>
    <w:rsid w:val="00CA0C12"/>
    <w:rsid w:val="00CA482C"/>
    <w:rsid w:val="00CA544C"/>
    <w:rsid w:val="00CA6D9A"/>
    <w:rsid w:val="00CA7E73"/>
    <w:rsid w:val="00CB0E52"/>
    <w:rsid w:val="00CB3E45"/>
    <w:rsid w:val="00CB4E16"/>
    <w:rsid w:val="00CB66AB"/>
    <w:rsid w:val="00CB6FB9"/>
    <w:rsid w:val="00CB71A8"/>
    <w:rsid w:val="00CC0210"/>
    <w:rsid w:val="00CC241D"/>
    <w:rsid w:val="00CC2725"/>
    <w:rsid w:val="00CC2D86"/>
    <w:rsid w:val="00CC3A96"/>
    <w:rsid w:val="00CC728D"/>
    <w:rsid w:val="00CD2E7A"/>
    <w:rsid w:val="00CD3E47"/>
    <w:rsid w:val="00CD4914"/>
    <w:rsid w:val="00CE02E7"/>
    <w:rsid w:val="00CE1F49"/>
    <w:rsid w:val="00CE3DC3"/>
    <w:rsid w:val="00CE4AAE"/>
    <w:rsid w:val="00CE52D2"/>
    <w:rsid w:val="00CE5890"/>
    <w:rsid w:val="00CE5ED0"/>
    <w:rsid w:val="00CE654A"/>
    <w:rsid w:val="00CE7DD2"/>
    <w:rsid w:val="00CF1E75"/>
    <w:rsid w:val="00CF2634"/>
    <w:rsid w:val="00CF3B5D"/>
    <w:rsid w:val="00CF473D"/>
    <w:rsid w:val="00CF5444"/>
    <w:rsid w:val="00CF5A8D"/>
    <w:rsid w:val="00CF60CB"/>
    <w:rsid w:val="00CF7603"/>
    <w:rsid w:val="00CF77C4"/>
    <w:rsid w:val="00D014B0"/>
    <w:rsid w:val="00D01C4E"/>
    <w:rsid w:val="00D043FD"/>
    <w:rsid w:val="00D072CD"/>
    <w:rsid w:val="00D1009C"/>
    <w:rsid w:val="00D10C8B"/>
    <w:rsid w:val="00D11AA0"/>
    <w:rsid w:val="00D12AA9"/>
    <w:rsid w:val="00D13547"/>
    <w:rsid w:val="00D15CEF"/>
    <w:rsid w:val="00D1615C"/>
    <w:rsid w:val="00D16BA4"/>
    <w:rsid w:val="00D16F9F"/>
    <w:rsid w:val="00D17DC8"/>
    <w:rsid w:val="00D200C6"/>
    <w:rsid w:val="00D20828"/>
    <w:rsid w:val="00D20B2E"/>
    <w:rsid w:val="00D20CEC"/>
    <w:rsid w:val="00D2219A"/>
    <w:rsid w:val="00D22770"/>
    <w:rsid w:val="00D24C31"/>
    <w:rsid w:val="00D25AAD"/>
    <w:rsid w:val="00D267D6"/>
    <w:rsid w:val="00D27FAD"/>
    <w:rsid w:val="00D31086"/>
    <w:rsid w:val="00D328C4"/>
    <w:rsid w:val="00D32EB7"/>
    <w:rsid w:val="00D3309E"/>
    <w:rsid w:val="00D332BB"/>
    <w:rsid w:val="00D34157"/>
    <w:rsid w:val="00D3668B"/>
    <w:rsid w:val="00D371A7"/>
    <w:rsid w:val="00D42DAB"/>
    <w:rsid w:val="00D4437D"/>
    <w:rsid w:val="00D45014"/>
    <w:rsid w:val="00D45050"/>
    <w:rsid w:val="00D465AF"/>
    <w:rsid w:val="00D466F8"/>
    <w:rsid w:val="00D4692F"/>
    <w:rsid w:val="00D47819"/>
    <w:rsid w:val="00D505D6"/>
    <w:rsid w:val="00D50A1F"/>
    <w:rsid w:val="00D51402"/>
    <w:rsid w:val="00D52357"/>
    <w:rsid w:val="00D52608"/>
    <w:rsid w:val="00D5357C"/>
    <w:rsid w:val="00D540C5"/>
    <w:rsid w:val="00D55D57"/>
    <w:rsid w:val="00D5799D"/>
    <w:rsid w:val="00D604D3"/>
    <w:rsid w:val="00D61DF1"/>
    <w:rsid w:val="00D671C9"/>
    <w:rsid w:val="00D6722E"/>
    <w:rsid w:val="00D67640"/>
    <w:rsid w:val="00D70920"/>
    <w:rsid w:val="00D709F2"/>
    <w:rsid w:val="00D73B6B"/>
    <w:rsid w:val="00D74CDA"/>
    <w:rsid w:val="00D75115"/>
    <w:rsid w:val="00D762AE"/>
    <w:rsid w:val="00D807ED"/>
    <w:rsid w:val="00D817FB"/>
    <w:rsid w:val="00D81914"/>
    <w:rsid w:val="00D829E6"/>
    <w:rsid w:val="00D82BBF"/>
    <w:rsid w:val="00D82DAE"/>
    <w:rsid w:val="00D83BE9"/>
    <w:rsid w:val="00D844A0"/>
    <w:rsid w:val="00D854DF"/>
    <w:rsid w:val="00D86EBA"/>
    <w:rsid w:val="00D87850"/>
    <w:rsid w:val="00D904BD"/>
    <w:rsid w:val="00D91398"/>
    <w:rsid w:val="00D93976"/>
    <w:rsid w:val="00D94E7D"/>
    <w:rsid w:val="00D9534E"/>
    <w:rsid w:val="00D95999"/>
    <w:rsid w:val="00DA0106"/>
    <w:rsid w:val="00DA1D20"/>
    <w:rsid w:val="00DA2A7E"/>
    <w:rsid w:val="00DA3510"/>
    <w:rsid w:val="00DA390A"/>
    <w:rsid w:val="00DA3C45"/>
    <w:rsid w:val="00DA428A"/>
    <w:rsid w:val="00DA525D"/>
    <w:rsid w:val="00DA6001"/>
    <w:rsid w:val="00DA6080"/>
    <w:rsid w:val="00DA6E49"/>
    <w:rsid w:val="00DA7BC2"/>
    <w:rsid w:val="00DA7EED"/>
    <w:rsid w:val="00DB2C4A"/>
    <w:rsid w:val="00DB55DB"/>
    <w:rsid w:val="00DB5B91"/>
    <w:rsid w:val="00DB6144"/>
    <w:rsid w:val="00DB6709"/>
    <w:rsid w:val="00DC01E6"/>
    <w:rsid w:val="00DC1009"/>
    <w:rsid w:val="00DC2073"/>
    <w:rsid w:val="00DC5B45"/>
    <w:rsid w:val="00DC61EB"/>
    <w:rsid w:val="00DC6788"/>
    <w:rsid w:val="00DD187E"/>
    <w:rsid w:val="00DD3584"/>
    <w:rsid w:val="00DD36EA"/>
    <w:rsid w:val="00DD44D3"/>
    <w:rsid w:val="00DD537E"/>
    <w:rsid w:val="00DD6DE2"/>
    <w:rsid w:val="00DD77A1"/>
    <w:rsid w:val="00DE0389"/>
    <w:rsid w:val="00DE16EF"/>
    <w:rsid w:val="00DE2627"/>
    <w:rsid w:val="00DE30E5"/>
    <w:rsid w:val="00DE327B"/>
    <w:rsid w:val="00DE6648"/>
    <w:rsid w:val="00DE70C7"/>
    <w:rsid w:val="00DE72AB"/>
    <w:rsid w:val="00DE72C5"/>
    <w:rsid w:val="00DF19DF"/>
    <w:rsid w:val="00DF5E72"/>
    <w:rsid w:val="00DF617F"/>
    <w:rsid w:val="00DF6236"/>
    <w:rsid w:val="00DF74B2"/>
    <w:rsid w:val="00DF7764"/>
    <w:rsid w:val="00E01AAE"/>
    <w:rsid w:val="00E025D2"/>
    <w:rsid w:val="00E062A3"/>
    <w:rsid w:val="00E066E6"/>
    <w:rsid w:val="00E068CF"/>
    <w:rsid w:val="00E07958"/>
    <w:rsid w:val="00E10466"/>
    <w:rsid w:val="00E104EA"/>
    <w:rsid w:val="00E120DE"/>
    <w:rsid w:val="00E13978"/>
    <w:rsid w:val="00E21EC7"/>
    <w:rsid w:val="00E22102"/>
    <w:rsid w:val="00E227B8"/>
    <w:rsid w:val="00E2490B"/>
    <w:rsid w:val="00E258D8"/>
    <w:rsid w:val="00E26776"/>
    <w:rsid w:val="00E27B4E"/>
    <w:rsid w:val="00E30887"/>
    <w:rsid w:val="00E31126"/>
    <w:rsid w:val="00E32280"/>
    <w:rsid w:val="00E3291D"/>
    <w:rsid w:val="00E33155"/>
    <w:rsid w:val="00E33422"/>
    <w:rsid w:val="00E3618F"/>
    <w:rsid w:val="00E36730"/>
    <w:rsid w:val="00E37EC0"/>
    <w:rsid w:val="00E414F2"/>
    <w:rsid w:val="00E423EB"/>
    <w:rsid w:val="00E438A3"/>
    <w:rsid w:val="00E43A23"/>
    <w:rsid w:val="00E45F9C"/>
    <w:rsid w:val="00E46DCE"/>
    <w:rsid w:val="00E50892"/>
    <w:rsid w:val="00E5289E"/>
    <w:rsid w:val="00E53855"/>
    <w:rsid w:val="00E54AFA"/>
    <w:rsid w:val="00E54C68"/>
    <w:rsid w:val="00E56AA1"/>
    <w:rsid w:val="00E56DD2"/>
    <w:rsid w:val="00E62BDD"/>
    <w:rsid w:val="00E64BEC"/>
    <w:rsid w:val="00E656F1"/>
    <w:rsid w:val="00E66160"/>
    <w:rsid w:val="00E672F6"/>
    <w:rsid w:val="00E7052B"/>
    <w:rsid w:val="00E7187F"/>
    <w:rsid w:val="00E72B0E"/>
    <w:rsid w:val="00E74240"/>
    <w:rsid w:val="00E76EB6"/>
    <w:rsid w:val="00E7780E"/>
    <w:rsid w:val="00E7795C"/>
    <w:rsid w:val="00E8082B"/>
    <w:rsid w:val="00E81189"/>
    <w:rsid w:val="00E81BB4"/>
    <w:rsid w:val="00E8241E"/>
    <w:rsid w:val="00E84389"/>
    <w:rsid w:val="00E84C7E"/>
    <w:rsid w:val="00E84F55"/>
    <w:rsid w:val="00E85C33"/>
    <w:rsid w:val="00E87647"/>
    <w:rsid w:val="00E92364"/>
    <w:rsid w:val="00E92830"/>
    <w:rsid w:val="00E9293B"/>
    <w:rsid w:val="00E92B74"/>
    <w:rsid w:val="00E92EC2"/>
    <w:rsid w:val="00E93169"/>
    <w:rsid w:val="00E9579F"/>
    <w:rsid w:val="00EA1519"/>
    <w:rsid w:val="00EA3989"/>
    <w:rsid w:val="00EA45EF"/>
    <w:rsid w:val="00EA47D9"/>
    <w:rsid w:val="00EA63D7"/>
    <w:rsid w:val="00EB092D"/>
    <w:rsid w:val="00EB1C22"/>
    <w:rsid w:val="00EB3777"/>
    <w:rsid w:val="00EB7989"/>
    <w:rsid w:val="00EB7EB9"/>
    <w:rsid w:val="00EB7F08"/>
    <w:rsid w:val="00EC06A8"/>
    <w:rsid w:val="00EC1664"/>
    <w:rsid w:val="00EC3758"/>
    <w:rsid w:val="00EC46BA"/>
    <w:rsid w:val="00EC4F5B"/>
    <w:rsid w:val="00EC58D5"/>
    <w:rsid w:val="00EC63D2"/>
    <w:rsid w:val="00ED0535"/>
    <w:rsid w:val="00ED159E"/>
    <w:rsid w:val="00ED5A10"/>
    <w:rsid w:val="00EE0668"/>
    <w:rsid w:val="00EE271B"/>
    <w:rsid w:val="00EE3F2B"/>
    <w:rsid w:val="00EE4039"/>
    <w:rsid w:val="00EE617F"/>
    <w:rsid w:val="00EE6293"/>
    <w:rsid w:val="00EE649C"/>
    <w:rsid w:val="00EE6B06"/>
    <w:rsid w:val="00EE73D6"/>
    <w:rsid w:val="00EF0B75"/>
    <w:rsid w:val="00EF1882"/>
    <w:rsid w:val="00EF1C65"/>
    <w:rsid w:val="00EF1E83"/>
    <w:rsid w:val="00EF25B3"/>
    <w:rsid w:val="00EF2E96"/>
    <w:rsid w:val="00EF35B6"/>
    <w:rsid w:val="00EF39C1"/>
    <w:rsid w:val="00EF4257"/>
    <w:rsid w:val="00EF5C53"/>
    <w:rsid w:val="00EF6729"/>
    <w:rsid w:val="00F0119B"/>
    <w:rsid w:val="00F05863"/>
    <w:rsid w:val="00F1072D"/>
    <w:rsid w:val="00F156B8"/>
    <w:rsid w:val="00F17338"/>
    <w:rsid w:val="00F17B5C"/>
    <w:rsid w:val="00F2068E"/>
    <w:rsid w:val="00F21039"/>
    <w:rsid w:val="00F21885"/>
    <w:rsid w:val="00F24120"/>
    <w:rsid w:val="00F2719B"/>
    <w:rsid w:val="00F27373"/>
    <w:rsid w:val="00F31BB4"/>
    <w:rsid w:val="00F31DA2"/>
    <w:rsid w:val="00F330D4"/>
    <w:rsid w:val="00F35484"/>
    <w:rsid w:val="00F40EAB"/>
    <w:rsid w:val="00F413D4"/>
    <w:rsid w:val="00F41E02"/>
    <w:rsid w:val="00F4437C"/>
    <w:rsid w:val="00F45AEC"/>
    <w:rsid w:val="00F46434"/>
    <w:rsid w:val="00F51D57"/>
    <w:rsid w:val="00F53675"/>
    <w:rsid w:val="00F55151"/>
    <w:rsid w:val="00F5568E"/>
    <w:rsid w:val="00F558DB"/>
    <w:rsid w:val="00F55B2A"/>
    <w:rsid w:val="00F5753A"/>
    <w:rsid w:val="00F57DCD"/>
    <w:rsid w:val="00F604CB"/>
    <w:rsid w:val="00F62474"/>
    <w:rsid w:val="00F63044"/>
    <w:rsid w:val="00F636DC"/>
    <w:rsid w:val="00F63AC7"/>
    <w:rsid w:val="00F64733"/>
    <w:rsid w:val="00F65FA5"/>
    <w:rsid w:val="00F661E5"/>
    <w:rsid w:val="00F73C96"/>
    <w:rsid w:val="00F76AC8"/>
    <w:rsid w:val="00F80E13"/>
    <w:rsid w:val="00F8147B"/>
    <w:rsid w:val="00F81E91"/>
    <w:rsid w:val="00F81FCF"/>
    <w:rsid w:val="00F82677"/>
    <w:rsid w:val="00F83732"/>
    <w:rsid w:val="00F84A3D"/>
    <w:rsid w:val="00F84EA5"/>
    <w:rsid w:val="00F85664"/>
    <w:rsid w:val="00F86E25"/>
    <w:rsid w:val="00F87C2B"/>
    <w:rsid w:val="00F87C4D"/>
    <w:rsid w:val="00F87E6E"/>
    <w:rsid w:val="00F932A7"/>
    <w:rsid w:val="00F938F9"/>
    <w:rsid w:val="00F93C2D"/>
    <w:rsid w:val="00F93C60"/>
    <w:rsid w:val="00F9417B"/>
    <w:rsid w:val="00F974B8"/>
    <w:rsid w:val="00FA0B48"/>
    <w:rsid w:val="00FA1817"/>
    <w:rsid w:val="00FA2588"/>
    <w:rsid w:val="00FA4047"/>
    <w:rsid w:val="00FA4A84"/>
    <w:rsid w:val="00FA5D90"/>
    <w:rsid w:val="00FA73AB"/>
    <w:rsid w:val="00FA7718"/>
    <w:rsid w:val="00FB1065"/>
    <w:rsid w:val="00FB1294"/>
    <w:rsid w:val="00FB406D"/>
    <w:rsid w:val="00FB5887"/>
    <w:rsid w:val="00FB73A8"/>
    <w:rsid w:val="00FC1000"/>
    <w:rsid w:val="00FC4EE9"/>
    <w:rsid w:val="00FC5B4F"/>
    <w:rsid w:val="00FC5DE9"/>
    <w:rsid w:val="00FD1869"/>
    <w:rsid w:val="00FD1D8C"/>
    <w:rsid w:val="00FD26E4"/>
    <w:rsid w:val="00FD38AD"/>
    <w:rsid w:val="00FD44F7"/>
    <w:rsid w:val="00FD54AD"/>
    <w:rsid w:val="00FD5789"/>
    <w:rsid w:val="00FD72FC"/>
    <w:rsid w:val="00FD77AD"/>
    <w:rsid w:val="00FD7AFD"/>
    <w:rsid w:val="00FE1144"/>
    <w:rsid w:val="00FE18DF"/>
    <w:rsid w:val="00FE260C"/>
    <w:rsid w:val="00FE2642"/>
    <w:rsid w:val="00FE26CF"/>
    <w:rsid w:val="00FE5AC1"/>
    <w:rsid w:val="00FE6EA8"/>
    <w:rsid w:val="00FE702D"/>
    <w:rsid w:val="00FE7414"/>
    <w:rsid w:val="00FE7AAB"/>
    <w:rsid w:val="00FF06A5"/>
    <w:rsid w:val="00FF30C1"/>
    <w:rsid w:val="00FF44A3"/>
    <w:rsid w:val="00FF5072"/>
    <w:rsid w:val="00FF7FB5"/>
    <w:rsid w:val="070E2AA4"/>
    <w:rsid w:val="0EFE233F"/>
    <w:rsid w:val="12D044EA"/>
    <w:rsid w:val="18047589"/>
    <w:rsid w:val="1A971FE0"/>
    <w:rsid w:val="1D3E66D5"/>
    <w:rsid w:val="1F4D2FA6"/>
    <w:rsid w:val="1FE85FDB"/>
    <w:rsid w:val="20C637EC"/>
    <w:rsid w:val="24C60694"/>
    <w:rsid w:val="25930B40"/>
    <w:rsid w:val="27DD6975"/>
    <w:rsid w:val="289274BB"/>
    <w:rsid w:val="28A6399D"/>
    <w:rsid w:val="31A160B1"/>
    <w:rsid w:val="33C03C69"/>
    <w:rsid w:val="34DB2740"/>
    <w:rsid w:val="35136331"/>
    <w:rsid w:val="370637B5"/>
    <w:rsid w:val="37940806"/>
    <w:rsid w:val="3A4D44CF"/>
    <w:rsid w:val="3C951C42"/>
    <w:rsid w:val="490C0662"/>
    <w:rsid w:val="4BB7A7B5"/>
    <w:rsid w:val="4C3142F8"/>
    <w:rsid w:val="4F785178"/>
    <w:rsid w:val="520B2179"/>
    <w:rsid w:val="57B6214C"/>
    <w:rsid w:val="57F161C9"/>
    <w:rsid w:val="5963260A"/>
    <w:rsid w:val="63C442F3"/>
    <w:rsid w:val="6A8F39D8"/>
    <w:rsid w:val="6EF96AFD"/>
    <w:rsid w:val="70B74468"/>
    <w:rsid w:val="735F716C"/>
    <w:rsid w:val="78702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toc 2"/>
    <w:basedOn w:val="1"/>
    <w:next w:val="1"/>
    <w:qFormat/>
    <w:uiPriority w:val="39"/>
    <w:pPr>
      <w:widowControl w:val="0"/>
      <w:ind w:left="420" w:leftChars="200"/>
      <w:jc w:val="both"/>
    </w:pPr>
    <w:rPr>
      <w:rFonts w:ascii="Times New Roman" w:hAnsi="Times New Roman" w:cs="Times New Roman"/>
      <w:kern w:val="2"/>
      <w:sz w:val="21"/>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文本缩进 New"/>
    <w:basedOn w:val="1"/>
    <w:qFormat/>
    <w:uiPriority w:val="0"/>
    <w:pPr>
      <w:overflowPunct w:val="0"/>
      <w:autoSpaceDE w:val="0"/>
      <w:autoSpaceDN w:val="0"/>
      <w:adjustRightInd w:val="0"/>
      <w:ind w:left="1134"/>
      <w:textAlignment w:val="baseline"/>
    </w:pPr>
    <w:rPr>
      <w:rFonts w:hAnsi="Times New Roman" w:cs="Times New Roman"/>
      <w:szCs w:val="20"/>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5">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8E1EE-3D9B-4B01-B640-D26E70391A53}">
  <ds:schemaRefs/>
</ds:datastoreItem>
</file>

<file path=docProps/app.xml><?xml version="1.0" encoding="utf-8"?>
<Properties xmlns="http://schemas.openxmlformats.org/officeDocument/2006/extended-properties" xmlns:vt="http://schemas.openxmlformats.org/officeDocument/2006/docPropsVTypes">
  <Template>Normal.dotm</Template>
  <Company>citicbank</Company>
  <Pages>41</Pages>
  <Words>4976</Words>
  <Characters>28368</Characters>
  <Lines>236</Lines>
  <Paragraphs>66</Paragraphs>
  <TotalTime>16</TotalTime>
  <ScaleCrop>false</ScaleCrop>
  <LinksUpToDate>false</LinksUpToDate>
  <CharactersWithSpaces>33278</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2024-10-10T10:16:00Z</dcterms:created>
  <dc:creator>王晓明</dc:creator>
  <cp:lastModifiedBy>xc-chenxinyi</cp:lastModifiedBy>
  <cp:lastPrinted>2024-04-19T17:21:00Z</cp:lastPrinted>
  <dcterms:modified xsi:type="dcterms:W3CDTF">2025-11-13T06:19:38Z</dcterms:modified>
  <dc:title>产品说明书</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B3D89807B67098974CDFED673D171B0E</vt:lpwstr>
  </property>
</Properties>
</file>