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mc:Ignorable="w14 wp14">
  <!-- Generated by Spire.Doc -->
  <w:body>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sz w:val="36"/>
          <w:szCs w:val="36"/>
        </w:rPr>
        <w:t xml:space="preserve">“</w:t>
      </w:r>
      <w:r>
        <w:rPr>
          <w:rFonts w:ascii="楷体" w:eastAsia="楷体" w:hAnsi="楷体" w:cs="楷体" w:hint="eastAsia"/>
          <w:b/>
          <w:bCs/>
          <w:spacing w:val="-1"/>
          <w:sz w:val="36"/>
          <w:szCs w:val="36"/>
        </w:rPr>
        <w:t xml:space="preserve">苏银理财恒源封闭债权140期ESG</w:t>
      </w:r>
      <w:r>
        <w:rPr>
          <w:rFonts w:ascii="楷体" w:eastAsia="楷体" w:hAnsi="楷体" w:cs="楷体" w:hint="eastAsia"/>
          <w:b/>
          <w:sz w:val="36"/>
          <w:szCs w:val="36"/>
        </w:rPr>
        <w:t xml:space="preserve">”理财产品</w:t>
      </w:r>
    </w:p>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bCs/>
          <w:spacing w:val="4"/>
          <w:sz w:val="36"/>
          <w:szCs w:val="36"/>
        </w:rPr>
        <w:t xml:space="preserve">2025年三季度</w:t>
      </w:r>
      <w:r>
        <w:rPr>
          <w:rFonts w:ascii="楷体" w:eastAsia="楷体" w:hAnsi="楷体" w:cs="楷体" w:hint="eastAsia"/>
          <w:b/>
          <w:sz w:val="36"/>
          <w:szCs w:val="36"/>
        </w:rPr>
        <w:t xml:space="preserve">投资管理报告</w:t>
      </w:r>
    </w:p>
    <w:p>
      <w:pPr>
        <w:pStyle w:val="Normal(Web)"/>
        <w:spacing w:before="0" w:beforeAutospacing="0" w:after="0" w:afterAutospacing="0" w:line="360" w:lineRule="auto"/>
        <w:rPr>
          <w:rFonts w:ascii="楷体" w:eastAsia="楷体" w:hAnsi="楷体" w:cs="楷体" w:hint="eastAsia"/>
        </w:rPr>
      </w:pPr>
      <w:r>
        <w:rPr>
          <w:rFonts w:ascii="楷体" w:eastAsia="楷体" w:hAnsi="楷体" w:cs="楷体" w:hint="eastAsia"/>
        </w:rPr>
        <w:t xml:space="preserve">尊敬的投资者：</w:t>
      </w:r>
    </w:p>
    <w:p>
      <w:pPr>
        <w:pStyle w:val="Normal(Web)"/>
        <w:spacing w:before="0" w:beforeAutospacing="0" w:after="0" w:afterAutospacing="0" w:line="360" w:lineRule="auto"/>
        <w:ind w:firstLine="566" w:firstLineChars="236"/>
        <w:rPr>
          <w:rFonts w:ascii="楷体" w:eastAsia="楷体" w:hAnsi="楷体" w:cs="楷体" w:hint="eastAsia"/>
        </w:rPr>
      </w:pPr>
      <w:r>
        <w:rPr>
          <w:rFonts w:ascii="楷体" w:eastAsia="楷体" w:hAnsi="楷体" w:cs="楷体" w:hint="eastAsia"/>
        </w:rPr>
        <w:t xml:space="preserve">“</w:t>
      </w:r>
      <w:r>
        <w:rPr>
          <w:rFonts w:ascii="楷体" w:eastAsia="楷体" w:hAnsi="楷体" w:cs="楷体" w:hint="eastAsia"/>
          <w:spacing w:val="-7"/>
        </w:rPr>
        <w:t xml:space="preserve">苏银理财恒源封闭债权140期ESG</w:t>
      </w:r>
      <w:r>
        <w:rPr>
          <w:rFonts w:ascii="楷体" w:eastAsia="楷体" w:hAnsi="楷体" w:cs="楷体" w:hint="eastAsia"/>
        </w:rPr>
        <w:t xml:space="preserve">”理财产品于</w:t>
      </w:r>
      <w:r>
        <w:rPr>
          <w:rFonts w:ascii="楷体" w:eastAsia="楷体" w:hAnsi="楷体" w:cs="楷体" w:hint="eastAsia"/>
          <w:spacing w:val="-53"/>
        </w:rPr>
        <w:t xml:space="preserve"> </w:t>
      </w:r>
      <w:r>
        <w:rPr>
          <w:rFonts w:ascii="楷体" w:eastAsia="楷体" w:hAnsi="楷体" w:cs="楷体" w:hint="eastAsia"/>
          <w:spacing w:val="-7"/>
        </w:rPr>
        <w:t xml:space="preserve">2025年01月21日</w:t>
      </w:r>
      <w:r>
        <w:rPr>
          <w:rFonts w:ascii="楷体" w:eastAsia="楷体" w:hAnsi="楷体" w:cs="楷体" w:hint="eastAsia"/>
        </w:rPr>
        <w:t xml:space="preserve">成立，于</w:t>
      </w:r>
      <w:r>
        <w:rPr>
          <w:rFonts w:ascii="楷体" w:eastAsia="楷体" w:hAnsi="楷体" w:cs="楷体" w:hint="eastAsia"/>
          <w:spacing w:val="-7"/>
        </w:rPr>
        <w:t xml:space="preserve">2025年01月21日</w:t>
      </w:r>
      <w:r>
        <w:rPr>
          <w:rFonts w:ascii="楷体" w:eastAsia="楷体" w:hAnsi="楷体" w:cs="楷体" w:hint="eastAsia"/>
        </w:rPr>
        <w:t xml:space="preserve">正式投资运作。</w:t>
      </w:r>
    </w:p>
    <w:p>
      <w:pPr>
        <w:pStyle w:val="Normal(Web)"/>
        <w:spacing w:before="0" w:beforeAutospacing="0" w:after="0" w:afterAutospacing="0" w:line="360" w:lineRule="auto"/>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一</w:t>
      </w:r>
      <w:bookmarkStart w:id="0" w:name="_Toc535504139"/>
      <w:r>
        <w:rPr>
          <w:rFonts w:ascii="楷体" w:eastAsia="楷体" w:hAnsi="楷体" w:cs="楷体" w:hint="eastAsia"/>
        </w:rPr>
        <w:t xml:space="preserve">、产品基本情况</w:t>
      </w:r>
      <w:bookmarkEnd w:id="0"/>
    </w:p>
    <w:tbl>
      <w:tblPr>
        <w:tblStyle w:val="TableNormal"/>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4774"/>
        <w:gridCol w:w="3847"/>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产品名称</w:t>
            </w:r>
          </w:p>
        </w:tc>
        <w:tc>
          <w:tcPr>
            <w:tcW w:w="3847" w:type="dxa"/>
          </w:tcPr>
          <w:p>
            <w:pPr>
              <w:pStyle w:val="TableText"/>
              <w:spacing w:before="56" w:line="202" w:lineRule="auto"/>
              <w:jc w:val="center"/>
              <w:rPr>
                <w:rFonts w:ascii="楷体" w:eastAsia="楷体" w:hAnsi="楷体" w:cs="楷体" w:hint="eastAsia"/>
                <w:sz w:val="22"/>
                <w:szCs w:val="22"/>
                <w:highlight w:val="yellow"/>
              </w:rPr>
            </w:pPr>
            <w:r>
              <w:rPr>
                <w:rFonts w:ascii="楷体" w:eastAsia="楷体" w:hAnsi="楷体" w:cs="楷体" w:hint="eastAsia"/>
                <w:spacing w:val="-6"/>
                <w:sz w:val="22"/>
                <w:szCs w:val="22"/>
              </w:rPr>
              <w:t xml:space="preserve">苏银理财恒源封闭债权140期ESG</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全国银行业理财信息登记系统登记编码</w:t>
            </w:r>
          </w:p>
        </w:tc>
        <w:tc>
          <w:tcPr>
            <w:tcW w:w="3847" w:type="dxa"/>
          </w:tcPr>
          <w:p>
            <w:pPr>
              <w:pStyle w:val="TableText"/>
              <w:spacing w:before="85" w:line="176"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Z7003124000140</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产品运作方式</w:t>
            </w:r>
          </w:p>
        </w:tc>
        <w:tc>
          <w:tcPr>
            <w:tcW w:w="3847" w:type="dxa"/>
          </w:tcPr>
          <w:p>
            <w:pPr>
              <w:pStyle w:val="TableText"/>
              <w:spacing w:before="52" w:line="201" w:lineRule="auto"/>
              <w:jc w:val="center"/>
              <w:rPr>
                <w:rFonts w:ascii="楷体" w:eastAsia="楷体" w:hAnsi="楷体" w:cs="楷体" w:hint="eastAsia"/>
                <w:sz w:val="22"/>
                <w:szCs w:val="22"/>
                <w:highlight w:val="yellow"/>
              </w:rPr>
            </w:pPr>
            <w:r>
              <w:rPr>
                <w:rFonts w:ascii="楷体" w:eastAsia="楷体" w:hAnsi="楷体" w:cs="楷体" w:hint="eastAsia"/>
                <w:spacing w:val="-2"/>
                <w:sz w:val="22"/>
                <w:szCs w:val="22"/>
              </w:rPr>
              <w:t xml:space="preserve">封闭式净值型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报告期末产品存续份额（份）</w:t>
            </w:r>
          </w:p>
        </w:tc>
        <w:tc>
          <w:tcPr>
            <w:tcW w:w="3847" w:type="dxa"/>
          </w:tcPr>
          <w:p>
            <w:pPr>
              <w:pStyle w:val="TableText"/>
              <w:spacing w:before="87" w:line="174"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238,994,528.00</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产品资产净值（元）</w:t>
            </w:r>
          </w:p>
        </w:tc>
        <w:tc>
          <w:tcPr>
            <w:tcW w:w="3847" w:type="dxa"/>
          </w:tcPr>
          <w:p>
            <w:pPr>
              <w:pStyle w:val="TableText"/>
              <w:spacing w:before="78" w:line="182"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243,728,588.02</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风险收益特征</w:t>
            </w:r>
          </w:p>
        </w:tc>
        <w:tc>
          <w:tcPr>
            <w:tcW w:w="3847" w:type="dxa"/>
          </w:tcPr>
          <w:p>
            <w:pPr>
              <w:pStyle w:val="TableText"/>
              <w:spacing w:before="54" w:line="200" w:lineRule="auto"/>
              <w:jc w:val="center"/>
              <w:rPr>
                <w:rFonts w:ascii="楷体" w:eastAsia="楷体" w:hAnsi="楷体" w:cs="楷体" w:hint="eastAsia"/>
                <w:sz w:val="22"/>
                <w:szCs w:val="22"/>
                <w:highlight w:val="yellow"/>
              </w:rPr>
            </w:pPr>
            <w:r>
              <w:rPr>
                <w:rFonts w:ascii="楷体" w:eastAsia="楷体" w:hAnsi="楷体" w:cs="楷体" w:hint="eastAsia"/>
                <w:spacing w:val="-8"/>
                <w:sz w:val="22"/>
                <w:szCs w:val="22"/>
              </w:rPr>
              <w:t xml:space="preserve">中低风险型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收益类型</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9"/>
                <w:sz w:val="22"/>
                <w:szCs w:val="22"/>
              </w:rPr>
              <w:t xml:space="preserve">固定收益类</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管理人</w:t>
            </w:r>
          </w:p>
        </w:tc>
        <w:tc>
          <w:tcPr>
            <w:tcW w:w="3847" w:type="dxa"/>
          </w:tcPr>
          <w:p>
            <w:pPr>
              <w:pStyle w:val="TableText"/>
              <w:spacing w:before="55" w:line="200"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苏银理财有限责任公司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托管人</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江苏银行股份有限公司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w:t>
            </w:r>
          </w:p>
        </w:tc>
        <w:tc>
          <w:tcPr>
            <w:tcW w:w="3847" w:type="dxa"/>
          </w:tcPr>
          <w:p>
            <w:pPr>
              <w:pStyle w:val="TableText"/>
              <w:spacing w:before="90" w:line="173"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31000188000628583</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托管账户开户行</w:t>
            </w:r>
          </w:p>
        </w:tc>
        <w:tc>
          <w:tcPr>
            <w:tcW w:w="3847" w:type="dxa"/>
          </w:tcPr>
          <w:p>
            <w:pPr>
              <w:pStyle w:val="TableText"/>
              <w:spacing w:before="56" w:line="199" w:lineRule="auto"/>
              <w:jc w:val="center"/>
              <w:rPr>
                <w:rFonts w:ascii="楷体" w:eastAsia="楷体" w:hAnsi="楷体" w:cs="楷体" w:hint="eastAsia"/>
                <w:sz w:val="22"/>
                <w:szCs w:val="22"/>
              </w:rPr>
            </w:pPr>
            <w:r>
              <w:rPr>
                <w:rFonts w:ascii="楷体" w:eastAsia="楷体" w:hAnsi="楷体" w:cs="楷体" w:hint="eastAsia"/>
                <w:spacing w:val="-2"/>
                <w:sz w:val="22"/>
                <w:szCs w:val="22"/>
              </w:rPr>
              <w:t xml:space="preserve">江苏银行股份有限公司营业部</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产品资产总值（元）</w:t>
            </w:r>
          </w:p>
        </w:tc>
        <w:tc>
          <w:tcPr>
            <w:tcW w:w="3847" w:type="dxa"/>
          </w:tcPr>
          <w:p>
            <w:pPr>
              <w:pStyle w:val="TableText"/>
              <w:spacing w:before="81" w:line="180" w:lineRule="auto"/>
              <w:jc w:val="center"/>
              <w:rPr>
                <w:rFonts w:ascii="楷体" w:eastAsia="楷体" w:hAnsi="楷体" w:cs="楷体" w:hint="eastAsia"/>
                <w:sz w:val="22"/>
                <w:szCs w:val="22"/>
              </w:rPr>
            </w:pPr>
            <w:r>
              <w:rPr>
                <w:rFonts w:ascii="楷体" w:eastAsia="楷体" w:hAnsi="楷体" w:cs="楷体" w:hint="eastAsia"/>
                <w:spacing w:val="-1"/>
                <w:sz w:val="22"/>
                <w:szCs w:val="22"/>
              </w:rPr>
              <w:t xml:space="preserve">244,057,243.02</w:t>
            </w:r>
            <w:r>
              <w:rPr>
                <w:rFonts w:ascii="楷体" w:eastAsia="楷体" w:hAnsi="楷体" w:cs="楷体" w:hint="eastAsia"/>
                <w:spacing w:val="-29"/>
                <w:sz w:val="22"/>
                <w:szCs w:val="22"/>
              </w:rPr>
              <w:t xml:space="preserve"> </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杠杆水平</w:t>
            </w:r>
          </w:p>
        </w:tc>
        <w:tc>
          <w:tcPr>
            <w:tcW w:w="3847" w:type="dxa"/>
          </w:tcPr>
          <w:p>
            <w:pPr>
              <w:pStyle w:val="TableText"/>
              <w:spacing w:before="56" w:line="202" w:lineRule="auto"/>
              <w:jc w:val="center"/>
              <w:rPr>
                <w:rFonts w:ascii="楷体" w:eastAsia="楷体" w:hAnsi="楷体" w:cs="楷体" w:hint="eastAsia"/>
                <w:sz w:val="22"/>
                <w:szCs w:val="22"/>
              </w:rPr>
            </w:pPr>
            <w:r>
              <w:rPr>
                <w:rFonts w:ascii="楷体" w:eastAsia="楷体" w:hAnsi="楷体" w:cs="楷体" w:hint="eastAsia"/>
                <w:spacing w:val="-4"/>
                <w:sz w:val="22"/>
                <w:szCs w:val="22"/>
              </w:rPr>
              <w:t xml:space="preserve">100.13%</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二、产品净值与业绩比较基准</w:t>
      </w:r>
    </w:p>
    <w:tbl>
      <w:tblPr>
        <w:tblStyle w:val="TableGrid"/>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510"/>
        <w:gridCol w:w="2100"/>
        <w:gridCol w:w="1470"/>
        <w:gridCol w:w="1665"/>
        <w:gridCol w:w="1876"/>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报告日期</w:t>
            </w:r>
          </w:p>
        </w:tc>
        <w:tc>
          <w:tcPr>
            <w:tcW w:w="210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销售</w:t>
            </w:r>
            <w:r>
              <w:rPr>
                <w:rFonts w:ascii="楷体" w:eastAsia="楷体" w:hAnsi="楷体" w:cs="楷体" w:hint="eastAsia"/>
                <w:sz w:val="22"/>
                <w:szCs w:val="22"/>
                <w:lang w:eastAsia="zh-CN"/>
              </w:rPr>
              <w:t xml:space="preserve">名</w:t>
            </w:r>
            <w:r>
              <w:rPr>
                <w:rFonts w:ascii="楷体" w:eastAsia="楷体" w:hAnsi="楷体" w:cs="楷体" w:hint="eastAsia"/>
                <w:sz w:val="22"/>
                <w:szCs w:val="22"/>
              </w:rPr>
              <w:t xml:space="preserve">称</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单位净值</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累计单位净值</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业绩比较基准（年化）</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2025-09-30</w:t>
            </w:r>
          </w:p>
        </w:tc>
        <w:tc>
          <w:tcPr>
            <w:tcW w:w="21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苏银理财恒源封闭债权140期ESG（13月）A</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1.019947</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1.019947</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2.70%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苏银理财恒源封闭债权140期ESG（13月）B</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1.019248</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1.019248</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2.60%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苏银理财恒源封闭债权140期ESG（13月）C</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1.017851</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1.017851</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2.40%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苏银理财恒源封闭债权140期ESG（13月）D</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1.019950</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1.019950</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2.60%</w:t>
            </w:r>
          </w:p>
        </w:tc>
      </w:tr>
    </w:tbl>
    <w:p>
      <w:pPr>
        <w:rPr>
          <w:rFonts w:ascii="楷体" w:eastAsia="楷体" w:hAnsi="楷体" w:cs="楷体" w:hint="eastAsia"/>
        </w:rPr>
      </w:pPr>
    </w:p>
    <w:p>
      <w:pPr>
        <w:rPr>
          <w:rFonts w:ascii="楷体" w:eastAsia="楷体" w:hAnsi="楷体" w:cs="楷体" w:hint="eastAsia"/>
          <w:sz w:val="21"/>
          <w:szCs w:val="21"/>
        </w:rPr>
      </w:pPr>
      <w:r>
        <w:rPr>
          <w:rFonts w:ascii="楷体" w:eastAsia="楷体" w:hAnsi="楷体" w:cs="楷体" w:hint="eastAsia"/>
          <w:bCs/>
          <w:kern w:val="0"/>
          <w:sz w:val="21"/>
          <w:szCs w:val="21"/>
        </w:rPr>
        <w:t xml:space="preserve">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三、产品投资组合情况</w:t>
      </w:r>
    </w:p>
    <w:p>
      <w:pPr>
        <w:pStyle w:val="Heading3"/>
        <w:rPr>
          <w:rFonts w:ascii="楷体" w:eastAsia="楷体" w:hAnsi="楷体" w:cs="楷体" w:hint="eastAsia"/>
          <w:b w:val="0"/>
          <w:sz w:val="21"/>
        </w:rPr>
      </w:pPr>
      <w:r>
        <w:rPr>
          <w:rFonts w:ascii="楷体" w:eastAsia="楷体" w:hAnsi="楷体" w:cs="楷体" w:hint="eastAsia"/>
          <w:b w:val="0"/>
          <w:sz w:val="21"/>
        </w:rPr>
        <w:t xml:space="preserve">（一）期末理财产品持有资产情况</w:t>
      </w:r>
    </w:p>
    <w:tbl>
      <w:tblPr>
        <w:tblStyle w:val="TableNormal"/>
        <w:tblW w:w="8300"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727"/>
        <w:gridCol w:w="2287"/>
        <w:gridCol w:w="2644"/>
        <w:gridCol w:w="2642"/>
      </w:tblGrid>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28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64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直接投资占总资产的比例</w:t>
            </w:r>
          </w:p>
        </w:tc>
        <w:tc>
          <w:tcPr>
            <w:tcW w:w="2642"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间接投资占总资产的比例</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28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固定收益类</w:t>
            </w:r>
            <w:bookmarkStart w:id="1" w:name="_GoBack"/>
            <w:bookmarkEnd w:id="1"/>
          </w:p>
        </w:tc>
        <w:tc>
          <w:tcPr>
            <w:tcW w:w="2644"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3.67%</w:t>
            </w:r>
          </w:p>
        </w:tc>
        <w:tc>
          <w:tcPr>
            <w:tcW w:w="2642"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96.33%</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权益类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商品及金融衍生品类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混合类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3014" w:type="dxa"/>
            <w:gridSpan w:val="2"/>
            <w:shd w:val="clear" w:color="auto" w:fill="auto"/>
            <w:vAlign w:val="center"/>
          </w:tcPr>
          <w:p>
            <w:pPr>
              <w:tabs>
                <w:tab w:val="center" w:pos="1522"/>
                <w:tab w:val="right" w:pos="2924"/>
              </w:tabs>
              <w:jc w:val="left"/>
              <w:rPr>
                <w:rFonts w:ascii="楷体" w:eastAsia="楷体" w:hAnsi="楷体" w:cs="楷体" w:hint="eastAsia"/>
                <w:sz w:val="22"/>
                <w:szCs w:val="22"/>
                <w:lang w:eastAsia="zh-CN"/>
              </w:rPr>
            </w:pPr>
            <w:r>
              <w:rPr>
                <w:rFonts w:ascii="楷体" w:eastAsia="楷体" w:hAnsi="楷体" w:cs="楷体" w:hint="eastAsia"/>
                <w:sz w:val="22"/>
                <w:szCs w:val="22"/>
                <w:lang w:eastAsia="zh-CN"/>
              </w:rPr>
              <w:tab/>
            </w:r>
            <w:r>
              <w:rPr>
                <w:rFonts w:ascii="楷体" w:eastAsia="楷体" w:hAnsi="楷体" w:cs="楷体" w:hint="eastAsia"/>
                <w:sz w:val="22"/>
                <w:szCs w:val="22"/>
              </w:rPr>
              <w:t xml:space="preserve">合计</w:t>
            </w:r>
            <w:r>
              <w:rPr>
                <w:rFonts w:ascii="楷体" w:eastAsia="楷体" w:hAnsi="楷体" w:cs="楷体" w:hint="eastAsia"/>
                <w:sz w:val="22"/>
                <w:szCs w:val="22"/>
                <w:lang w:eastAsia="zh-CN"/>
              </w:rPr>
              <w:tab/>
            </w:r>
          </w:p>
        </w:tc>
        <w:tc>
          <w:tcPr>
            <w:tcW w:w="2644" w:type="dxa"/>
            <w:shd w:val="clear" w:color="auto" w:fill="auto"/>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3.67%</w:t>
            </w:r>
          </w:p>
        </w:tc>
        <w:tc>
          <w:tcPr>
            <w:tcW w:w="2642" w:type="dxa"/>
            <w:shd w:val="clear" w:color="auto" w:fill="FFFFFF"/>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96.33%</w:t>
            </w:r>
          </w:p>
        </w:tc>
      </w:tr>
    </w:tbl>
    <w:p>
      <w:pPr>
        <w:rPr>
          <w:rFonts w:ascii="楷体" w:eastAsia="楷体" w:hAnsi="楷体" w:cs="楷体" w:hint="eastAsia"/>
        </w:rPr>
      </w:pPr>
    </w:p>
    <w:p>
      <w:pPr>
        <w:pStyle w:val="Heading3"/>
        <w:ind w:left="0"/>
        <w:rPr>
          <w:rFonts w:ascii="楷体" w:eastAsia="楷体" w:hAnsi="楷体" w:cs="楷体" w:hint="eastAsia"/>
          <w:b w:val="0"/>
          <w:sz w:val="21"/>
        </w:rPr>
      </w:pPr>
      <w:r>
        <w:rPr>
          <w:rFonts w:ascii="楷体" w:eastAsia="楷体" w:hAnsi="楷体" w:cs="楷体" w:hint="eastAsia"/>
          <w:b w:val="0"/>
          <w:sz w:val="21"/>
        </w:rPr>
        <w:t xml:space="preserve">（二）期末理财产品持有的前十项资产</w:t>
      </w:r>
    </w:p>
    <w:tbl>
      <w:tblPr>
        <w:tblStyle w:val="TableNormal"/>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873"/>
        <w:gridCol w:w="2434"/>
        <w:gridCol w:w="1275"/>
        <w:gridCol w:w="2235"/>
        <w:gridCol w:w="1800"/>
      </w:tblGrid>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434"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资产名称</w:t>
            </w:r>
          </w:p>
        </w:tc>
        <w:tc>
          <w:tcPr>
            <w:tcW w:w="127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23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持有金额（元）</w:t>
            </w:r>
          </w:p>
        </w:tc>
        <w:tc>
          <w:tcPr>
            <w:tcW w:w="1800"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占产品总资产的比例（%）</w:t>
            </w:r>
          </w:p>
        </w:tc>
      </w:tr>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434"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北方信托-江合1号-江淮（第二期）-002</w:t>
            </w:r>
          </w:p>
        </w:tc>
        <w:tc>
          <w:tcPr>
            <w:tcW w:w="127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非标准化债权类资产</w:t>
            </w:r>
          </w:p>
        </w:tc>
        <w:tc>
          <w:tcPr>
            <w:tcW w:w="223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40,047,852.38</w:t>
            </w:r>
          </w:p>
        </w:tc>
        <w:tc>
          <w:tcPr>
            <w:tcW w:w="18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16.03%</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中信信托-惠诚6号-蚂蚁花呗-第二期</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20,412,958.90</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8.17%</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国投泰康信托黄雀-音福13号（月付）</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16,289,687.67</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6.52%</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13,240,727.36</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5.30%</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5</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杭工商信托-玖盈130号-诸暨城乡</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10,013,445.54</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4.01%</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6</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陆家嘴信托-稳新-苏睿26号（金龙湖）第一期</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10,013,059.79</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4.01%</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7</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22中国银行二级01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1,237,825.23</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0.50%</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8</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22建设银行二级01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1,199,385.64</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0.48%</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9</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21工商银行二级02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1,026,362.29</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0.41%</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10</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24中信银行CD337</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同业存单</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991,186.43</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0.40%</w:t>
            </w:r>
          </w:p>
        </w:tc>
      </w:tr>
    </w:tbl>
    <w:p>
      <w:pPr>
        <w:pStyle w:val="标题4"/>
        <w:rPr>
          <w:rFonts w:ascii="楷体" w:eastAsia="楷体" w:hAnsi="楷体" w:cs="楷体" w:hint="eastAsia"/>
        </w:rPr>
      </w:pPr>
    </w:p>
    <w:p>
      <w:pPr>
        <w:pStyle w:val="Heading3"/>
        <w:numPr>
          <w:ilvl w:val="0"/>
          <w:numId w:val="3"/>
        </w:numPr>
        <w:rPr>
          <w:rFonts w:ascii="楷体" w:eastAsia="楷体" w:hAnsi="楷体" w:cs="楷体" w:hint="eastAsia"/>
          <w:b w:val="0"/>
          <w:sz w:val="21"/>
        </w:rPr>
      </w:pPr>
      <w:r>
        <w:rPr>
          <w:rFonts w:ascii="楷体" w:eastAsia="楷体" w:hAnsi="楷体" w:cs="楷体" w:hint="eastAsia"/>
          <w:b w:val="0"/>
          <w:sz w:val="21"/>
        </w:rPr>
        <w:t xml:space="preserve">非标资产情况</w:t>
      </w:r>
    </w:p>
    <w:p>
      <w:pPr>
        <w:ind w:firstLine="220" w:firstLineChars="100"/>
        <w:rPr>
          <w:rFonts w:ascii="楷体" w:eastAsia="楷体" w:hAnsi="楷体" w:cs="楷体" w:hint="eastAsia"/>
        </w:rPr>
      </w:pPr>
      <w:r>
        <w:rPr>
          <w:rFonts w:ascii="楷体" w:eastAsia="楷体" w:hAnsi="楷体" w:cs="楷体" w:hint="eastAsia"/>
          <w:sz w:val="22"/>
          <w:szCs w:val="24"/>
        </w:rPr>
        <w:t xml:space="preserve">1</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非标资产投资情况</w:t>
      </w:r>
    </w:p>
    <w:tbl>
      <w:tblPr>
        <w:tblStyle w:val="TableNormal"/>
        <w:tblW w:w="8811" w:type="dxa"/>
        <w:tblInd w:w="0" w:type="dxa"/>
        <w:tblLayout w:type="fixed"/>
        <w:tblCellMar>
          <w:top w:w="0" w:type="dxa"/>
          <w:left w:w="108" w:type="dxa"/>
          <w:bottom w:w="0" w:type="dxa"/>
          <w:right w:w="108" w:type="dxa"/>
        </w:tblCellMar>
        <w:tblLook w:firstRow="0" w:lastRow="0" w:firstColumn="0" w:lastColumn="0" w:noHBand="1" w:noVBand="1"/>
      </w:tblPr>
      <w:tblGrid>
        <w:gridCol w:w="1401"/>
        <w:gridCol w:w="1410"/>
        <w:gridCol w:w="1245"/>
        <w:gridCol w:w="1485"/>
        <w:gridCol w:w="1335"/>
        <w:gridCol w:w="1080"/>
        <w:gridCol w:w="855"/>
      </w:tblGrid>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41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项目名称</w:t>
            </w:r>
          </w:p>
        </w:tc>
        <w:tc>
          <w:tcPr>
            <w:tcW w:w="124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剩余融资期限（天）</w:t>
            </w:r>
          </w:p>
        </w:tc>
        <w:tc>
          <w:tcPr>
            <w:tcW w:w="148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资产面值</w:t>
            </w:r>
          </w:p>
        </w:tc>
        <w:tc>
          <w:tcPr>
            <w:tcW w:w="133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到期分配方式</w:t>
            </w:r>
          </w:p>
        </w:tc>
        <w:tc>
          <w:tcPr>
            <w:tcW w:w="108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交易结构</w:t>
            </w:r>
          </w:p>
        </w:tc>
        <w:tc>
          <w:tcPr>
            <w:tcW w:w="85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风险状况</w:t>
            </w:r>
          </w:p>
        </w:tc>
      </w:tr>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扬州江淮建设发展有限公司</w:t>
            </w:r>
          </w:p>
        </w:tc>
        <w:tc>
          <w:tcPr>
            <w:tcW w:w="141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北方信托-江合1号-江淮（第二期）-002</w:t>
            </w:r>
          </w:p>
        </w:tc>
        <w:tc>
          <w:tcPr>
            <w:tcW w:w="124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135</w:t>
            </w:r>
          </w:p>
        </w:tc>
        <w:tc>
          <w:tcPr>
            <w:tcW w:w="148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40,000,000.00</w:t>
            </w:r>
          </w:p>
        </w:tc>
        <w:tc>
          <w:tcPr>
            <w:tcW w:w="133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按季付息，到期还本。</w:t>
            </w:r>
          </w:p>
        </w:tc>
        <w:tc>
          <w:tcPr>
            <w:tcW w:w="108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投资信托计划产品</w:t>
            </w:r>
          </w:p>
        </w:tc>
        <w:tc>
          <w:tcPr>
            <w:tcW w:w="85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蚂蚁个人消费授信付款资产借款人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中信信托-惠诚6号-蚂蚁花呗-第二期</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135</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循环期不还本不付息，摊还期按月过手摊还本息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 抖音导流、信托自主审核通过的借款人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国投泰康信托黄雀-音福13号（月付）</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118</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16,000,000.00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循环期不还本，摊还期按月过手摊还本息;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诸暨市城乡投资集团有限公司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杭工商信托-玖盈130号-诸暨城乡</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135</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按季付息到期一次还本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徐州金龙湖控股集团有限公司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陆家嘴信托-稳新-苏睿26号（金龙湖）第一期</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135</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bl>
    <w:p>
      <w:pPr>
        <w:pStyle w:val="标题4"/>
        <w:rPr>
          <w:rFonts w:ascii="楷体" w:eastAsia="楷体" w:hAnsi="楷体" w:cs="楷体" w:hint="eastAsia"/>
        </w:rPr>
      </w:pPr>
    </w:p>
    <w:p>
      <w:pPr>
        <w:spacing w:line="320" w:lineRule="exact"/>
        <w:ind w:firstLine="220" w:firstLineChars="100"/>
        <w:rPr>
          <w:rFonts w:ascii="楷体" w:eastAsia="楷体" w:hAnsi="楷体" w:cs="楷体" w:hint="eastAsia"/>
        </w:rPr>
      </w:pPr>
      <w:r>
        <w:rPr>
          <w:rFonts w:ascii="楷体" w:eastAsia="楷体" w:hAnsi="楷体" w:cs="楷体" w:hint="eastAsia"/>
          <w:sz w:val="22"/>
          <w:szCs w:val="24"/>
        </w:rPr>
        <w:t xml:space="preserve">2</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融资客户情况</w:t>
      </w:r>
    </w:p>
    <w:tbl>
      <w:tblPr>
        <w:tblStyle w:val="TableGrid"/>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412"/>
        <w:gridCol w:w="1399"/>
        <w:gridCol w:w="1263"/>
        <w:gridCol w:w="4746"/>
      </w:tblGrid>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309"/>
        </w:trPr>
        <w:tc>
          <w:tcPr>
            <w:tcW w:w="1412"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399"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成立日期</w:t>
            </w:r>
          </w:p>
        </w:tc>
        <w:tc>
          <w:tcPr>
            <w:tcW w:w="1263"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注册资本（元）</w:t>
            </w:r>
          </w:p>
        </w:tc>
        <w:tc>
          <w:tcPr>
            <w:tcW w:w="4746"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经营范围</w:t>
            </w:r>
          </w:p>
        </w:tc>
      </w:tr>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412"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扬州江淮建设发展有限公司</w:t>
            </w:r>
          </w:p>
        </w:tc>
        <w:tc>
          <w:tcPr>
            <w:tcW w:w="1399"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2017-10-16</w:t>
            </w:r>
          </w:p>
        </w:tc>
        <w:tc>
          <w:tcPr>
            <w:tcW w:w="1263"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1,500,000,000.00</w:t>
            </w:r>
          </w:p>
        </w:tc>
        <w:tc>
          <w:tcPr>
            <w:tcW w:w="4746"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城镇化建设投资，旅游景区项目投资、开发，历史文化街区整合及开发，文化艺术交流服务，会展服务，商务信息咨询，对城中村改造项目、棚户区改造项目、农村基础设施项目及农业项目的投资。（依法须经批准的项目，经相关部门批准后方可开展经营活动）一般项目：建筑材料销售；林业产品销售（除依法须经批准的项目外，凭营业执照依法自主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徐州金龙湖控股集团有限公司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2008-11-10</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3,000,000,000.00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股权投资；产业园区的开发建设、管理、运营和服务；土地综合开发建设及运营；港口、铁路建设、运营及管理；供应链管理；通过投资参股参与开发区投资项目的开发建设和运营。（依法须经批准的项目，经相关部门批准后方可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诸暨市城乡投资集团有限公司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2000-08-07</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500,000,000.00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一般项目：实业投资：城乡基础设施建设；土地综合开发；道路工程建设；负责市区景观建设和立面改造；城中村改造；污水泵站、污水管网的建设与安装，污水收集、输送服务，集污设施的运行、维护、管理服务；市政设施管理，环境卫生管理，城乡市容管理，绿化管理，公园管理；自有房屋出租；设计、制作、代理、发布国内广告；电动汽车充电基础设施运营；停车场服务；树木种植经营；花卉种植。（除依法须经批准的项目外，凭营业执照依法自主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蚂蚁个人消费授信付款资产借款人</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 抖音导流、信托自主审核通过的借款人</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bl>
    <w:p>
      <w:pPr>
        <w:pStyle w:val="标题4"/>
        <w:rPr>
          <w:rFonts w:ascii="楷体" w:eastAsia="楷体" w:hAnsi="楷体" w:cs="楷体" w:hint="eastAsia"/>
        </w:rPr>
      </w:pPr>
    </w:p>
    <w:p>
      <w:pPr>
        <w:pStyle w:val="Heading3"/>
        <w:numPr>
          <w:ilvl w:val="0"/>
          <w:numId w:val="3"/>
        </w:numPr>
        <w:ind w:left="120" w:firstLine="0" w:leftChars="0" w:firstLineChars="0"/>
        <w:rPr>
          <w:rFonts w:ascii="楷体" w:eastAsia="楷体" w:hAnsi="楷体" w:cs="楷体" w:hint="eastAsia"/>
          <w:b w:val="0"/>
          <w:sz w:val="21"/>
        </w:rPr>
      </w:pPr>
      <w:r>
        <w:rPr>
          <w:rFonts w:ascii="楷体" w:eastAsia="楷体" w:hAnsi="楷体" w:cs="楷体" w:hint="eastAsia"/>
          <w:b w:val="0"/>
          <w:sz w:val="21"/>
        </w:rPr>
        <w:t xml:space="preserve">关联交易情况</w:t>
      </w:r>
    </w:p>
    <w:p>
      <w:pPr>
        <w:spacing w:line="320" w:lineRule="exact"/>
        <w:ind w:firstLine="220" w:firstLineChars="100"/>
        <w:rPr>
          <w:rFonts w:hint="eastAsia"/>
          <w:highlight w:val="none"/>
        </w:rPr>
      </w:pPr>
      <w:r>
        <w:rPr>
          <w:rFonts w:ascii="楷体" w:eastAsia="楷体" w:hAnsi="楷体" w:cs="楷体" w:hint="eastAsia"/>
          <w:sz w:val="22"/>
          <w:szCs w:val="24"/>
          <w:highlight w:val="none"/>
          <w:lang w:val="en-US" w:eastAsia="zh-CN"/>
        </w:rPr>
        <w:t xml:space="preserve">1、理财产品关联交易</w:t>
      </w:r>
    </w:p>
    <w:p>
      <w:pPr>
        <w:spacing w:line="320" w:lineRule="exact"/>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1）报告期内投资于关联方发行的证券或其他金融工具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65"/>
        <w:gridCol w:w="1440"/>
        <w:gridCol w:w="1425"/>
        <w:gridCol w:w="2115"/>
        <w:gridCol w:w="2176"/>
      </w:tblGrid>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11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ind w:firstLine="220" w:firstLineChars="100"/>
        <w:rPr>
          <w:rFonts w:ascii="楷体" w:eastAsia="楷体" w:hAnsi="楷体" w:cs="楷体" w:hint="eastAsia"/>
        </w:rPr>
      </w:pPr>
      <w:r>
        <w:rPr>
          <w:rFonts w:ascii="楷体" w:eastAsia="楷体" w:hAnsi="楷体" w:cs="楷体" w:hint="eastAsia"/>
          <w:sz w:val="22"/>
          <w:szCs w:val="24"/>
        </w:rPr>
        <w:t xml:space="preserve">2）报告期内投资于关联方承销的证券或其他金融工具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425"/>
        <w:gridCol w:w="2085"/>
        <w:gridCol w:w="2191"/>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08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9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9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报告期内投资于关联方管理的资管产品或其他金融工具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395"/>
        <w:gridCol w:w="2130"/>
        <w:gridCol w:w="2176"/>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金融工具代码</w:t>
            </w:r>
          </w:p>
        </w:tc>
        <w:tc>
          <w:tcPr>
            <w:tcW w:w="139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金融工具名称</w:t>
            </w:r>
          </w:p>
        </w:tc>
        <w:tc>
          <w:tcPr>
            <w:tcW w:w="21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ZZGL202504091190</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江苏信托安源6号集合资金信托计划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1,271,159.00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1,390,000.00</w:t>
            </w:r>
          </w:p>
        </w:tc>
      </w:tr>
      <w:tr>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ZZGL202504091189</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江苏信托安源5号集合资金信托计划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2,295,868.00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2,600,000.00</w:t>
            </w:r>
          </w:p>
        </w:tc>
      </w:tr>
    </w:tbl>
    <w:p>
      <w:pPr>
        <w:rPr>
          <w:rFonts w:ascii="楷体" w:eastAsia="楷体" w:hAnsi="楷体" w:cs="楷体" w:hint="eastAsia"/>
          <w:sz w:val="22"/>
          <w:szCs w:val="24"/>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报告期内的其他关联交易</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930"/>
        <w:gridCol w:w="3540"/>
        <w:gridCol w:w="3151"/>
      </w:tblGrid>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交易类型</w:t>
            </w:r>
          </w:p>
        </w:tc>
        <w:tc>
          <w:tcPr>
            <w:tcW w:w="35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315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关联交易金额（元）</w:t>
            </w:r>
          </w:p>
        </w:tc>
      </w:tr>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江苏仪征农村商业银行股份有限公司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2.31</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40,527.06</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托管费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12,232.26</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江苏苏州农村商业银行股份有限公司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46.83</w:t>
            </w:r>
          </w:p>
        </w:tc>
      </w:tr>
    </w:tbl>
    <w:p>
      <w:pPr>
        <w:pStyle w:val="标题4"/>
        <w:rPr>
          <w:rFonts w:ascii="楷体" w:eastAsia="楷体" w:hAnsi="楷体" w:cs="楷体" w:hint="eastAsia"/>
          <w:sz w:val="21"/>
          <w:szCs w:val="21"/>
        </w:rPr>
      </w:pPr>
      <w:r>
        <w:rPr>
          <w:rFonts w:ascii="楷体" w:eastAsia="楷体" w:hAnsi="楷体" w:cs="楷体" w:hint="eastAsia"/>
          <w:sz w:val="21"/>
          <w:szCs w:val="21"/>
        </w:rPr>
        <w:t xml:space="preserve">注：本报告中理财产品托管费、代销费均基于产品实际支付金额进行统计。</w:t>
      </w: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r>
        <w:rPr>
          <w:rFonts w:ascii="楷体" w:eastAsia="楷体" w:hAnsi="楷体" w:cs="楷体" w:hint="eastAsia"/>
          <w:color w:val="auto"/>
          <w:sz w:val="22"/>
          <w:szCs w:val="24"/>
          <w:highlight w:val="none"/>
          <w:lang w:val="en-US" w:eastAsia="zh-CN"/>
        </w:rPr>
        <w:t xml:space="preserve">2、关联方申购理财产品</w:t>
      </w:r>
    </w:p>
    <w:p>
      <w:pPr>
        <w:bidi w:val="0"/>
        <w:ind w:firstLine="440" w:firstLineChars="200"/>
        <w:jc w:val="both"/>
        <w:rPr>
          <w:highlight w:val="none"/>
        </w:rPr>
      </w:pPr>
      <w:r>
        <w:rPr>
          <w:rFonts w:ascii="楷体" w:eastAsia="楷体" w:hAnsi="楷体" w:cs="楷体" w:hint="eastAsia"/>
          <w:color w:val="auto"/>
          <w:kern w:val="2"/>
          <w:sz w:val="22"/>
          <w:szCs w:val="22"/>
          <w:highlight w:val="none"/>
          <w:lang w:val="en-US" w:eastAsia="zh-CN" w:bidi="ar-SA"/>
        </w:rPr>
        <w:t xml:space="preserve">报告期内，除本公司以外的关联方累计申购本产品</w:t>
      </w:r>
      <w:r>
        <w:rPr>
          <w:rFonts w:ascii="楷体" w:eastAsia="楷体" w:hAnsi="楷体" w:cs="楷体" w:hint="eastAsia"/>
          <w:sz w:val="22"/>
          <w:szCs w:val="22"/>
        </w:rPr>
        <w:t xml:space="preserve">0.00</w:t>
      </w:r>
      <w:r>
        <w:rPr>
          <w:rFonts w:ascii="楷体" w:eastAsia="楷体" w:hAnsi="楷体" w:cs="楷体" w:hint="eastAsia"/>
          <w:color w:val="auto"/>
          <w:kern w:val="2"/>
          <w:sz w:val="22"/>
          <w:szCs w:val="22"/>
          <w:highlight w:val="none"/>
          <w:lang w:val="en-US" w:eastAsia="zh-CN" w:bidi="ar-SA"/>
        </w:rPr>
        <w:t xml:space="preserve">元。</w:t>
      </w:r>
    </w:p>
    <w:p>
      <w:pPr>
        <w:pStyle w:val="标题4"/>
        <w:rPr>
          <w:rFonts w:ascii="楷体" w:eastAsia="楷体" w:hAnsi="楷体" w:cs="楷体" w:hint="eastAsia"/>
        </w:rPr>
      </w:pPr>
    </w:p>
    <w:p>
      <w:pPr>
        <w:rPr>
          <w:rFonts w:ascii="楷体" w:eastAsia="楷体" w:hAnsi="楷体" w:cs="楷体" w:hint="eastAsia"/>
          <w:sz w:val="22"/>
          <w:szCs w:val="24"/>
        </w:rPr>
      </w:pPr>
      <w:r>
        <w:rPr>
          <w:rFonts w:ascii="楷体" w:eastAsia="楷体" w:hAnsi="楷体" w:cs="楷体" w:hint="eastAsia"/>
          <w:sz w:val="22"/>
          <w:szCs w:val="24"/>
        </w:rPr>
        <w:t xml:space="preserve">（五）自有资金投资情况</w:t>
      </w:r>
    </w:p>
    <w:tbl>
      <w:tblPr>
        <w:tblStyle w:val="TableNormal"/>
        <w:tblW w:w="7299" w:type="dxa"/>
        <w:tblInd w:w="0" w:type="dxa"/>
        <w:tblLayout w:type="fixed"/>
        <w:tblCellMar>
          <w:top w:w="0" w:type="dxa"/>
          <w:left w:w="108" w:type="dxa"/>
          <w:bottom w:w="0" w:type="dxa"/>
          <w:right w:w="108" w:type="dxa"/>
        </w:tblCellMar>
        <w:tblLook w:firstRow="0" w:lastRow="0" w:firstColumn="0" w:lastColumn="0" w:noHBand="1" w:noVBand="1"/>
      </w:tblPr>
      <w:tblGrid>
        <w:gridCol w:w="2796"/>
        <w:gridCol w:w="4503"/>
      </w:tblGrid>
      <w:tr>
        <w:tblPrEx>
          <w:tblW w:w="7299" w:type="dxa"/>
          <w:tblInd w:w="0" w:type="dxa"/>
          <w:tblLayout w:type="fixed"/>
          <w:tblCellMar>
            <w:top w:w="0" w:type="dxa"/>
            <w:left w:w="108" w:type="dxa"/>
            <w:bottom w:w="0" w:type="dxa"/>
            <w:right w:w="108" w:type="dxa"/>
          </w:tblCellMar>
        </w:tblPrEx>
        <w:trPr>
          <w:trHeight w:val="311"/>
        </w:trPr>
        <w:tc>
          <w:tcPr>
            <w:tcW w:w="279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产品名称</w:t>
            </w:r>
          </w:p>
        </w:tc>
        <w:tc>
          <w:tcPr>
            <w:tcW w:w="4503"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299" w:type="dxa"/>
          <w:tblInd w:w="0" w:type="dxa"/>
          <w:tblLayout w:type="fixed"/>
          <w:tblCellMar>
            <w:top w:w="0" w:type="dxa"/>
            <w:left w:w="108" w:type="dxa"/>
            <w:bottom w:w="0" w:type="dxa"/>
            <w:right w:w="108" w:type="dxa"/>
          </w:tblCellMar>
        </w:tblPrEx>
        <w:trPr>
          <w:trHeight w:val="378"/>
        </w:trPr>
        <w:tc>
          <w:tcPr>
            <w:tcW w:w="279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4503"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ind w:firstLine="420" w:firstLineChars="200"/>
        <w:rPr>
          <w:rFonts w:ascii="楷体" w:eastAsia="楷体" w:hAnsi="楷体" w:cs="楷体" w:hint="eastAsia"/>
          <w:bCs/>
          <w:kern w:val="0"/>
          <w:sz w:val="21"/>
          <w:szCs w:val="21"/>
        </w:rPr>
      </w:pPr>
      <w:r>
        <w:rPr>
          <w:rFonts w:ascii="楷体" w:eastAsia="楷体" w:hAnsi="楷体" w:cs="楷体" w:hint="eastAsia"/>
          <w:bCs/>
          <w:kern w:val="0"/>
          <w:sz w:val="21"/>
          <w:szCs w:val="21"/>
        </w:rPr>
        <w:t xml:space="preserve">本公司自有资金投资本公司管理的理财产品适用的费率均不优于其他投资者。</w:t>
      </w:r>
    </w:p>
    <w:p>
      <w:pPr>
        <w:ind w:firstLine="420" w:firstLineChars="200"/>
        <w:rPr>
          <w:rFonts w:ascii="楷体" w:eastAsia="楷体" w:hAnsi="楷体" w:cs="楷体" w:hint="eastAsia"/>
          <w:bCs/>
          <w:kern w:val="0"/>
          <w:szCs w:val="21"/>
        </w:rPr>
      </w:pPr>
    </w:p>
    <w:p>
      <w:pPr>
        <w:rPr>
          <w:rFonts w:ascii="楷体" w:eastAsia="楷体" w:hAnsi="楷体" w:cs="楷体" w:hint="eastAsia"/>
          <w:sz w:val="22"/>
          <w:szCs w:val="24"/>
        </w:rPr>
      </w:pPr>
      <w:r>
        <w:rPr>
          <w:rFonts w:ascii="楷体" w:eastAsia="楷体" w:hAnsi="楷体" w:cs="楷体" w:hint="eastAsia"/>
          <w:sz w:val="22"/>
          <w:szCs w:val="24"/>
        </w:rPr>
        <w:t xml:space="preserve">（六）理财产品份额变动情况</w:t>
      </w:r>
    </w:p>
    <w:tbl>
      <w:tblPr>
        <w:tblStyle w:val="TableNormal"/>
        <w:tblW w:w="7305" w:type="dxa"/>
        <w:tblInd w:w="0" w:type="dxa"/>
        <w:tblLayout w:type="fixed"/>
        <w:tblCellMar>
          <w:top w:w="0" w:type="dxa"/>
          <w:left w:w="108" w:type="dxa"/>
          <w:bottom w:w="0" w:type="dxa"/>
          <w:right w:w="108" w:type="dxa"/>
        </w:tblCellMar>
        <w:tblLook w:firstRow="0" w:lastRow="0" w:firstColumn="0" w:lastColumn="0" w:noHBand="1" w:noVBand="1"/>
      </w:tblPr>
      <w:tblGrid>
        <w:gridCol w:w="2798"/>
        <w:gridCol w:w="4507"/>
      </w:tblGrid>
      <w:tr>
        <w:tblPrEx>
          <w:tblW w:w="7305" w:type="dxa"/>
          <w:tblInd w:w="0" w:type="dxa"/>
          <w:tblLayout w:type="fixed"/>
          <w:tblCellMar>
            <w:top w:w="0" w:type="dxa"/>
            <w:left w:w="108" w:type="dxa"/>
            <w:bottom w:w="0" w:type="dxa"/>
            <w:right w:w="108" w:type="dxa"/>
          </w:tblCellMar>
        </w:tblPrEx>
        <w:trPr>
          <w:trHeight w:val="311"/>
        </w:trPr>
        <w:tc>
          <w:tcPr>
            <w:tcW w:w="2798"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日期</w:t>
            </w:r>
          </w:p>
        </w:tc>
        <w:tc>
          <w:tcPr>
            <w:tcW w:w="4507"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305" w:type="dxa"/>
          <w:tblInd w:w="0" w:type="dxa"/>
          <w:tblLayout w:type="fixed"/>
          <w:tblCellMar>
            <w:top w:w="0" w:type="dxa"/>
            <w:left w:w="108" w:type="dxa"/>
            <w:bottom w:w="0" w:type="dxa"/>
            <w:right w:w="108" w:type="dxa"/>
          </w:tblCellMar>
        </w:tblPrEx>
        <w:trPr>
          <w:trHeight w:val="320"/>
        </w:trPr>
        <w:tc>
          <w:tcPr>
            <w:tcW w:w="2798"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2025-09-30</w:t>
            </w:r>
          </w:p>
        </w:tc>
        <w:tc>
          <w:tcPr>
            <w:tcW w:w="4507"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238,994,528.00</w:t>
            </w:r>
          </w:p>
        </w:tc>
      </w:tr>
      <w:tr>
        <w:trPr>
          <w:trHeight w:val="320"/>
        </w:trPr>
        <w:tc>
          <w:tcPr>
            <w:tcW w:w="2798"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2025-06-30</w:t>
            </w:r>
          </w:p>
        </w:tc>
        <w:tc>
          <w:tcPr>
            <w:tcW w:w="4507"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238,994,528.00</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四</w:t>
      </w:r>
      <w:r>
        <w:rPr>
          <w:rFonts w:ascii="楷体" w:hAnsi="楷体" w:cs="楷体" w:hint="eastAsia"/>
          <w:lang w:eastAsia="zh-CN"/>
        </w:rPr>
        <w:t xml:space="preserve">、</w:t>
      </w:r>
      <w:r>
        <w:rPr>
          <w:rFonts w:ascii="楷体" w:eastAsia="楷体" w:hAnsi="楷体" w:cs="楷体" w:hint="eastAsia"/>
        </w:rPr>
        <w:t xml:space="preserve">投资运作情况</w:t>
      </w:r>
    </w:p>
    <w:p>
      <w:pPr>
        <w:pStyle w:val="Heading3"/>
        <w:rPr>
          <w:rFonts w:ascii="楷体" w:eastAsia="楷体" w:hAnsi="楷体" w:cs="楷体" w:hint="eastAsia"/>
          <w:b w:val="0"/>
          <w:sz w:val="21"/>
        </w:rPr>
      </w:pPr>
      <w:r>
        <w:rPr>
          <w:rFonts w:ascii="楷体" w:eastAsia="楷体" w:hAnsi="楷体" w:cs="楷体" w:hint="eastAsia"/>
          <w:b w:val="0"/>
          <w:sz w:val="21"/>
        </w:rPr>
        <w:t xml:space="preserve">1、运作期回顾</w:t>
      </w:r>
    </w:p>
    <w:p>
      <w:pPr>
        <w:pStyle w:val="BodyText"/>
        <w:spacing w:before="0" w:line="240" w:lineRule="auto"/>
        <w:ind w:left="0" w:right="0" w:firstLine="0" w:firstLineChars="0"/>
        <w:rPr>
          <w:rFonts w:ascii="楷体" w:eastAsia="楷体" w:hAnsi="楷体" w:cs="楷体" w:hint="eastAsia"/>
          <w:spacing w:val="8"/>
          <w:sz w:val="21"/>
        </w:rPr>
      </w:pPr>
      <w:r>
        <w:rPr>
          <w:rFonts w:ascii="楷体" w:eastAsia="楷体" w:hAnsi="楷体" w:cs="楷体" w:hint="eastAsia"/>
          <w:spacing w:val="8"/>
          <w:sz w:val="21"/>
        </w:rPr>
        <w:t xml:space="preserve">    2025年第三季度，债券市场整体上震荡走弱，从估值角度来看30年国债活跃券从1.85%上行28BP至2.13%，10年国债活跃券由1.64%上行14BP至1.78%，期间30年最高触及2.18%，10年触及1.835%。从经济数据角度，三季度的经济数据整体依然呈现生产偏强，需求偏弱格局，已经披露的7、8月多项经济数据显著低于预期，债市并未对经济基本面过多定价。</w:t>
      </w:r>
      <w:r>
        <w:rPr>
          <w:rFonts w:ascii="楷体" w:eastAsia="楷体" w:hAnsi="楷体" w:cs="楷体" w:hint="eastAsia"/>
          <w:spacing w:val="8"/>
          <w:sz w:val="21"/>
        </w:rPr>
        <w:br/>
      </w:r>
      <w:r>
        <w:rPr>
          <w:rFonts w:ascii="楷体" w:eastAsia="楷体" w:hAnsi="楷体" w:cs="楷体" w:hint="eastAsia"/>
          <w:spacing w:val="8"/>
          <w:sz w:val="21"/>
        </w:rPr>
        <w:t xml:space="preserve">    在本报告期内，本产品以固收类资产和非标资产为主，主要配置优质非标与中高等级债券，通过对宏观经济、市场利率、债券市场需求供给的变化、信用风险等进行充分研判，主动构建并调整债券资产投资组合，力争获取超额收益。在久期管理方面，产品根据对利率走势的判断，灵活调整组合久期，以平衡收益弹性和利率风险。在信用风险控制方面，产品严格筛选持仓资产的发行主体与底层资产，主动规避了潜在风险较高的行业与企业。</w:t>
      </w:r>
    </w:p>
    <w:p>
      <w:pPr>
        <w:pStyle w:val="BodyText"/>
        <w:spacing w:before="43" w:line="275" w:lineRule="auto"/>
        <w:ind w:right="1799" w:firstLine="226" w:firstLineChars="100"/>
        <w:rPr>
          <w:rFonts w:ascii="楷体" w:eastAsia="楷体" w:hAnsi="楷体" w:cs="楷体" w:hint="eastAsia"/>
          <w:spacing w:val="8"/>
          <w:sz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2、后市展望及下阶段投资策略</w:t>
      </w:r>
    </w:p>
    <w:p>
      <w:pPr>
        <w:pStyle w:val="BodyText"/>
        <w:spacing w:before="0" w:line="240" w:lineRule="auto"/>
        <w:ind w:left="0" w:right="0" w:firstLine="0" w:firstLineChars="0"/>
        <w:jc w:val="both"/>
        <w:rPr>
          <w:rFonts w:ascii="楷体" w:eastAsia="楷体" w:hAnsi="楷体" w:cs="楷体" w:hint="eastAsia"/>
          <w:sz w:val="21"/>
        </w:rPr>
      </w:pPr>
      <w:r>
        <w:rPr>
          <w:rFonts w:ascii="楷体" w:eastAsia="楷体" w:hAnsi="楷体" w:cs="楷体" w:hint="eastAsia"/>
          <w:spacing w:val="9"/>
          <w:sz w:val="21"/>
        </w:rPr>
        <w:t xml:space="preserve">    展望2025年四季度，债券市场短期情绪仍弱，但中期赔率改善。短期看，债券市场关注点仍在《公开募集证券投资基金销售费用管理规定(征求意见稿)》落地影响。在机构赎回债券基金落地前，市场情绪仍难言提振。中期看，在经历了2025年三季度调整后，债市回到了2024年12月初，中央经济工作会议货币政策“适度宽松”位置;考虑到今年四季度经济基本面有利于债市，叠加适度宽松的货币政策，以及目前期限利差处于2024年以来中位数至3/4分位数之间，债市利多因素逐步累积。</w:t>
      </w:r>
    </w:p>
    <w:p>
      <w:pPr>
        <w:ind w:firstLine="420" w:firstLineChars="200"/>
        <w:rPr>
          <w:rFonts w:ascii="楷体" w:eastAsia="楷体" w:hAnsi="楷体" w:cs="楷体" w:hint="eastAsia"/>
          <w:bCs/>
          <w:kern w:val="0"/>
          <w:szCs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3、流动性风险分析</w:t>
      </w:r>
    </w:p>
    <w:p>
      <w:pPr>
        <w:pStyle w:val="BodyText"/>
        <w:spacing w:before="0" w:line="240" w:lineRule="auto"/>
        <w:ind w:left="0" w:right="0" w:firstLine="0" w:firstLineChars="0"/>
        <w:rPr>
          <w:rFonts w:ascii="楷体" w:eastAsia="楷体" w:hAnsi="楷体" w:cs="楷体" w:hint="eastAsia"/>
          <w:sz w:val="21"/>
        </w:rPr>
      </w:pPr>
      <w:r>
        <w:rPr>
          <w:rFonts w:ascii="楷体" w:eastAsia="楷体" w:hAnsi="楷体" w:cs="楷体" w:hint="eastAsia"/>
          <w:spacing w:val="9"/>
          <w:sz w:val="21"/>
        </w:rPr>
        <w:t xml:space="preserve">    本产品管理人始终将流动性风险管理置于投资管理工作的核心位置。报告期内，产品从资产配置、风险监控和压力测试等多个维度，对产品的流动性风险进行了严格管控。本产品持仓优质非标资产与中高等级债券，抗市场波动能力较强，通过组合久期管理、流动性指标监测等多项措施持续加强久期与流动性管理，有效控制产品的流动性风险。</w:t>
      </w:r>
    </w:p>
    <w:p>
      <w:pPr>
        <w:ind w:firstLine="420" w:firstLineChars="200"/>
        <w:rPr>
          <w:rFonts w:ascii="楷体" w:eastAsia="楷体" w:hAnsi="楷体" w:cs="楷体" w:hint="eastAsia"/>
          <w:bCs/>
          <w:kern w:val="0"/>
          <w:szCs w:val="21"/>
        </w:rPr>
      </w:pPr>
    </w:p>
    <w:p>
      <w:pPr>
        <w:rPr>
          <w:rFonts w:ascii="楷体" w:eastAsia="楷体" w:hAnsi="楷体" w:cs="楷体" w:hint="eastAsia"/>
        </w:rPr>
      </w:pPr>
    </w:p>
    <w:p>
      <w:pPr>
        <w:ind w:firstLine="420" w:firstLineChars="200"/>
        <w:rPr>
          <w:rFonts w:ascii="楷体" w:eastAsia="楷体" w:hAnsi="楷体" w:cs="楷体" w:hint="eastAsia"/>
          <w:bCs/>
          <w:kern w:val="0"/>
          <w:szCs w:val="21"/>
        </w:rPr>
      </w:pPr>
    </w:p>
    <w:p>
      <w:pPr>
        <w:rPr>
          <w:rFonts w:ascii="楷体" w:eastAsia="楷体" w:hAnsi="楷体" w:cs="楷体" w:hint="eastAsia"/>
          <w:sz w:val="21"/>
          <w:szCs w:val="21"/>
        </w:rPr>
      </w:pPr>
    </w:p>
    <w:p>
      <w:pPr>
        <w:jc w:val="right"/>
        <w:rPr>
          <w:rFonts w:ascii="楷体" w:eastAsia="楷体" w:hAnsi="楷体" w:cs="楷体" w:hint="eastAsia"/>
          <w:sz w:val="21"/>
          <w:szCs w:val="21"/>
        </w:rPr>
      </w:pPr>
      <w:r>
        <w:rPr>
          <w:rFonts w:ascii="楷体" w:eastAsia="楷体" w:hAnsi="楷体" w:cs="楷体" w:hint="eastAsia"/>
          <w:b/>
          <w:sz w:val="21"/>
          <w:szCs w:val="21"/>
        </w:rPr>
        <w:t xml:space="preserve">苏银理财有限责任公司</w:t>
      </w:r>
    </w:p>
    <w:p>
      <w:pPr>
        <w:ind w:firstLine="630" w:firstLineChars="300"/>
        <w:jc w:val="right"/>
        <w:rPr>
          <w:rFonts w:ascii="楷体" w:eastAsia="楷体" w:hAnsi="楷体" w:cs="楷体" w:hint="eastAsia"/>
          <w:sz w:val="21"/>
          <w:szCs w:val="21"/>
        </w:rPr>
      </w:pPr>
      <w:r>
        <w:rPr>
          <w:rFonts w:ascii="楷体" w:eastAsia="楷体" w:hAnsi="楷体" w:cs="楷体" w:hint="eastAsia"/>
          <w:sz w:val="21"/>
          <w:szCs w:val="21"/>
        </w:rPr>
        <w:t xml:space="preserve">2025年09月30日</w:t>
      </w:r>
    </w:p>
    <w:p>
      <w:pPr>
        <w:rPr>
          <w:rFonts w:ascii="楷体" w:eastAsia="楷体" w:hAnsi="楷体" w:cs="楷体" w:hint="eastAsia"/>
          <w:sz w:val="21"/>
          <w:szCs w:val="21"/>
        </w:rPr>
      </w:pPr>
    </w:p>
    <w:p>
      <w:pPr>
        <w:rPr>
          <w:rFonts w:ascii="楷体" w:eastAsia="楷体" w:hAnsi="楷体" w:cs="楷体" w:hint="eastAsia"/>
          <w:sz w:val="21"/>
          <w:szCs w:val="21"/>
        </w:rPr>
      </w:pPr>
      <w:r>
        <w:rPr>
          <w:rFonts w:ascii="楷体" w:eastAsia="楷体" w:hAnsi="楷体" w:cs="楷体" w:hint="eastAsia"/>
          <w:sz w:val="21"/>
          <w:szCs w:val="21"/>
        </w:rPr>
        <w:t xml:space="preserve">备注：本次披露内容解释权归苏银理财所有，不构成任何形式的法律要约或承诺。</w:t>
      </w:r>
    </w:p>
    <w:sectPr>
      <w:headerReference w:type="even" r:id="rId5"/>
      <w:headerReference w:type="default" r:id="rId6"/>
      <w:headerReference w:type="first" r:id="rId7"/>
      <w:footerReference w:type="default" r:id="rId8"/>
      <w:pgSz w:w="11906" w:h="16838" w:orient="portrait"/>
      <w:pgMar w:top="1440" w:right="1800" w:bottom="1440" w:left="1701" w:header="851" w:footer="992" w:gutter="0"/>
      <w:cols w:num="1" w:space="720">
        <w:col w:w="8405"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Auto"/>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Auto"/>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Auto"/>
    <w:pitch w:val="default"/>
    <w:sig w:usb0="E0002EFF" w:usb1="C0007843" w:usb2="00000009" w:usb3="00000000" w:csb0="400001FF" w:csb1="FFFF0000"/>
  </w:font>
  <w:font w:name="Symbol">
    <w:panose1 w:val="05050102010706020507"/>
    <w:charset w:val="02"/>
    <w:family w:val="Auto"/>
    <w:pitch w:val="default"/>
    <w:sig w:usb0="00000000" w:usb1="00000000" w:usb2="00000000" w:usb3="00000000" w:csb0="80000000" w:csb1="00000000"/>
  </w:font>
  <w:font w:name="Calibri">
    <w:panose1 w:val="020F0502020204030204"/>
    <w:charset w:val="00"/>
    <w:family w:val="Auto"/>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Footer"/>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 xml:space="preserve">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 xml:space="preserve">4</w:t>
    </w:r>
    <w:r>
      <w:rPr>
        <w:b/>
        <w:bCs/>
        <w:sz w:val="24"/>
        <w:szCs w:val="24"/>
      </w:rPr>
      <w:fldChar w:fldCharType="end"/>
    </w:r>
  </w:p>
  <w:p>
    <w:pPr>
      <w:pStyle w:val="Footer"/>
    </w:pP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5" o:spid="WordPictureWatermark7114" type="#_x0000_t75" style="height:862.85pt;margin-left:0;margin-top:0;mso-height-relative:page;mso-position-horizontal:center;mso-position-horizontal-relative:margin;mso-position-vertical:center;mso-position-vertical-relative:margin;mso-width-relative:page;position:absolute;width:1137.35pt;z-index:-251656192" coordsize="21600,21600" o:allowincell="f" o:preferrelative="t" filled="f" stroked="f">
          <v:stroke joinstyle="miter"/>
          <v:imagedata r:id="rId1" o:title="苏银理财" gain="19661f" blacklevel="22938f"/>
          <o:lock v:ext="edit" aspectratio="t"/>
          <w10:wrap anchorx="margin" anchory="margin"/>
        </v:shape>
      </w:pict>
    </w: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BodyText"/>
      <w:kinsoku w:val="0"/>
      <w:overflowPunct w:val="0"/>
      <w:spacing w:before="0" w:line="320" w:lineRule="exact"/>
      <w:ind w:left="20"/>
      <w:jc w:val="both"/>
      <w:rPr>
        <w:rFonts w:ascii="楷体" w:eastAsia="楷体" w:hAnsi="楷体" w:cs="黑体"/>
        <w:b/>
        <w:spacing w:val="-2"/>
        <w:sz w:val="24"/>
        <w:szCs w:val="24"/>
      </w:rPr>
    </w:pPr>
    <w:r>
      <w:rPr/>
      <w:pict>
        <v:shape id="WordPictureWatermark1026" o:spid="WordPictureWatermark7116" type="#_x0000_t75" style="height:862.85pt;margin-left:0;margin-top:0;mso-height-relative:page;mso-position-horizontal:center;mso-position-horizontal-relative:margin;mso-position-vertical:center;mso-position-vertical-relative:margin;mso-width-relative:page;position:absolute;width:1137.35pt;z-index:-251655168" coordsize="21600,21600" o:allowincell="f" o:preferrelative="t" filled="f" stroked="f">
          <v:stroke joinstyle="miter"/>
          <v:imagedata r:id="rId1" o:title="苏银理财" gain="19661f" blacklevel="22938f"/>
          <o:lock v:ext="edit" aspectratio="t"/>
          <w10:wrap anchorx="margin" anchory="margin"/>
        </v:shape>
      </w:pict>
    </w:r>
    <w:r>
      <w:pict>
        <v:shape id="图片 1" o:spid="_x0000_s7117" type="#_x0000_t75" style="height:33.45pt;margin-left:308.95pt;margin-top:-7.5pt;mso-height-relative:page;mso-width-relative:page;mso-wrap-distance-bottom:0;mso-wrap-distance-left:9pt;mso-wrap-distance-right:9pt;mso-wrap-distance-top:0;position:absolute;width:104.35pt;z-index:251662336" coordsize="21600,21600" o:preferrelative="t" filled="f" stroked="f">
          <v:stroke joinstyle="miter"/>
          <v:imagedata r:id="rId2" o:title=""/>
          <o:lock v:ext="edit" aspectratio="t"/>
          <w10:wrap type="square"/>
        </v:shape>
      </w:pict>
    </w:r>
    <w:r>
      <w:rPr>
        <w:rFonts w:ascii="楷体" w:eastAsia="楷体" w:hAnsi="楷体" w:cs="黑体" w:hint="eastAsia"/>
        <w:b/>
        <w:bCs/>
        <w:spacing w:val="-2"/>
        <w:sz w:val="24"/>
        <w:szCs w:val="24"/>
      </w:rPr>
      <w:t xml:space="preserve">理财非存款、产品有风险、投资须谨慎</w:t>
    </w: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7" o:spid="WordPictureWatermark7119" type="#_x0000_t75" style="height:862.85pt;margin-left:0;margin-top:0;mso-height-relative:page;mso-position-horizontal:center;mso-position-horizontal-relative:margin;mso-position-vertical:center;mso-position-vertical-relative:margin;mso-width-relative:page;position:absolute;width:1137.35pt;z-index:-251657216" coordsize="21600,21600" o:allowincell="f" o:preferrelative="t" filled="f" stroked="f">
          <v:stroke joinstyle="miter"/>
          <v:imagedata r:id="rId1" o:title="苏银理财" gain="19661f" blacklevel="22938f"/>
          <o:lock v:ext="edit" aspectratio="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1080" w:hanging="360"/>
      </w:pPr>
      <w:rPr>
        <w:rFonts w:ascii="Times New Roman" w:eastAsia="Times New Roman" w:hAnsi="Times New Roman" w:cs="Times New Roman"/>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1080" w:hanging="360"/>
      </w:pPr>
      <w:rPr>
        <w:rFonts w:ascii="Symbol" w:eastAsia="Symbol" w:hAnsi="Symbol" w:cs="Symbol"/>
      </w:rPr>
    </w:lvl>
    <w:lvl w:ilvl="1">
      <w:start w:val="1"/>
      <w:numFmt w:val="bullet"/>
      <w:suff w:val="tab"/>
      <w:lvlText w:val="o"/>
      <w:lvlJc w:val="left"/>
      <w:pPr>
        <w:ind w:left="1800" w:hanging="360"/>
      </w:pPr>
      <w:rPr>
        <w:rFonts w:ascii="Courier New" w:eastAsia="Courier New" w:hAnsi="Courier New" w:cs="Courier New"/>
      </w:rPr>
    </w:lvl>
    <w:lvl w:ilvl="2">
      <w:start w:val="1"/>
      <w:numFmt w:val="bullet"/>
      <w:suff w:val="tab"/>
      <w:lvlText w:val=""/>
      <w:lvlJc w:val="left"/>
      <w:pPr>
        <w:ind w:left="2520" w:hanging="360"/>
      </w:pPr>
      <w:rPr>
        <w:rFonts w:ascii="Wingdings" w:eastAsia="Wingdings" w:hAnsi="Wingdings" w:cs="Wingdings"/>
      </w:rPr>
    </w:lvl>
    <w:lvl w:ilvl="3">
      <w:start w:val="1"/>
      <w:numFmt w:val="bullet"/>
      <w:suff w:val="tab"/>
      <w:lvlText w:val=""/>
      <w:lvlJc w:val="left"/>
      <w:pPr>
        <w:ind w:left="3240" w:hanging="360"/>
      </w:pPr>
      <w:rPr>
        <w:rFonts w:ascii="Symbol" w:eastAsia="Symbol" w:hAnsi="Symbol" w:cs="Symbol"/>
      </w:rPr>
    </w:lvl>
    <w:lvl w:ilvl="4">
      <w:start w:val="1"/>
      <w:numFmt w:val="bullet"/>
      <w:suff w:val="tab"/>
      <w:lvlText w:val="o"/>
      <w:lvlJc w:val="left"/>
      <w:pPr>
        <w:ind w:left="3960" w:hanging="360"/>
      </w:pPr>
      <w:rPr>
        <w:rFonts w:ascii="Courier New" w:eastAsia="Courier New" w:hAnsi="Courier New" w:cs="Courier New"/>
      </w:rPr>
    </w:lvl>
    <w:lvl w:ilvl="5">
      <w:start w:val="1"/>
      <w:numFmt w:val="bullet"/>
      <w:suff w:val="tab"/>
      <w:lvlText w:val=""/>
      <w:lvlJc w:val="left"/>
      <w:pPr>
        <w:ind w:left="4680" w:hanging="360"/>
      </w:pPr>
      <w:rPr>
        <w:rFonts w:ascii="Wingdings" w:eastAsia="Wingdings" w:hAnsi="Wingdings" w:cs="Wingdings"/>
      </w:rPr>
    </w:lvl>
    <w:lvl w:ilvl="6">
      <w:start w:val="1"/>
      <w:numFmt w:val="bullet"/>
      <w:suff w:val="tab"/>
      <w:lvlText w:val=""/>
      <w:lvlJc w:val="left"/>
      <w:pPr>
        <w:ind w:left="5400" w:hanging="360"/>
      </w:pPr>
      <w:rPr>
        <w:rFonts w:ascii="Symbol" w:eastAsia="Symbol" w:hAnsi="Symbol" w:cs="Symbol"/>
      </w:rPr>
    </w:lvl>
    <w:lvl w:ilvl="7">
      <w:start w:val="1"/>
      <w:numFmt w:val="bullet"/>
      <w:suff w:val="tab"/>
      <w:lvlText w:val="o"/>
      <w:lvlJc w:val="left"/>
      <w:pPr>
        <w:ind w:left="6120" w:hanging="360"/>
      </w:pPr>
      <w:rPr>
        <w:rFonts w:ascii="Courier New" w:eastAsia="Courier New" w:hAnsi="Courier New" w:cs="Courier New"/>
      </w:rPr>
    </w:lvl>
    <w:lvl w:ilvl="8">
      <w:start w:val="1"/>
      <w:numFmt w:val="bullet"/>
      <w:suff w:val="tab"/>
      <w:lvlText w:val=""/>
      <w:lvlJc w:val="left"/>
      <w:pPr>
        <w:ind w:left="6840" w:hanging="360"/>
      </w:pPr>
      <w:rPr>
        <w:rFonts w:ascii="Wingdings" w:eastAsia="Wingdings" w:hAnsi="Wingdings" w:cs="Wingdings"/>
      </w:rPr>
    </w:lvl>
  </w:abstractNum>
  <w:abstractNum w:abstractNumId="2">
    <w:multiLevelType w:val="singleLevel"/>
    <w:lvl w:ilvl="0">
      <w:start w:val="3"/>
      <w:numFmt w:val="chineseCounting"/>
      <w:suff w:val="nothing"/>
      <w:lvlText w:val="（%1）"/>
      <w:lvlJc w:val="left"/>
      <w:rPr>
        <w:rFonts w:hint="eastAsia"/>
      </w:rPr>
    </w:lvl>
  </w:abstractNum>
  <w:abstractNum w:abstractNumId="3">
    <w:multiLevelType w:val="singleLevel"/>
    <w:lvl w:ilvl="0">
      <w:start w:val="3"/>
      <w:numFmt w:val="decimal"/>
      <w:suff w:val="nothing"/>
      <w:lvlText w:val="%1）"/>
      <w:lvlJc w:val="lef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sl="http://schemas.openxmlformats.org/schemaLibrary/2006/main" xmlns:w="http://schemas.openxmlformats.org/wordprocessingml/2006/main" mc:Ignorable="w14">
  <w:zoom w:percent="16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宋体" w:hAnsi="Arial" w:eastAsiaTheme="minorEastAsia" w:cs="Arial"/>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semiHidden="0" w:uiPriority="1"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semiHidden="0" w:qFormat="1"/>
    <w:lsdException w:name="header" w:semiHidden="0" w:qFormat="1"/>
    <w:lsdException w:name="footer" w:semiHidden="0" w:qFormat="1"/>
    <w:lsdException w:name="index heading" w:uiPriority="0"/>
    <w:lsdException w:name="caption" w:uiPriority="35" w:qFormat="1"/>
    <w:lsdException w:name="table of figures" w:uiPriority="0"/>
    <w:lsdException w:name="envelope address" w:uiPriority="0"/>
    <w:lsdException w:name="envelope return" w:uiPriority="0"/>
    <w:lsdException w:name="footnote reference" w:uiPriority="0"/>
    <w:lsdException w:name="annotation reference" w:semiHidden="0" w:qFormat="1"/>
    <w:lsdException w:name="line number"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Closing" w:uiPriority="0"/>
    <w:lsdException w:name="Signature" w:uiPriority="0"/>
    <w:lsdException w:name="Default Paragraph Font" w:uiPriority="1" w:qFormat="1"/>
    <w:lsdException w:name="Body Text" w:semiHidden="0" w:uiPriority="1" w:unhideWhenUsed="0" w:qFormat="1"/>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11" w:unhideWhenUsed="0" w:qFormat="1"/>
    <w:lsdException w:name="Salutation" w:uiPriority="0"/>
    <w:lsdException w:name="Date" w:uiPriority="0"/>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E-mail Signature" w:uiPriority="0"/>
    <w:lsdException w:name="Normal (Web)" w:semiHidden="0"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Variable" w:uiPriority="0"/>
    <w:lsdException w:name="Normal Table" w:qFormat="1"/>
    <w:lsdException w:name="annotation subject"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qFormat="1"/>
    <w:lsdException w:name="Table Grid" w:semiHidden="0" w:uiPriority="39"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宋体" w:eastAsia="宋体" w:hAnsi="宋体" w:cs="宋体"/>
      <w:kern w:val="2"/>
      <w:sz w:val="28"/>
      <w:szCs w:val="22"/>
      <w:lang w:val="en-US" w:eastAsia="zh-CN" w:bidi="ar-SA"/>
    </w:rPr>
  </w:style>
  <w:style w:type="paragraph" w:styleId="Heading3">
    <w:name w:val="Heading 3"/>
    <w:basedOn w:val="Normal"/>
    <w:next w:val="Normal"/>
    <w:uiPriority w:val="1"/>
    <w:qFormat/>
    <w:pPr>
      <w:autoSpaceDE w:val="0"/>
      <w:autoSpaceDN w:val="0"/>
      <w:adjustRightInd w:val="0"/>
      <w:spacing w:before="34"/>
      <w:ind w:left="120"/>
      <w:jc w:val="left"/>
      <w:outlineLvl w:val="2"/>
    </w:pPr>
    <w:rPr>
      <w:rFonts w:ascii="宋体" w:eastAsia="楷体" w:hAnsi="Times New Roman"/>
      <w:b/>
      <w:bCs/>
      <w:kern w:val="0"/>
      <w:sz w:val="24"/>
      <w:szCs w:val="21"/>
    </w:rPr>
  </w:style>
  <w:style w:type="character" w:default="1" w:styleId="DefaultParagraphFont">
    <w:name w:val="Default Paragraph Font"/>
    <w:uiPriority w:val="1"/>
    <w:semiHidden/>
    <w:unhideWhenUsed/>
    <w:qFormat/>
    <w:rPr/>
  </w:style>
  <w:style w:type="table" w:default="1" w:styleId="TableNormal">
    <w:name w:val="Normal Table"/>
    <w:uiPriority w:val="99"/>
    <w:semiHidden/>
    <w:unhideWhenUsed/>
    <w:qFormat/>
    <w:rPr/>
    <w:tblPr>
      <w:tblCellMar>
        <w:top w:w="0" w:type="dxa"/>
        <w:left w:w="108" w:type="dxa"/>
        <w:bottom w:w="0" w:type="dxa"/>
        <w:right w:w="108" w:type="dxa"/>
      </w:tblCellMar>
    </w:tblPr>
  </w:style>
  <w:style w:type="paragraph" w:styleId="annotationtext">
    <w:name w:val="annotation text"/>
    <w:basedOn w:val="Normal"/>
    <w:uiPriority w:val="99"/>
    <w:unhideWhenUsed/>
    <w:qFormat/>
    <w:pPr>
      <w:jc w:val="left"/>
    </w:pPr>
    <w:rPr/>
  </w:style>
  <w:style w:type="paragraph" w:styleId="BodyText">
    <w:name w:val="Body Text"/>
    <w:basedOn w:val="Normal"/>
    <w:uiPriority w:val="1"/>
    <w:qFormat/>
    <w:pPr>
      <w:autoSpaceDE w:val="0"/>
      <w:autoSpaceDN w:val="0"/>
      <w:adjustRightInd w:val="0"/>
      <w:spacing w:before="162"/>
      <w:ind w:left="120"/>
      <w:jc w:val="left"/>
    </w:pPr>
    <w:rPr>
      <w:rFonts w:ascii="宋体" w:eastAsia="宋体" w:hAnsi="Times New Roman" w:cs="宋体"/>
      <w:kern w:val="0"/>
      <w:sz w:val="20"/>
      <w:szCs w:val="21"/>
    </w:rPr>
  </w:style>
  <w:style w:type="paragraph" w:styleId="BalloonText">
    <w:name w:val="Balloon Text"/>
    <w:basedOn w:val="Normal"/>
    <w:uiPriority w:val="99"/>
    <w:unhideWhenUsed/>
    <w:qFormat/>
    <w:rPr>
      <w:sz w:val="18"/>
      <w:szCs w:val="18"/>
    </w:rPr>
  </w:style>
  <w:style w:type="paragraph" w:styleId="Footer">
    <w:name w:val="Footer"/>
    <w:basedOn w:val="Normal"/>
    <w:uiPriority w:val="99"/>
    <w:unhideWhenUsed/>
    <w:qFormat/>
    <w:pPr>
      <w:tabs>
        <w:tab w:val="center" w:pos="4153"/>
        <w:tab w:val="right" w:pos="8306"/>
      </w:tabs>
      <w:snapToGrid w:val="0"/>
      <w:jc w:val="left"/>
    </w:pPr>
    <w:rPr>
      <w:sz w:val="18"/>
      <w:szCs w:val="18"/>
    </w:rPr>
  </w:style>
  <w:style w:type="paragraph" w:styleId="Header">
    <w:name w:val="Header"/>
    <w:basedOn w:val="Normal"/>
    <w:uiPriority w:val="99"/>
    <w:unhideWhenUsed/>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unhideWhenUsed/>
    <w:qFormat/>
    <w:pPr>
      <w:widowControl/>
      <w:spacing w:before="100" w:beforeAutospacing="1" w:after="100" w:afterAutospacing="1"/>
      <w:jc w:val="left"/>
    </w:pPr>
    <w:rPr>
      <w:rFonts w:ascii="宋体" w:eastAsia="宋体" w:hAnsi="宋体" w:cs="宋体"/>
      <w:kern w:val="0"/>
      <w:sz w:val="24"/>
      <w:szCs w:val="24"/>
    </w:rPr>
  </w:style>
  <w:style w:type="character" w:styleId="annotationreference">
    <w:name w:val="annotation reference"/>
    <w:uiPriority w:val="99"/>
    <w:unhideWhenUsed/>
    <w:qFormat/>
    <w:rPr>
      <w:sz w:val="21"/>
      <w:szCs w:val="21"/>
    </w:rPr>
  </w:style>
  <w:style w:type="table" w:styleId="TableGrid">
    <w:name w:val="Table Grid"/>
    <w:basedOn w:val="TableNormal"/>
    <w:uiPriority w:val="39"/>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无间隔1">
    <w:name w:val="无间隔1"/>
    <w:uiPriority w:val="1"/>
    <w:qFormat/>
    <w:pPr>
      <w:widowControl w:val="0"/>
      <w:jc w:val="both"/>
    </w:pPr>
    <w:rPr>
      <w:rFonts w:ascii="等线" w:eastAsia="等线" w:hAnsi="等线" w:cs="Times New Roman"/>
      <w:kern w:val="2"/>
      <w:sz w:val="21"/>
      <w:szCs w:val="22"/>
      <w:lang w:val="en-US" w:eastAsia="zh-CN" w:bidi="ar-SA"/>
    </w:rPr>
  </w:style>
  <w:style w:type="paragraph" w:customStyle="1" w:styleId="标题4">
    <w:name w:val="标题4"/>
    <w:basedOn w:val="Normal"/>
    <w:qFormat/>
    <w:rPr>
      <w:rFonts w:eastAsia="楷体"/>
    </w:rPr>
  </w:style>
  <w:style w:type="character" w:customStyle="1" w:styleId="页眉字符">
    <w:name w:val="页眉 字符"/>
    <w:link w:val="批注框文本字符"/>
    <w:uiPriority w:val="99"/>
    <w:qFormat/>
    <w:rPr>
      <w:sz w:val="18"/>
      <w:szCs w:val="18"/>
    </w:rPr>
  </w:style>
  <w:style w:type="character" w:customStyle="1" w:styleId="页脚字符">
    <w:name w:val="页脚 字符"/>
    <w:link w:val="标题3字符"/>
    <w:uiPriority w:val="99"/>
    <w:qFormat/>
    <w:rPr>
      <w:sz w:val="18"/>
      <w:szCs w:val="18"/>
    </w:rPr>
  </w:style>
  <w:style w:type="character" w:customStyle="1" w:styleId="正文文本字符1">
    <w:name w:val="正文文本 字符1"/>
    <w:uiPriority w:val="1"/>
    <w:qFormat/>
    <w:rPr>
      <w:rFonts w:ascii="宋体" w:eastAsia="宋体" w:hAnsi="Times New Roman" w:cs="宋体"/>
      <w:szCs w:val="21"/>
    </w:rPr>
  </w:style>
  <w:style w:type="character" w:customStyle="1" w:styleId="正文文本字符">
    <w:name w:val="正文文本 字符"/>
    <w:uiPriority w:val="99"/>
    <w:semiHidden/>
    <w:qFormat/>
    <w:rPr>
      <w:kern w:val="2"/>
      <w:sz w:val="21"/>
      <w:szCs w:val="22"/>
    </w:rPr>
  </w:style>
  <w:style w:type="character" w:customStyle="1" w:styleId="批注文字字符1">
    <w:name w:val="批注文字 字符1"/>
    <w:uiPriority w:val="99"/>
    <w:qFormat/>
    <w:rPr>
      <w:kern w:val="2"/>
      <w:sz w:val="21"/>
      <w:szCs w:val="22"/>
    </w:rPr>
  </w:style>
  <w:style w:type="character" w:customStyle="1" w:styleId="批注文字字符">
    <w:name w:val="批注文字 字符"/>
    <w:uiPriority w:val="99"/>
    <w:semiHidden/>
    <w:qFormat/>
    <w:rPr>
      <w:kern w:val="2"/>
      <w:sz w:val="21"/>
      <w:szCs w:val="22"/>
    </w:rPr>
  </w:style>
  <w:style w:type="character" w:customStyle="1" w:styleId="批注框文本字符">
    <w:name w:val="批注框文本 字符"/>
    <w:uiPriority w:val="99"/>
    <w:semiHidden/>
    <w:qFormat/>
    <w:rPr>
      <w:kern w:val="2"/>
      <w:sz w:val="18"/>
      <w:szCs w:val="18"/>
    </w:rPr>
  </w:style>
  <w:style w:type="character" w:customStyle="1" w:styleId="标题3字符">
    <w:name w:val="标题 3 字符"/>
    <w:uiPriority w:val="9"/>
    <w:semiHidden/>
    <w:qFormat/>
    <w:rPr>
      <w:b/>
      <w:bCs/>
      <w:kern w:val="2"/>
      <w:sz w:val="32"/>
      <w:szCs w:val="32"/>
    </w:rPr>
  </w:style>
  <w:style w:type="character" w:customStyle="1" w:styleId="标题3字符1">
    <w:name w:val="标题 3 字符1"/>
    <w:link w:val="Heading3"/>
    <w:uiPriority w:val="1"/>
    <w:qFormat/>
    <w:rPr>
      <w:rFonts w:ascii="宋体" w:eastAsia="楷体" w:hAnsi="Times New Roman"/>
      <w:b/>
      <w:bCs/>
      <w:sz w:val="24"/>
      <w:szCs w:val="21"/>
    </w:rPr>
  </w:style>
  <w:style w:type="character" w:customStyle="1" w:styleId="标题4字符">
    <w:name w:val="标题4 字符"/>
    <w:qFormat/>
    <w:rPr>
      <w:rFonts w:eastAsia="楷体"/>
      <w:kern w:val="2"/>
      <w:sz w:val="21"/>
      <w:szCs w:val="22"/>
    </w:rPr>
  </w:style>
  <w:style w:type="paragraph" w:customStyle="1" w:styleId="TableText">
    <w:name w:val="Table Text"/>
    <w:basedOn w:val="Normal"/>
    <w:semiHidden/>
    <w:qFormat/>
    <w:rPr>
      <w:rFonts w:ascii="楷体" w:eastAsia="楷体" w:hAnsi="楷体" w:cs="楷体"/>
      <w:sz w:val="22"/>
    </w:rPr>
  </w:style>
  <w:style w:type="table" w:customStyle="1" w:styleId="TableNormal0">
    <w:name w:val="Table Normal"/>
    <w:semiHidden/>
    <w:unhideWhenUsed/>
    <w:qFormat/>
    <w:rPr/>
    <w:tblPr>
      <w:tblCellMar>
        <w:top w:w="0" w:type="dxa"/>
        <w:left w:w="0" w:type="dxa"/>
        <w:bottom w:w="0" w:type="dxa"/>
        <w:right w:w="0"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Relationships xmlns="http://schemas.openxmlformats.org/package/2006/relationships"><Relationship Id="rId1" Type="http://schemas.openxmlformats.org/officeDocument/2006/relationships/customXml" Target="../customXml/item1.xml" /><Relationship Id="rId10" Type="http://schemas.openxmlformats.org/officeDocument/2006/relationships/styles" Target="styles.xml" /><Relationship Id="rId11" Type="http://schemas.openxmlformats.org/officeDocument/2006/relationships/webSettings" Target="webSettings.xml" /><Relationship Id="rId12" Type="http://schemas.openxmlformats.org/officeDocument/2006/relationships/numbering" Target="numbering.xml" /><Relationship Id="rId13" Type="http://schemas.openxmlformats.org/officeDocument/2006/relationships/fontTable" Target="fontTable.xml" /><Relationship Id="rId14" Type="http://schemas.openxmlformats.org/officeDocument/2006/relationships/settings" Target="settings.xml" /><Relationship Id="rId2" Type="http://schemas.openxmlformats.org/officeDocument/2006/relationships/customXml" Target="../customXml/item2.xml" /><Relationship Id="rId3" Type="http://schemas.openxmlformats.org/officeDocument/2006/relationships/customXml" Target="../customXml/item3.xml" /><Relationship Id="rId4" Type="http://schemas.openxmlformats.org/officeDocument/2006/relationships/customXml" Target="../customXml/item4.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header" Target="header3.xml" /><Relationship Id="rId8" Type="http://schemas.openxmlformats.org/officeDocument/2006/relationships/footer" Target="footer1.xml" /><Relationship Id="rId9" Type="http://schemas.openxmlformats.org/officeDocument/2006/relationships/theme" Target="theme/theme1.xml" /></Relationships>
</file>

<file path=word/_rels/header1.xml.rels>&#65279;<?xml version="1.0" encoding="utf-8"?><Relationships xmlns="http://schemas.openxmlformats.org/package/2006/relationships"><Relationship Id="rId1" Type="http://schemas.openxmlformats.org/officeDocument/2006/relationships/image" Target="media/image1.png" /></Relationships>
</file>

<file path=word/_rels/header2.xml.rels>&#65279;<?xml version="1.0" encoding="utf-8"?><Relationships xmlns="http://schemas.openxmlformats.org/package/2006/relationships"><Relationship Id="rId1" Type="http://schemas.openxmlformats.org/officeDocument/2006/relationships/image" Target="media/image1.png" /><Relationship Id="rId2" Type="http://schemas.openxmlformats.org/officeDocument/2006/relationships/image" Target="media/image2.png" /></Relationships>
</file>

<file path=word/_rels/header3.xml.rels>&#65279;<?xml version="1.0" encoding="utf-8"?><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Id="rId1" Type="http://schemas.openxmlformats.org/officeDocument/2006/relationships/customXmlProps" Target="itemProps1.xml" /></Relationships>
</file>

<file path=customXml/_rels/item2.xml.rels>&#65279;<?xml version="1.0" encoding="utf-8"?><Relationships xmlns="http://schemas.openxmlformats.org/package/2006/relationships"><Relationship Id="rId1" Type="http://schemas.openxmlformats.org/officeDocument/2006/relationships/customXmlProps" Target="itemProps2.xml" /></Relationships>
</file>

<file path=customXml/_rels/item3.xml.rels>&#65279;<?xml version="1.0" encoding="utf-8"?><Relationships xmlns="http://schemas.openxmlformats.org/package/2006/relationships"><Relationship Id="rId1" Type="http://schemas.openxmlformats.org/officeDocument/2006/relationships/customXmlProps" Target="itemProps3.xml" /></Relationships>
</file>

<file path=customXml/_rels/item4.xml.rels>&#65279;<?xml version="1.0" encoding="utf-8"?><Relationships xmlns="http://schemas.openxmlformats.org/package/2006/relationships"><Relationship Id="rId1" Type="http://schemas.openxmlformats.org/officeDocument/2006/relationships/customXmlProps" Target="itemProps4.xml" /></Relationships>
</file>

<file path=customXml/item1.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zhangguoxing</cp:lastModifiedBy>
  <dcterms:modified xsi:type="dcterms:W3CDTF">2025-10-13T11:54:56Z</dcterms:modified>
  <cp:revision>22</cp:revision>
  <dc:title>“${prdInfo.PRD_NAME}”理财产品</dc:title>
</cp:coreProperties>
</file>

<file path=customXml/item2.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18</TotalTime>
  <ScaleCrop>false</ScaleCrop>
  <LinksUpToDate>false</LinksUpToDate>
  <CharactersWithSpaces>2803</CharactersWithSpaces>
  <Application>WPS Office_10.8.2.7119_F1E327BC-269C-435d-A152-05C5408002CA</Application>
  <DocSecurity>0</DocSecurity>
</Properties>
</file>

<file path=customXml/item3.xml><?xml version="1.0" encoding="utf-8"?>
<Properties xmlns="http://schemas.openxmlformats.org/officeDocument/2006/custom-properties" xmlns:vt="http://schemas.openxmlformats.org/officeDocument/2006/docPropsVTypes">
  <property fmtid="{D5CDD505-2E9C-101B-9397-08002B2CF9AE}" pid="2" name="KSOProductBuildVer">
    <vt:lpwstr>2052-10.8.2.7119</vt:lpwstr>
  </property>
  <property fmtid="{D5CDD505-2E9C-101B-9397-08002B2CF9AE}" pid="3" name="ICV">
    <vt:lpwstr>31802637FF8E4298AD1DCE61A946E12D</vt:lpwstr>
  </property>
</Properties>
</file>

<file path=customXml/item4.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6"/>
    <customShpInfo spid="_x0000_s3073"/>
  </customShpExt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
  <ds:schemaRefs/>
</ds:datastoreItem>
</file>

<file path=customXml/itemProps3.xml><?xml version="1.0" encoding="utf-8"?>
<ds:datastoreItem xmlns:ds="http://schemas.openxmlformats.org/officeDocument/2006/customXml" ds:itemID="">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Normal.dotm</Template>
  <TotalTime>18</TotalTime>
  <Pages>4</Pages>
  <Words>419</Words>
  <Characters>2389</Characters>
  <Application>WPS Office_10.8.2.7119_F1E327BC-269C-435d-A152-05C5408002CA</Application>
  <DocSecurity>0</DocSecurity>
  <Lines>19</Lines>
  <Paragraphs>5</Paragraphs>
  <Company>WORKGROUP</Company>
  <CharactersWithSpaces>2803</CharactersWithSpaces>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_x201C__x0024__x007B_prdInfo.PRD_NAME_x007D__x201D_理财产品</dc:title>
  <dc:creator>User</dc:creator>
  <cp:lastModifiedBy>zhangguoxing</cp:lastModifiedBy>
  <cp:revision>22</cp:revision>
  <dcterms:created xsi:type="dcterms:W3CDTF">2021-11-18T10:04:00Z</dcterms:created>
  <dcterms:modified xsi:type="dcterms:W3CDTF">2025-10-21T10:53:51Z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str>2052-10.8.2.7119</vt:lpstr>
  </property>
  <property fmtid="{D5CDD505-2E9C-101B-9397-08002B2CF9AE}" pid="3" name="ICV">
    <vt:lpstr>31802637FF8E4298AD1DCE61A946E12D</vt:lpstr>
  </property>
</Properties>
</file>