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 w:val="32"/>
          <w:szCs w:val="32"/>
        </w:rPr>
      </w:pPr>
      <w:r>
        <w:rPr>
          <w:rFonts w:asciiTheme="majorEastAsia" w:hAnsiTheme="majorEastAsia" w:eastAsiaTheme="majorEastAsia"/>
          <w:b/>
          <w:sz w:val="32"/>
          <w:szCs w:val="32"/>
        </w:rPr>
        <w:tab/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关于上银理财“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易享利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”系列开放式理财产品</w:t>
      </w:r>
    </w:p>
    <w:p>
      <w:pPr>
        <w:jc w:val="center"/>
        <w:rPr>
          <w:rFonts w:hint="eastAsia"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业绩比较基准调整的公告</w:t>
      </w:r>
    </w:p>
    <w:p>
      <w:pPr>
        <w:jc w:val="center"/>
        <w:rPr>
          <w:rFonts w:hint="eastAsia" w:asciiTheme="majorEastAsia" w:hAnsiTheme="majorEastAsia" w:eastAsiaTheme="majorEastAsia"/>
          <w:b/>
          <w:sz w:val="32"/>
          <w:szCs w:val="32"/>
        </w:rPr>
      </w:pPr>
    </w:p>
    <w:p/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尊敬的客户</w:t>
      </w:r>
      <w:r>
        <w:rPr>
          <w:rFonts w:ascii="宋体" w:hAnsi="宋体" w:eastAsia="宋体"/>
          <w:sz w:val="28"/>
          <w:szCs w:val="28"/>
        </w:rPr>
        <w:t>：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/>
          <w:sz w:val="28"/>
          <w:szCs w:val="28"/>
          <w:highlight w:val="none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根据市场情</w:t>
      </w:r>
      <w:r>
        <w:rPr>
          <w:rFonts w:hint="eastAsia" w:ascii="宋体" w:hAnsi="宋体" w:eastAsia="宋体"/>
          <w:sz w:val="28"/>
          <w:szCs w:val="28"/>
          <w:highlight w:val="none"/>
          <w:lang w:eastAsia="zh-CN"/>
        </w:rPr>
        <w:t>况变化，</w:t>
      </w: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我司拟于2025年12月24日起对</w:t>
      </w:r>
      <w:r>
        <w:rPr>
          <w:rFonts w:hint="eastAsia" w:ascii="宋体" w:hAnsi="宋体" w:eastAsia="宋体"/>
          <w:sz w:val="28"/>
          <w:szCs w:val="28"/>
          <w:highlight w:val="none"/>
        </w:rPr>
        <w:t>上银理财“易享利”系列开放式(3个月持有期)理财产品WPEK25M0313期</w:t>
      </w:r>
      <w:r>
        <w:rPr>
          <w:rFonts w:hint="eastAsia" w:ascii="宋体" w:hAnsi="宋体" w:eastAsia="宋体"/>
          <w:sz w:val="28"/>
          <w:szCs w:val="28"/>
          <w:highlight w:val="none"/>
          <w:lang w:eastAsia="zh-CN"/>
        </w:rPr>
        <w:t>业绩比较基准进行调整</w:t>
      </w:r>
      <w:r>
        <w:rPr>
          <w:rFonts w:hint="eastAsia" w:ascii="宋体" w:hAnsi="宋体" w:eastAsia="宋体"/>
          <w:sz w:val="28"/>
          <w:szCs w:val="28"/>
          <w:highlight w:val="none"/>
        </w:rPr>
        <w:t>，</w:t>
      </w:r>
      <w:r>
        <w:rPr>
          <w:rFonts w:hint="eastAsia" w:ascii="宋体" w:hAnsi="宋体" w:eastAsia="宋体"/>
          <w:sz w:val="28"/>
          <w:szCs w:val="28"/>
          <w:highlight w:val="none"/>
          <w:lang w:eastAsia="zh-CN"/>
        </w:rPr>
        <w:t>具体</w:t>
      </w:r>
      <w:r>
        <w:rPr>
          <w:rFonts w:hint="eastAsia" w:ascii="宋体" w:hAnsi="宋体" w:eastAsia="宋体"/>
          <w:sz w:val="28"/>
          <w:szCs w:val="28"/>
          <w:highlight w:val="none"/>
        </w:rPr>
        <w:t>如下：</w:t>
      </w:r>
    </w:p>
    <w:tbl>
      <w:tblPr>
        <w:tblStyle w:val="4"/>
        <w:tblW w:w="98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2"/>
        <w:gridCol w:w="2684"/>
        <w:gridCol w:w="2541"/>
        <w:gridCol w:w="23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cs="宋体" w:asciiTheme="minorEastAsia" w:hAnsiTheme="minorEastAsia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highlight w:val="none"/>
                <w:lang w:val="en-US" w:eastAsia="zh-CN"/>
              </w:rPr>
              <w:t>销售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highlight w:val="none"/>
              </w:rPr>
              <w:t>代码</w:t>
            </w: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cs="宋体" w:asciiTheme="minorEastAsia" w:hAnsiTheme="minorEastAsia" w:eastAsiaTheme="minorEastAsia"/>
                <w:b/>
                <w:bCs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highlight w:val="none"/>
                <w:lang w:eastAsia="zh-CN"/>
              </w:rPr>
              <w:t>调整前业绩比较基准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highlight w:val="none"/>
                <w:vertAlign w:val="superscript"/>
                <w:lang w:val="en-US" w:eastAsia="zh-CN"/>
              </w:rPr>
              <w:t>*</w:t>
            </w:r>
          </w:p>
        </w:tc>
        <w:tc>
          <w:tcPr>
            <w:tcW w:w="2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highlight w:val="none"/>
                <w:lang w:eastAsia="zh-CN"/>
              </w:rPr>
              <w:t>调整后业绩比较基准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highlight w:val="none"/>
                <w:vertAlign w:val="superscript"/>
                <w:lang w:val="en-US" w:eastAsia="zh-CN"/>
              </w:rPr>
              <w:t>*</w:t>
            </w:r>
          </w:p>
        </w:tc>
        <w:tc>
          <w:tcPr>
            <w:tcW w:w="2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highlight w:val="none"/>
                <w:lang w:eastAsia="zh-CN"/>
              </w:rPr>
              <w:t>调整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highlight w:val="none"/>
              </w:rPr>
              <w:t>日期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highlight w:val="none"/>
                <w:lang w:val="en-US" w:eastAsia="zh-CN"/>
              </w:rPr>
              <w:t>WPEK25M0313A</w:t>
            </w: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cs="宋体" w:asciiTheme="minorEastAsia" w:hAnsiTheme="minorEastAsia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highlight w:val="none"/>
                <w:lang w:val="en-US" w:eastAsia="zh-CN"/>
              </w:rPr>
              <w:t>2.15%-3.35%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cs="宋体" w:asciiTheme="minorEastAsia" w:hAnsiTheme="minorEastAsia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highlight w:val="none"/>
                <w:lang w:val="en-US" w:eastAsia="zh-CN"/>
              </w:rPr>
              <w:t>2.04%-3.24%</w:t>
            </w: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cs="宋体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2025年12月24日</w:t>
            </w:r>
          </w:p>
        </w:tc>
      </w:tr>
    </w:tbl>
    <w:p>
      <w:pPr>
        <w:ind w:firstLine="320" w:firstLineChars="200"/>
        <w:rPr>
          <w:rFonts w:hint="eastAsia" w:ascii="宋体" w:hAnsi="宋体" w:eastAsia="宋体"/>
          <w:sz w:val="16"/>
          <w:szCs w:val="13"/>
          <w:highlight w:val="none"/>
          <w:lang w:val="en-US" w:eastAsia="zh-CN"/>
        </w:rPr>
      </w:pPr>
    </w:p>
    <w:p>
      <w:pPr>
        <w:ind w:firstLine="320" w:firstLineChars="200"/>
        <w:rPr>
          <w:rFonts w:hint="eastAsia" w:ascii="宋体" w:hAnsi="宋体" w:eastAsia="宋体"/>
          <w:sz w:val="16"/>
          <w:szCs w:val="13"/>
        </w:rPr>
      </w:pPr>
      <w:r>
        <w:rPr>
          <w:rFonts w:hint="eastAsia" w:ascii="宋体" w:hAnsi="宋体" w:eastAsia="宋体"/>
          <w:sz w:val="16"/>
          <w:szCs w:val="13"/>
          <w:highlight w:val="none"/>
          <w:lang w:val="en-US" w:eastAsia="zh-CN"/>
        </w:rPr>
        <w:t>*关于业绩比较基准的解释：</w:t>
      </w:r>
      <w:r>
        <w:rPr>
          <w:rFonts w:hint="eastAsia" w:ascii="宋体" w:hAnsi="宋体" w:eastAsia="宋体"/>
          <w:sz w:val="16"/>
          <w:szCs w:val="13"/>
          <w:highlight w:val="none"/>
        </w:rPr>
        <w:t>以产品投资货币市场工具、债券、债权类资产等固定收益类资产不低于80%，结合产品风险收益特征制定本产品的业绩比较基准。业绩比较基准是</w:t>
      </w:r>
      <w:r>
        <w:rPr>
          <w:rFonts w:hint="eastAsia" w:ascii="宋体" w:hAnsi="宋体" w:eastAsia="宋体"/>
          <w:sz w:val="16"/>
          <w:szCs w:val="13"/>
          <w:highlight w:val="none"/>
          <w:lang w:val="en-US" w:eastAsia="zh-CN"/>
        </w:rPr>
        <w:t>管理人</w:t>
      </w:r>
      <w:r>
        <w:rPr>
          <w:rFonts w:hint="eastAsia" w:ascii="宋体" w:hAnsi="宋体" w:eastAsia="宋体"/>
          <w:sz w:val="16"/>
          <w:szCs w:val="13"/>
          <w:highlight w:val="none"/>
        </w:rPr>
        <w:t>基于产品性质、</w:t>
      </w:r>
      <w:r>
        <w:rPr>
          <w:rFonts w:hint="eastAsia" w:ascii="宋体" w:hAnsi="宋体" w:eastAsia="宋体"/>
          <w:sz w:val="16"/>
          <w:szCs w:val="13"/>
        </w:rPr>
        <w:t>投资策略、过往经验等因素对产品设定的投资目标，业绩比较基准不是预期收益率，不代表产品的未来表现和实际收益，不构成对产品收益的承诺。</w:t>
      </w:r>
    </w:p>
    <w:p>
      <w:pPr>
        <w:ind w:firstLine="560" w:firstLineChars="200"/>
        <w:rPr>
          <w:rFonts w:hint="eastAsia" w:ascii="宋体" w:hAnsi="宋体" w:eastAsia="宋体"/>
          <w:sz w:val="28"/>
        </w:rPr>
      </w:pPr>
    </w:p>
    <w:p>
      <w:pPr>
        <w:ind w:firstLine="560" w:firstLineChars="200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特此公告。</w:t>
      </w:r>
    </w:p>
    <w:p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感谢您</w:t>
      </w:r>
      <w:r>
        <w:rPr>
          <w:rFonts w:ascii="宋体" w:hAnsi="宋体" w:eastAsia="宋体"/>
          <w:sz w:val="28"/>
        </w:rPr>
        <w:t>对上</w:t>
      </w:r>
      <w:r>
        <w:rPr>
          <w:rFonts w:hint="eastAsia" w:ascii="宋体" w:hAnsi="宋体" w:eastAsia="宋体"/>
          <w:sz w:val="28"/>
        </w:rPr>
        <w:t>银理财</w:t>
      </w:r>
      <w:r>
        <w:rPr>
          <w:rFonts w:ascii="宋体" w:hAnsi="宋体" w:eastAsia="宋体"/>
          <w:sz w:val="28"/>
        </w:rPr>
        <w:t>的支持！敬请</w:t>
      </w:r>
      <w:r>
        <w:rPr>
          <w:rFonts w:hint="eastAsia" w:ascii="宋体" w:hAnsi="宋体" w:eastAsia="宋体"/>
          <w:sz w:val="28"/>
        </w:rPr>
        <w:t>继续</w:t>
      </w:r>
      <w:r>
        <w:rPr>
          <w:rFonts w:ascii="宋体" w:hAnsi="宋体" w:eastAsia="宋体"/>
          <w:sz w:val="28"/>
        </w:rPr>
        <w:t>关注</w:t>
      </w:r>
      <w:r>
        <w:rPr>
          <w:rFonts w:hint="eastAsia" w:ascii="宋体" w:hAnsi="宋体" w:eastAsia="宋体"/>
          <w:sz w:val="28"/>
        </w:rPr>
        <w:t>上银理财</w:t>
      </w:r>
      <w:r>
        <w:rPr>
          <w:rFonts w:ascii="宋体" w:hAnsi="宋体" w:eastAsia="宋体"/>
          <w:sz w:val="28"/>
        </w:rPr>
        <w:t>理财产品。</w:t>
      </w:r>
    </w:p>
    <w:p>
      <w:pPr>
        <w:rPr>
          <w:rFonts w:ascii="宋体" w:hAnsi="宋体" w:eastAsia="宋体"/>
          <w:sz w:val="28"/>
        </w:rPr>
      </w:pPr>
    </w:p>
    <w:p>
      <w:pPr>
        <w:rPr>
          <w:rFonts w:ascii="宋体" w:hAnsi="宋体" w:eastAsia="宋体"/>
          <w:sz w:val="28"/>
        </w:rPr>
      </w:pPr>
    </w:p>
    <w:p>
      <w:pPr>
        <w:jc w:val="right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上银理财有限责任公司</w:t>
      </w:r>
    </w:p>
    <w:p>
      <w:pPr>
        <w:jc w:val="right"/>
        <w:rPr>
          <w:rFonts w:ascii="宋体" w:hAnsi="宋体" w:eastAsia="宋体"/>
          <w:sz w:val="28"/>
          <w:highlight w:val="none"/>
        </w:rPr>
      </w:pPr>
      <w:r>
        <w:rPr>
          <w:rFonts w:hint="eastAsia" w:ascii="宋体" w:hAnsi="宋体" w:eastAsia="宋体"/>
          <w:sz w:val="28"/>
          <w:highlight w:val="none"/>
        </w:rPr>
        <w:t>202</w:t>
      </w:r>
      <w:r>
        <w:rPr>
          <w:rFonts w:hint="eastAsia" w:ascii="宋体" w:hAnsi="宋体" w:eastAsia="宋体"/>
          <w:sz w:val="28"/>
          <w:highlight w:val="none"/>
          <w:lang w:val="en-US" w:eastAsia="zh-CN"/>
        </w:rPr>
        <w:t>5</w:t>
      </w:r>
      <w:r>
        <w:rPr>
          <w:rFonts w:hint="eastAsia" w:ascii="宋体" w:hAnsi="宋体" w:eastAsia="宋体"/>
          <w:sz w:val="28"/>
          <w:highlight w:val="none"/>
        </w:rPr>
        <w:t>年</w:t>
      </w:r>
      <w:r>
        <w:rPr>
          <w:rFonts w:hint="eastAsia" w:ascii="宋体" w:hAnsi="宋体" w:eastAsia="宋体"/>
          <w:sz w:val="28"/>
          <w:highlight w:val="none"/>
          <w:lang w:val="en-US" w:eastAsia="zh-CN"/>
        </w:rPr>
        <w:t>12</w:t>
      </w:r>
      <w:r>
        <w:rPr>
          <w:rFonts w:hint="eastAsia" w:ascii="宋体" w:hAnsi="宋体" w:eastAsia="宋体"/>
          <w:sz w:val="28"/>
          <w:highlight w:val="none"/>
        </w:rPr>
        <w:t>月</w:t>
      </w:r>
      <w:r>
        <w:rPr>
          <w:rFonts w:hint="eastAsia" w:ascii="宋体" w:hAnsi="宋体" w:eastAsia="宋体"/>
          <w:sz w:val="28"/>
          <w:highlight w:val="none"/>
          <w:lang w:val="en-US" w:eastAsia="zh-CN"/>
        </w:rPr>
        <w:t>22</w:t>
      </w:r>
      <w:bookmarkStart w:id="0" w:name="_GoBack"/>
      <w:bookmarkEnd w:id="0"/>
      <w:r>
        <w:rPr>
          <w:rFonts w:hint="eastAsia" w:ascii="宋体" w:hAnsi="宋体" w:eastAsia="宋体"/>
          <w:sz w:val="28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8A8"/>
    <w:rsid w:val="000D570E"/>
    <w:rsid w:val="000F5049"/>
    <w:rsid w:val="001064E4"/>
    <w:rsid w:val="00146402"/>
    <w:rsid w:val="001B28A8"/>
    <w:rsid w:val="001D6691"/>
    <w:rsid w:val="001E177F"/>
    <w:rsid w:val="002F1179"/>
    <w:rsid w:val="00310B81"/>
    <w:rsid w:val="00341AF9"/>
    <w:rsid w:val="003A2CB5"/>
    <w:rsid w:val="003D0191"/>
    <w:rsid w:val="003D57A4"/>
    <w:rsid w:val="003F1D80"/>
    <w:rsid w:val="0041058B"/>
    <w:rsid w:val="00493229"/>
    <w:rsid w:val="004B2A7C"/>
    <w:rsid w:val="004E4C4D"/>
    <w:rsid w:val="00543711"/>
    <w:rsid w:val="00557819"/>
    <w:rsid w:val="005F6800"/>
    <w:rsid w:val="00601859"/>
    <w:rsid w:val="00603039"/>
    <w:rsid w:val="00681E2B"/>
    <w:rsid w:val="0069320D"/>
    <w:rsid w:val="007B722A"/>
    <w:rsid w:val="0080471E"/>
    <w:rsid w:val="00973CA3"/>
    <w:rsid w:val="00A07253"/>
    <w:rsid w:val="00AF0184"/>
    <w:rsid w:val="00B91E80"/>
    <w:rsid w:val="00BD5937"/>
    <w:rsid w:val="00C15C22"/>
    <w:rsid w:val="00C1632B"/>
    <w:rsid w:val="00C240D1"/>
    <w:rsid w:val="00C30601"/>
    <w:rsid w:val="00CF28E2"/>
    <w:rsid w:val="00D32320"/>
    <w:rsid w:val="00D548BC"/>
    <w:rsid w:val="00D932FD"/>
    <w:rsid w:val="00DD7D84"/>
    <w:rsid w:val="00E13E66"/>
    <w:rsid w:val="00E13F7E"/>
    <w:rsid w:val="00E36C5D"/>
    <w:rsid w:val="00E51AAD"/>
    <w:rsid w:val="00E63632"/>
    <w:rsid w:val="00F10F1A"/>
    <w:rsid w:val="00F11CD7"/>
    <w:rsid w:val="016A708A"/>
    <w:rsid w:val="01F07FC8"/>
    <w:rsid w:val="0271750C"/>
    <w:rsid w:val="027942E0"/>
    <w:rsid w:val="02BC1D2F"/>
    <w:rsid w:val="02DD7D7D"/>
    <w:rsid w:val="03A95977"/>
    <w:rsid w:val="03CA2737"/>
    <w:rsid w:val="03EE1646"/>
    <w:rsid w:val="04370ACF"/>
    <w:rsid w:val="047B374A"/>
    <w:rsid w:val="054855A3"/>
    <w:rsid w:val="05A345EA"/>
    <w:rsid w:val="05A81D92"/>
    <w:rsid w:val="05C668C8"/>
    <w:rsid w:val="05D15DFF"/>
    <w:rsid w:val="084E4949"/>
    <w:rsid w:val="08C73F2F"/>
    <w:rsid w:val="08CD37A8"/>
    <w:rsid w:val="08E66D9E"/>
    <w:rsid w:val="0966014B"/>
    <w:rsid w:val="09AF068A"/>
    <w:rsid w:val="0A28718D"/>
    <w:rsid w:val="0A484022"/>
    <w:rsid w:val="0B106A32"/>
    <w:rsid w:val="0B8958AE"/>
    <w:rsid w:val="0BE6017C"/>
    <w:rsid w:val="0CE66487"/>
    <w:rsid w:val="0D031928"/>
    <w:rsid w:val="0D484698"/>
    <w:rsid w:val="0DBA355A"/>
    <w:rsid w:val="0EDC4629"/>
    <w:rsid w:val="0EE417B4"/>
    <w:rsid w:val="0F7C003A"/>
    <w:rsid w:val="0FC00B84"/>
    <w:rsid w:val="100F5DB9"/>
    <w:rsid w:val="10141441"/>
    <w:rsid w:val="105A6983"/>
    <w:rsid w:val="10815F56"/>
    <w:rsid w:val="10C77533"/>
    <w:rsid w:val="1161525C"/>
    <w:rsid w:val="11896859"/>
    <w:rsid w:val="11AE7F9C"/>
    <w:rsid w:val="120C5620"/>
    <w:rsid w:val="123B4C5E"/>
    <w:rsid w:val="12811503"/>
    <w:rsid w:val="12C20D0E"/>
    <w:rsid w:val="13484012"/>
    <w:rsid w:val="13491EDA"/>
    <w:rsid w:val="13B244DC"/>
    <w:rsid w:val="14F1597F"/>
    <w:rsid w:val="164F3895"/>
    <w:rsid w:val="165A4836"/>
    <w:rsid w:val="185F5DED"/>
    <w:rsid w:val="188413DF"/>
    <w:rsid w:val="19603A4B"/>
    <w:rsid w:val="1AB64E74"/>
    <w:rsid w:val="1AD572D1"/>
    <w:rsid w:val="1BE55C55"/>
    <w:rsid w:val="1C0B1647"/>
    <w:rsid w:val="1C264E3E"/>
    <w:rsid w:val="1CD50968"/>
    <w:rsid w:val="1CDB7AD0"/>
    <w:rsid w:val="1CEC5636"/>
    <w:rsid w:val="1D1B5609"/>
    <w:rsid w:val="1E043659"/>
    <w:rsid w:val="1E067907"/>
    <w:rsid w:val="1EB006A6"/>
    <w:rsid w:val="1EE47153"/>
    <w:rsid w:val="1EF614DB"/>
    <w:rsid w:val="1F832E58"/>
    <w:rsid w:val="21D71435"/>
    <w:rsid w:val="221A43FE"/>
    <w:rsid w:val="23996502"/>
    <w:rsid w:val="259A085A"/>
    <w:rsid w:val="25E06ECD"/>
    <w:rsid w:val="266D50DF"/>
    <w:rsid w:val="274672B8"/>
    <w:rsid w:val="27AB1404"/>
    <w:rsid w:val="27F1525A"/>
    <w:rsid w:val="28283C28"/>
    <w:rsid w:val="29610B28"/>
    <w:rsid w:val="2A63077E"/>
    <w:rsid w:val="2A7F2BBF"/>
    <w:rsid w:val="2A953A55"/>
    <w:rsid w:val="2B0C189A"/>
    <w:rsid w:val="2BBF7C22"/>
    <w:rsid w:val="2C770BBB"/>
    <w:rsid w:val="2CE765A2"/>
    <w:rsid w:val="2D2C3202"/>
    <w:rsid w:val="2DAC08A4"/>
    <w:rsid w:val="2DDE008D"/>
    <w:rsid w:val="2DFB1100"/>
    <w:rsid w:val="2E061B09"/>
    <w:rsid w:val="2E4D02F3"/>
    <w:rsid w:val="2E777850"/>
    <w:rsid w:val="2EDB2B26"/>
    <w:rsid w:val="2F5E25E9"/>
    <w:rsid w:val="2FCD39DB"/>
    <w:rsid w:val="30DA4A98"/>
    <w:rsid w:val="311500BF"/>
    <w:rsid w:val="31A411E0"/>
    <w:rsid w:val="32BA6835"/>
    <w:rsid w:val="32D878F9"/>
    <w:rsid w:val="335214C5"/>
    <w:rsid w:val="33E57CF6"/>
    <w:rsid w:val="340B0653"/>
    <w:rsid w:val="34293CF8"/>
    <w:rsid w:val="346C00C9"/>
    <w:rsid w:val="347859DB"/>
    <w:rsid w:val="34821EEF"/>
    <w:rsid w:val="35716A2B"/>
    <w:rsid w:val="358C4FD5"/>
    <w:rsid w:val="35A540A8"/>
    <w:rsid w:val="36BF2A53"/>
    <w:rsid w:val="36D5385C"/>
    <w:rsid w:val="371A51A5"/>
    <w:rsid w:val="37321EC5"/>
    <w:rsid w:val="37845F0B"/>
    <w:rsid w:val="381B1075"/>
    <w:rsid w:val="38963D3C"/>
    <w:rsid w:val="39037972"/>
    <w:rsid w:val="39BE137E"/>
    <w:rsid w:val="39E137CD"/>
    <w:rsid w:val="39FB3DD1"/>
    <w:rsid w:val="3B44439D"/>
    <w:rsid w:val="3B7E4372"/>
    <w:rsid w:val="3B8B0764"/>
    <w:rsid w:val="3BD725A1"/>
    <w:rsid w:val="3BDB08D9"/>
    <w:rsid w:val="3C403A9F"/>
    <w:rsid w:val="3C6C46B1"/>
    <w:rsid w:val="3C9157C0"/>
    <w:rsid w:val="3DC51AC0"/>
    <w:rsid w:val="3E764FBB"/>
    <w:rsid w:val="400F6F53"/>
    <w:rsid w:val="403B2EC2"/>
    <w:rsid w:val="406105AB"/>
    <w:rsid w:val="41263508"/>
    <w:rsid w:val="42514C11"/>
    <w:rsid w:val="44AA7C6F"/>
    <w:rsid w:val="44C9360D"/>
    <w:rsid w:val="45227786"/>
    <w:rsid w:val="45443D36"/>
    <w:rsid w:val="455F2CF6"/>
    <w:rsid w:val="45BF004D"/>
    <w:rsid w:val="47B81E38"/>
    <w:rsid w:val="4A4A5C1F"/>
    <w:rsid w:val="4AA0763A"/>
    <w:rsid w:val="4B4802B3"/>
    <w:rsid w:val="4BB23BD0"/>
    <w:rsid w:val="4CDC64A9"/>
    <w:rsid w:val="4D0917EB"/>
    <w:rsid w:val="4D19335E"/>
    <w:rsid w:val="4D3578B8"/>
    <w:rsid w:val="4DF77C28"/>
    <w:rsid w:val="4E372352"/>
    <w:rsid w:val="4E4C4A76"/>
    <w:rsid w:val="4EBC6AC5"/>
    <w:rsid w:val="501B4A6A"/>
    <w:rsid w:val="50DB206B"/>
    <w:rsid w:val="51104303"/>
    <w:rsid w:val="515818EB"/>
    <w:rsid w:val="517F7BD5"/>
    <w:rsid w:val="524C0571"/>
    <w:rsid w:val="53326317"/>
    <w:rsid w:val="539370E4"/>
    <w:rsid w:val="53C63FC9"/>
    <w:rsid w:val="54491343"/>
    <w:rsid w:val="55043172"/>
    <w:rsid w:val="55E94E2E"/>
    <w:rsid w:val="564E6AAE"/>
    <w:rsid w:val="56594718"/>
    <w:rsid w:val="565F3D46"/>
    <w:rsid w:val="58DE68EA"/>
    <w:rsid w:val="58F90150"/>
    <w:rsid w:val="59BF4680"/>
    <w:rsid w:val="5A3067C6"/>
    <w:rsid w:val="5C3542AC"/>
    <w:rsid w:val="5CBC1F94"/>
    <w:rsid w:val="5DBE4942"/>
    <w:rsid w:val="5DF404DC"/>
    <w:rsid w:val="5E4030C2"/>
    <w:rsid w:val="5E604EC7"/>
    <w:rsid w:val="5E6551E3"/>
    <w:rsid w:val="5EB67C5F"/>
    <w:rsid w:val="5EC9777F"/>
    <w:rsid w:val="5F645E24"/>
    <w:rsid w:val="60003F04"/>
    <w:rsid w:val="60B72A16"/>
    <w:rsid w:val="60E07684"/>
    <w:rsid w:val="61D203A9"/>
    <w:rsid w:val="628347C2"/>
    <w:rsid w:val="63146606"/>
    <w:rsid w:val="631F6D7F"/>
    <w:rsid w:val="63635026"/>
    <w:rsid w:val="65360E17"/>
    <w:rsid w:val="66164727"/>
    <w:rsid w:val="66622F17"/>
    <w:rsid w:val="67D06A42"/>
    <w:rsid w:val="68015A11"/>
    <w:rsid w:val="68CE3D79"/>
    <w:rsid w:val="693A3786"/>
    <w:rsid w:val="69770960"/>
    <w:rsid w:val="698A00D7"/>
    <w:rsid w:val="69CF3A4F"/>
    <w:rsid w:val="6A0B03B4"/>
    <w:rsid w:val="6A193C9B"/>
    <w:rsid w:val="6A567F52"/>
    <w:rsid w:val="6A9308D4"/>
    <w:rsid w:val="6ADE35C5"/>
    <w:rsid w:val="6AF97CD7"/>
    <w:rsid w:val="6BA353CF"/>
    <w:rsid w:val="6BDD5709"/>
    <w:rsid w:val="6C342FE7"/>
    <w:rsid w:val="6CC63869"/>
    <w:rsid w:val="6CF71CCF"/>
    <w:rsid w:val="6DC225E4"/>
    <w:rsid w:val="6E7D324D"/>
    <w:rsid w:val="6F3A4112"/>
    <w:rsid w:val="6FB96D45"/>
    <w:rsid w:val="701B1256"/>
    <w:rsid w:val="701B268D"/>
    <w:rsid w:val="703366A3"/>
    <w:rsid w:val="70853CE3"/>
    <w:rsid w:val="70E87401"/>
    <w:rsid w:val="71592F0D"/>
    <w:rsid w:val="71971FF2"/>
    <w:rsid w:val="71B23F4A"/>
    <w:rsid w:val="73770D3C"/>
    <w:rsid w:val="73BD7B07"/>
    <w:rsid w:val="73F93EDD"/>
    <w:rsid w:val="7422443E"/>
    <w:rsid w:val="742A6074"/>
    <w:rsid w:val="74712993"/>
    <w:rsid w:val="747458BB"/>
    <w:rsid w:val="74A404EF"/>
    <w:rsid w:val="75C3252E"/>
    <w:rsid w:val="75F0317E"/>
    <w:rsid w:val="763C2277"/>
    <w:rsid w:val="7649400D"/>
    <w:rsid w:val="768B13CC"/>
    <w:rsid w:val="76C23149"/>
    <w:rsid w:val="774D393D"/>
    <w:rsid w:val="77686451"/>
    <w:rsid w:val="78C85CCA"/>
    <w:rsid w:val="7A7E38AC"/>
    <w:rsid w:val="7AC86CB4"/>
    <w:rsid w:val="7AEA021A"/>
    <w:rsid w:val="7B3A4218"/>
    <w:rsid w:val="7B852019"/>
    <w:rsid w:val="7BA728AC"/>
    <w:rsid w:val="7BB5177C"/>
    <w:rsid w:val="7BCE4245"/>
    <w:rsid w:val="7CFD2124"/>
    <w:rsid w:val="7D142189"/>
    <w:rsid w:val="7D7C4F46"/>
    <w:rsid w:val="7E0E292B"/>
    <w:rsid w:val="7E2E0FD7"/>
    <w:rsid w:val="7EDA7217"/>
    <w:rsid w:val="7F0B1F3A"/>
    <w:rsid w:val="7F247F39"/>
    <w:rsid w:val="7F63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337</Words>
  <Characters>396</Characters>
  <Lines>3</Lines>
  <Paragraphs>1</Paragraphs>
  <TotalTime>3</TotalTime>
  <ScaleCrop>false</ScaleCrop>
  <LinksUpToDate>false</LinksUpToDate>
  <CharactersWithSpaces>397</CharactersWithSpaces>
  <Application>WPS Office_11.8.2.12187_F1E327BC-269C-435d-A152-05C5408002CA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2020-12-30T07:42:00Z</dcterms:created>
  <dc:creator>李书怡 （总行资产管理部）</dc:creator>
  <cp:lastModifiedBy>L600044</cp:lastModifiedBy>
  <dcterms:modified xsi:type="dcterms:W3CDTF">2025-12-18T01:32:09Z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2052-11.8.2.12187</vt:lpwstr>
  </property>
  <property fmtid="{D5CDD505-2E9C-101B-9397-08002B2CF9AE}" pid="3" name="ICV">
    <vt:lpwstr>AEC191B11C9A4FDEB2523CFF6F765282</vt:lpwstr>
  </property>
</Properties>
</file>