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b/>
          <w:sz w:val="36"/>
          <w:szCs w:val="36"/>
        </w:rPr>
      </w:pPr>
      <w:bookmarkStart w:id="0" w:name="_GoBack"/>
      <w:bookmarkEnd w:id="0"/>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苏银理财启源现金1号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rPr>
      </w:pPr>
      <w:r>
        <w:rPr>
          <w:rFonts w:ascii="楷体" w:eastAsia="楷体" w:hAnsi="楷体" w:cs="楷体" w:hint="eastAsia"/>
        </w:rPr>
        <w:t xml:space="preserve">“</w:t>
      </w:r>
      <w:r>
        <w:rPr>
          <w:rFonts w:ascii="楷体" w:eastAsia="楷体" w:hAnsi="楷体" w:cs="楷体" w:hint="eastAsia"/>
          <w:spacing w:val="-7"/>
        </w:rPr>
        <w:t xml:space="preserve">苏银理财启源现金1号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2018年08月30日</w:t>
      </w:r>
      <w:r>
        <w:rPr>
          <w:rFonts w:ascii="楷体" w:eastAsia="楷体" w:hAnsi="楷体" w:cs="楷体" w:hint="eastAsia"/>
        </w:rPr>
        <w:t xml:space="preserve">成立，于</w:t>
      </w:r>
      <w:r>
        <w:rPr>
          <w:rFonts w:ascii="楷体" w:eastAsia="楷体" w:hAnsi="楷体" w:cs="楷体" w:hint="eastAsia"/>
          <w:spacing w:val="-7"/>
        </w:rPr>
        <w:t xml:space="preserve">2018年08月30日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rPr>
      </w:pPr>
    </w:p>
    <w:p>
      <w:pPr>
        <w:pStyle w:val="Heading3"/>
        <w:rPr>
          <w:rFonts w:ascii="楷体" w:hAnsi="楷体" w:cs="楷体"/>
        </w:rPr>
      </w:pPr>
      <w:r>
        <w:rPr>
          <w:rFonts w:ascii="楷体" w:hAnsi="楷体" w:cs="楷体" w:hint="eastAsia"/>
        </w:rPr>
        <w:t xml:space="preserve">一</w:t>
      </w:r>
      <w:bookmarkStart w:id="1" w:name="_Toc535504139"/>
      <w:r>
        <w:rPr>
          <w:rFonts w:ascii="楷体" w:hAnsi="楷体" w:cs="楷体" w:hint="eastAsia"/>
        </w:rPr>
        <w:t xml:space="preserve">、产品基本情况</w:t>
      </w:r>
      <w:bookmarkEnd w:id="1"/>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sz w:val="22"/>
                <w:szCs w:val="22"/>
                <w:highlight w:val="yellow"/>
              </w:rPr>
            </w:pPr>
            <w:r>
              <w:rPr>
                <w:rFonts w:hint="eastAsia"/>
                <w:spacing w:val="-6"/>
                <w:sz w:val="22"/>
                <w:szCs w:val="22"/>
              </w:rPr>
              <w:t xml:space="preserve">苏银理财启源现金1号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sz w:val="22"/>
                <w:szCs w:val="22"/>
                <w:highlight w:val="yellow"/>
              </w:rPr>
            </w:pPr>
            <w:r>
              <w:rPr>
                <w:rFonts w:hint="eastAsia"/>
                <w:spacing w:val="-1"/>
                <w:sz w:val="22"/>
                <w:szCs w:val="22"/>
              </w:rPr>
              <w:t xml:space="preserve">Z7003121000014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sz w:val="22"/>
                <w:szCs w:val="22"/>
                <w:highlight w:val="yellow"/>
              </w:rPr>
            </w:pPr>
            <w:r>
              <w:rPr>
                <w:rFonts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sz w:val="22"/>
                <w:szCs w:val="22"/>
                <w:highlight w:val="yellow"/>
              </w:rPr>
            </w:pPr>
            <w:r>
              <w:rPr>
                <w:rFonts w:hint="eastAsia"/>
                <w:spacing w:val="-1"/>
                <w:sz w:val="22"/>
                <w:szCs w:val="22"/>
              </w:rPr>
              <w:t xml:space="preserve">31,759,878,969.29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sz w:val="22"/>
                <w:szCs w:val="22"/>
                <w:highlight w:val="yellow"/>
              </w:rPr>
            </w:pPr>
            <w:r>
              <w:rPr>
                <w:rFonts w:hint="eastAsia"/>
                <w:spacing w:val="-1"/>
                <w:sz w:val="22"/>
                <w:szCs w:val="22"/>
              </w:rPr>
              <w:t xml:space="preserve">31,759,878,969.29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sz w:val="22"/>
                <w:szCs w:val="22"/>
                <w:highlight w:val="yellow"/>
              </w:rPr>
            </w:pPr>
            <w:r>
              <w:rPr>
                <w:rFonts w:hint="eastAsia"/>
                <w:spacing w:val="-8"/>
                <w:sz w:val="22"/>
                <w:szCs w:val="22"/>
              </w:rPr>
              <w:t xml:space="preserve">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sz w:val="22"/>
                <w:szCs w:val="22"/>
                <w:highlight w:val="yellow"/>
              </w:rPr>
            </w:pPr>
            <w:r>
              <w:rPr>
                <w:rFonts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sz w:val="22"/>
                <w:szCs w:val="22"/>
                <w:highlight w:val="yellow"/>
              </w:rPr>
            </w:pPr>
            <w:r>
              <w:rPr>
                <w:rFonts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sz w:val="22"/>
                <w:szCs w:val="22"/>
                <w:highlight w:val="yellow"/>
              </w:rPr>
            </w:pPr>
            <w:r>
              <w:rPr>
                <w:rFonts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sz w:val="22"/>
                <w:szCs w:val="22"/>
                <w:highlight w:val="yellow"/>
              </w:rPr>
            </w:pPr>
            <w:r>
              <w:rPr>
                <w:rFonts w:hint="eastAsia"/>
                <w:spacing w:val="-1"/>
                <w:sz w:val="22"/>
                <w:szCs w:val="22"/>
              </w:rPr>
              <w:t xml:space="preserve">31000188000310268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sz w:val="22"/>
                <w:szCs w:val="22"/>
              </w:rPr>
            </w:pPr>
            <w:r>
              <w:rPr>
                <w:rFonts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sz w:val="22"/>
                <w:szCs w:val="22"/>
              </w:rPr>
            </w:pPr>
            <w:r>
              <w:rPr>
                <w:rFonts w:hint="eastAsia"/>
                <w:spacing w:val="-1"/>
                <w:sz w:val="22"/>
                <w:szCs w:val="22"/>
              </w:rPr>
              <w:t xml:space="preserve">33,815,354,876.78</w:t>
            </w:r>
            <w:r>
              <w:rPr>
                <w:rFonts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sz w:val="22"/>
                <w:szCs w:val="22"/>
              </w:rPr>
            </w:pPr>
            <w:r>
              <w:rPr>
                <w:rFonts w:hint="eastAsia"/>
                <w:spacing w:val="-4"/>
                <w:sz w:val="22"/>
                <w:szCs w:val="22"/>
              </w:rPr>
              <w:t xml:space="preserve">106.47%</w:t>
            </w:r>
          </w:p>
        </w:tc>
      </w:tr>
    </w:tbl>
    <w:p>
      <w:pPr>
        <w:pStyle w:val="标题4"/>
        <w:rPr>
          <w:rFonts w:ascii="楷体" w:hAnsi="楷体" w:cs="楷体"/>
        </w:rPr>
      </w:pPr>
    </w:p>
    <w:p>
      <w:pPr>
        <w:pStyle w:val="Heading3"/>
        <w:rPr>
          <w:rFonts w:ascii="楷体" w:hAnsi="楷体" w:cs="楷体"/>
        </w:rPr>
      </w:pPr>
      <w:r>
        <w:rPr>
          <w:rFonts w:ascii="楷体" w:hAnsi="楷体" w:cs="楷体" w:hint="eastAsia"/>
        </w:rPr>
        <w:t xml:space="preserve">二、产品收益与业绩比较基准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085"/>
        <w:gridCol w:w="1500"/>
        <w:gridCol w:w="1665"/>
        <w:gridCol w:w="1861"/>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报告日期</w:t>
            </w:r>
          </w:p>
        </w:tc>
        <w:tc>
          <w:tcPr>
            <w:tcW w:w="2085" w:type="dxa"/>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销售名称</w:t>
            </w:r>
          </w:p>
        </w:tc>
        <w:tc>
          <w:tcPr>
            <w:tcW w:w="1500" w:type="dxa"/>
          </w:tcPr>
          <w:p>
            <w:pPr>
              <w:jc w:val="center"/>
              <w:rPr>
                <w:rFonts w:ascii="楷体" w:eastAsia="楷体" w:hAnsi="楷体" w:cs="楷体"/>
                <w:sz w:val="22"/>
                <w:szCs w:val="22"/>
              </w:rPr>
            </w:pPr>
            <w:r>
              <w:rPr>
                <w:rFonts w:ascii="楷体" w:eastAsia="楷体" w:hAnsi="楷体" w:cs="楷体" w:hint="eastAsia"/>
                <w:sz w:val="22"/>
                <w:szCs w:val="22"/>
              </w:rPr>
              <w:t xml:space="preserve">每万份收益</w:t>
            </w:r>
          </w:p>
        </w:tc>
        <w:tc>
          <w:tcPr>
            <w:tcW w:w="1665" w:type="dxa"/>
          </w:tcPr>
          <w:p>
            <w:pPr>
              <w:jc w:val="center"/>
              <w:rPr>
                <w:rFonts w:ascii="楷体" w:eastAsia="楷体" w:hAnsi="楷体" w:cs="楷体"/>
                <w:sz w:val="22"/>
                <w:szCs w:val="22"/>
              </w:rPr>
            </w:pPr>
            <w:r>
              <w:rPr>
                <w:rFonts w:ascii="楷体" w:eastAsia="楷体" w:hAnsi="楷体" w:cs="楷体" w:hint="eastAsia"/>
                <w:sz w:val="22"/>
                <w:szCs w:val="22"/>
              </w:rPr>
              <w:t xml:space="preserve">七日年化收益率</w:t>
            </w:r>
          </w:p>
        </w:tc>
        <w:tc>
          <w:tcPr>
            <w:tcW w:w="1861" w:type="dxa"/>
          </w:tcPr>
          <w:p>
            <w:pPr>
              <w:jc w:val="center"/>
              <w:rPr>
                <w:rFonts w:ascii="楷体" w:eastAsia="楷体" w:hAnsi="楷体" w:cs="楷体"/>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sz w:val="22"/>
                <w:szCs w:val="22"/>
              </w:rPr>
            </w:pPr>
            <w:r>
              <w:rPr>
                <w:rFonts w:ascii="楷体" w:eastAsia="楷体" w:hAnsi="楷体" w:cs="楷体" w:hint="eastAsia"/>
                <w:sz w:val="22"/>
                <w:szCs w:val="22"/>
              </w:rPr>
              <w:t xml:space="preserve">2025-12-31</w:t>
            </w:r>
          </w:p>
        </w:tc>
        <w:tc>
          <w:tcPr>
            <w:tcW w:w="2085" w:type="dxa"/>
          </w:tcPr>
          <w:p>
            <w:pPr>
              <w:jc w:val="center"/>
              <w:rPr>
                <w:rFonts w:ascii="楷体" w:eastAsia="楷体" w:hAnsi="楷体" w:cs="楷体"/>
                <w:sz w:val="22"/>
                <w:szCs w:val="22"/>
              </w:rPr>
            </w:pPr>
            <w:r>
              <w:rPr>
                <w:rFonts w:ascii="楷体" w:eastAsia="楷体" w:hAnsi="楷体" w:cs="楷体" w:hint="eastAsia"/>
                <w:sz w:val="22"/>
                <w:szCs w:val="22"/>
              </w:rPr>
              <w:t xml:space="preserve">苏银理财启源现金1号A</w:t>
            </w:r>
          </w:p>
        </w:tc>
        <w:tc>
          <w:tcPr>
            <w:tcW w:w="1500" w:type="dxa"/>
          </w:tcPr>
          <w:p>
            <w:pPr>
              <w:jc w:val="center"/>
              <w:rPr>
                <w:rFonts w:ascii="楷体" w:eastAsia="楷体" w:hAnsi="楷体" w:cs="楷体"/>
                <w:sz w:val="22"/>
                <w:szCs w:val="22"/>
              </w:rPr>
            </w:pPr>
            <w:r>
              <w:rPr>
                <w:rFonts w:ascii="楷体" w:eastAsia="楷体" w:hAnsi="楷体" w:cs="楷体" w:hint="eastAsia"/>
                <w:sz w:val="22"/>
                <w:szCs w:val="22"/>
              </w:rPr>
              <w:t xml:space="preserve">0.3771</w:t>
            </w:r>
          </w:p>
        </w:tc>
        <w:tc>
          <w:tcPr>
            <w:tcW w:w="1665" w:type="dxa"/>
          </w:tcPr>
          <w:p>
            <w:pPr>
              <w:jc w:val="center"/>
              <w:rPr>
                <w:rFonts w:ascii="楷体" w:eastAsia="楷体" w:hAnsi="楷体" w:cs="楷体"/>
                <w:sz w:val="22"/>
                <w:szCs w:val="22"/>
              </w:rPr>
            </w:pPr>
            <w:r>
              <w:rPr>
                <w:rFonts w:ascii="楷体" w:eastAsia="楷体" w:hAnsi="楷体" w:cs="楷体" w:hint="eastAsia"/>
                <w:sz w:val="22"/>
                <w:szCs w:val="22"/>
              </w:rPr>
              <w:t xml:space="preserve">1.40%</w:t>
            </w:r>
          </w:p>
        </w:tc>
        <w:tc>
          <w:tcPr>
            <w:tcW w:w="1861" w:type="dxa"/>
          </w:tcPr>
          <w:p>
            <w:pPr>
              <w:jc w:val="center"/>
              <w:rPr>
                <w:rFonts w:ascii="楷体" w:eastAsia="楷体" w:hAnsi="楷体" w:cs="楷体"/>
                <w:sz w:val="22"/>
                <w:szCs w:val="22"/>
              </w:rPr>
            </w:pPr>
            <w:r>
              <w:rPr>
                <w:rFonts w:ascii="楷体" w:eastAsia="楷体" w:hAnsi="楷体" w:cs="楷体" w:hint="eastAsia"/>
                <w:sz w:val="22"/>
                <w:szCs w:val="22"/>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苏银理财启源现金1号DG</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0.3771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1.40%</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苏银理财启源现金1号DG2</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0.4593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1.70%</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苏银理财启源现金1号DG3</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0.4566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1.69%</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苏银理财启源现金1号DG4</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0.4948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1.82%</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苏银理财启源现金1号E</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0.3963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1.47%</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苏银理财启源现金1号F</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0.3771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1.40%</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苏银理财启源现金1号G</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0.3716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1.38%</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苏银理财启源现金1号H</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0.3771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1.40%</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苏银理财启源现金1号J</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0.3579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1.32%</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苏银理财启源现金1号K</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0.3771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1.40%</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苏银理财启源现金1号M</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0.4429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1.84%</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苏银理财启源现金1号N</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0.4319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1.60%</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苏银理财启源现金1号P</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0.4319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1.60%</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苏银理财启源现金1号Q</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0.6612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2.44%</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苏银理财启源现金1号S</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0.3771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1.40%</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苏银理财启源现金1号T</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0.4429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1.64%</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苏银理财启源现金1号W</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0.3032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苏银理财启源现金1号WS</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0.3497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1.29%</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苏银理财启源现金1号X</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0.3771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1.40%</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苏银理财启源现金1号（代发专享）</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0.4319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1.60%</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bl>
    <w:p>
      <w:pPr>
        <w:rPr>
          <w:rFonts w:ascii="楷体" w:eastAsia="楷体" w:hAnsi="楷体" w:cs="楷体"/>
        </w:rPr>
      </w:pPr>
    </w:p>
    <w:p>
      <w:pPr>
        <w:rPr>
          <w:rFonts w:ascii="楷体" w:eastAsia="楷体" w:hAnsi="楷体" w:cs="楷体"/>
          <w:sz w:val="21"/>
          <w:szCs w:val="21"/>
        </w:rPr>
      </w:pPr>
      <w:r>
        <w:rPr>
          <w:rFonts w:ascii="楷体" w:eastAsia="楷体" w:hAnsi="楷体" w:cs="楷体" w:hint="eastAsia"/>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rPr>
      </w:pPr>
    </w:p>
    <w:p>
      <w:pPr>
        <w:pStyle w:val="Heading3"/>
        <w:ind w:left="0"/>
        <w:rPr>
          <w:rFonts w:ascii="楷体" w:hAnsi="楷体" w:cs="楷体"/>
        </w:rPr>
      </w:pPr>
      <w:r>
        <w:rPr>
          <w:rFonts w:ascii="楷体" w:hAnsi="楷体" w:cs="楷体" w:hint="eastAsia"/>
        </w:rPr>
        <w:t xml:space="preserve">三、产品投资组合情况</w:t>
      </w:r>
    </w:p>
    <w:p>
      <w:pPr>
        <w:pStyle w:val="Heading3"/>
        <w:rPr>
          <w:rFonts w:ascii="楷体" w:hAnsi="楷体" w:cs="楷体"/>
          <w:b w:val="0"/>
          <w:sz w:val="21"/>
        </w:rPr>
      </w:pPr>
      <w:r>
        <w:rPr>
          <w:rFonts w:ascii="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59"/>
        <w:gridCol w:w="2644"/>
        <w:gridCol w:w="2670"/>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序号</w:t>
            </w:r>
          </w:p>
        </w:tc>
        <w:tc>
          <w:tcPr>
            <w:tcW w:w="2259"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直接投资占总资产的比例</w:t>
            </w:r>
          </w:p>
        </w:tc>
        <w:tc>
          <w:tcPr>
            <w:tcW w:w="2670"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1</w:t>
            </w:r>
          </w:p>
        </w:tc>
        <w:tc>
          <w:tcPr>
            <w:tcW w:w="2259"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固定收益类</w:t>
            </w:r>
          </w:p>
        </w:tc>
        <w:tc>
          <w:tcPr>
            <w:tcW w:w="2644"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78.00%</w:t>
            </w:r>
          </w:p>
        </w:tc>
        <w:tc>
          <w:tcPr>
            <w:tcW w:w="2670"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22.00%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2986" w:type="dxa"/>
            <w:gridSpan w:val="2"/>
            <w:shd w:val="clear" w:color="auto" w:fill="auto"/>
            <w:vAlign w:val="center"/>
          </w:tcPr>
          <w:p>
            <w:pPr>
              <w:jc w:val="center"/>
              <w:rPr>
                <w:rFonts w:ascii="楷体" w:eastAsia="楷体" w:hAnsi="楷体" w:cs="楷体"/>
                <w:sz w:val="22"/>
                <w:szCs w:val="22"/>
              </w:rPr>
            </w:pPr>
            <w:r>
              <w:rPr>
                <w:rFonts w:ascii="楷体" w:eastAsia="楷体" w:hAnsi="楷体" w:cs="楷体" w:hint="eastAsia"/>
                <w:sz w:val="22"/>
                <w:szCs w:val="22"/>
              </w:rPr>
              <w:t xml:space="preserve">合计</w:t>
            </w:r>
          </w:p>
        </w:tc>
        <w:tc>
          <w:tcPr>
            <w:tcW w:w="2644" w:type="dxa"/>
            <w:shd w:val="clear" w:color="auto" w:fill="auto"/>
            <w:vAlign w:val="center"/>
          </w:tcPr>
          <w:p>
            <w:pPr>
              <w:jc w:val="center"/>
              <w:rPr>
                <w:rFonts w:ascii="楷体" w:eastAsia="楷体" w:hAnsi="楷体" w:cs="楷体"/>
                <w:sz w:val="22"/>
                <w:szCs w:val="22"/>
              </w:rPr>
            </w:pPr>
            <w:r>
              <w:rPr>
                <w:rFonts w:ascii="楷体" w:eastAsia="楷体" w:hAnsi="楷体" w:cs="楷体" w:hint="eastAsia"/>
                <w:sz w:val="22"/>
                <w:szCs w:val="22"/>
              </w:rPr>
              <w:t xml:space="preserve">78.00%</w:t>
            </w:r>
          </w:p>
        </w:tc>
        <w:tc>
          <w:tcPr>
            <w:tcW w:w="2670" w:type="dxa"/>
            <w:shd w:val="clear" w:color="auto" w:fill="FFFFFF"/>
            <w:vAlign w:val="center"/>
          </w:tcPr>
          <w:p>
            <w:pPr>
              <w:jc w:val="center"/>
              <w:rPr>
                <w:rFonts w:ascii="楷体" w:eastAsia="楷体" w:hAnsi="楷体" w:cs="楷体"/>
                <w:sz w:val="22"/>
                <w:szCs w:val="22"/>
              </w:rPr>
            </w:pPr>
            <w:r>
              <w:rPr>
                <w:rFonts w:ascii="楷体" w:eastAsia="楷体" w:hAnsi="楷体" w:cs="楷体" w:hint="eastAsia"/>
                <w:sz w:val="22"/>
                <w:szCs w:val="22"/>
              </w:rPr>
              <w:t xml:space="preserve">22.00%</w:t>
            </w:r>
          </w:p>
        </w:tc>
      </w:tr>
    </w:tbl>
    <w:p>
      <w:pPr>
        <w:rPr>
          <w:rFonts w:ascii="楷体" w:eastAsia="楷体" w:hAnsi="楷体" w:cs="楷体"/>
        </w:rPr>
      </w:pPr>
    </w:p>
    <w:p>
      <w:pPr>
        <w:pStyle w:val="Heading3"/>
        <w:ind w:left="0"/>
        <w:rPr>
          <w:rFonts w:ascii="楷体" w:hAnsi="楷体" w:cs="楷体"/>
          <w:b w:val="0"/>
          <w:sz w:val="21"/>
        </w:rPr>
      </w:pPr>
      <w:r>
        <w:rPr>
          <w:rFonts w:ascii="楷体" w:hAnsi="楷体" w:cs="楷体" w:hint="eastAsia"/>
          <w:b w:val="0"/>
          <w:sz w:val="21"/>
        </w:rPr>
        <w:t xml:space="preserve">（二）期末理财产品持有的前十项资产</w:t>
      </w:r>
    </w:p>
    <w:tbl>
      <w:tblPr>
        <w:tblStyle w:val="TableNormal"/>
        <w:tblW w:w="861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jc w:val="center"/>
        </w:trPr>
        <w:tc>
          <w:tcPr>
            <w:tcW w:w="873"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jc w:val="center"/>
        </w:trPr>
        <w:tc>
          <w:tcPr>
            <w:tcW w:w="873" w:type="dxa"/>
            <w:vAlign w:val="center"/>
          </w:tcPr>
          <w:p>
            <w:pPr>
              <w:jc w:val="center"/>
              <w:rPr>
                <w:rFonts w:ascii="楷体" w:eastAsia="楷体" w:hAnsi="楷体" w:cs="楷体"/>
                <w:sz w:val="22"/>
              </w:rPr>
            </w:pPr>
            <w:r>
              <w:rPr>
                <w:rFonts w:ascii="楷体" w:eastAsia="楷体" w:hAnsi="楷体" w:cs="楷体" w:hint="eastAsia"/>
                <w:sz w:val="22"/>
              </w:rPr>
              <w:t xml:space="preserve">1</w:t>
            </w:r>
          </w:p>
        </w:tc>
        <w:tc>
          <w:tcPr>
            <w:tcW w:w="2434" w:type="dxa"/>
            <w:vAlign w:val="center"/>
          </w:tcPr>
          <w:p>
            <w:pPr>
              <w:jc w:val="center"/>
              <w:rPr>
                <w:rFonts w:ascii="楷体" w:eastAsia="楷体" w:hAnsi="楷体" w:cs="楷体"/>
                <w:sz w:val="22"/>
              </w:rPr>
            </w:pPr>
            <w:r>
              <w:rPr>
                <w:rFonts w:ascii="楷体" w:eastAsia="楷体" w:hAnsi="楷体" w:cs="楷体" w:hint="eastAsia"/>
                <w:sz w:val="22"/>
              </w:rPr>
              <w:t xml:space="preserve">25进出61</w:t>
            </w:r>
          </w:p>
        </w:tc>
        <w:tc>
          <w:tcPr>
            <w:tcW w:w="1275" w:type="dxa"/>
            <w:vAlign w:val="center"/>
          </w:tcPr>
          <w:p>
            <w:pPr>
              <w:jc w:val="center"/>
              <w:rPr>
                <w:rFonts w:ascii="楷体" w:eastAsia="楷体" w:hAnsi="楷体" w:cs="楷体"/>
                <w:sz w:val="22"/>
              </w:rPr>
            </w:pPr>
            <w:r>
              <w:rPr>
                <w:rFonts w:ascii="楷体" w:eastAsia="楷体" w:hAnsi="楷体" w:cs="楷体" w:hint="eastAsia"/>
                <w:sz w:val="22"/>
              </w:rPr>
              <w:t xml:space="preserve">债券</w:t>
            </w:r>
          </w:p>
        </w:tc>
        <w:tc>
          <w:tcPr>
            <w:tcW w:w="2235" w:type="dxa"/>
            <w:vAlign w:val="center"/>
          </w:tcPr>
          <w:p>
            <w:pPr>
              <w:jc w:val="center"/>
              <w:rPr>
                <w:rFonts w:ascii="楷体" w:eastAsia="楷体" w:hAnsi="楷体" w:cs="楷体"/>
                <w:sz w:val="22"/>
              </w:rPr>
            </w:pPr>
            <w:r>
              <w:rPr>
                <w:rFonts w:ascii="楷体" w:eastAsia="楷体" w:hAnsi="楷体" w:cs="楷体" w:hint="eastAsia"/>
                <w:sz w:val="22"/>
              </w:rPr>
              <w:t xml:space="preserve">1,418,556,644.75</w:t>
            </w:r>
          </w:p>
        </w:tc>
        <w:tc>
          <w:tcPr>
            <w:tcW w:w="1800" w:type="dxa"/>
            <w:vAlign w:val="center"/>
          </w:tcPr>
          <w:p>
            <w:pPr>
              <w:jc w:val="center"/>
              <w:rPr>
                <w:rFonts w:ascii="楷体" w:eastAsia="楷体" w:hAnsi="楷体" w:cs="楷体"/>
                <w:sz w:val="22"/>
              </w:rPr>
            </w:pPr>
            <w:r>
              <w:rPr>
                <w:rFonts w:ascii="楷体" w:eastAsia="楷体" w:hAnsi="楷体" w:cs="楷体" w:hint="eastAsia"/>
                <w:sz w:val="22"/>
              </w:rPr>
              <w:t xml:space="preserve">4.17%</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16国开13</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785,529,381.72</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2.31%</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23进出13</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739,080,394.16</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2.17%</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25农发21</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604,711,725.91</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1.78%</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上银慧增利货币B</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525,180,671.07</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1.55%</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514,582,523.45</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1.51%</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银行存款20250121</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508,960,415.90</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1.50%</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25农发01</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505,657,862.97</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1.49%</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25北京银行CD010</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501,967,048.51</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1.48%</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25工商银行CD186</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496,701,746.36</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1.46%</w:t>
            </w:r>
          </w:p>
        </w:tc>
      </w:tr>
    </w:tbl>
    <w:p>
      <w:pPr>
        <w:pStyle w:val="标题4"/>
        <w:rPr>
          <w:rFonts w:ascii="楷体" w:hAnsi="楷体" w:cs="楷体"/>
        </w:rPr>
      </w:pPr>
    </w:p>
    <w:p>
      <w:pPr>
        <w:pStyle w:val="Heading3"/>
        <w:numPr>
          <w:ilvl w:val="0"/>
          <w:numId w:val="3"/>
        </w:numPr>
        <w:rPr>
          <w:rFonts w:ascii="楷体" w:hAnsi="楷体" w:cs="楷体"/>
          <w:b w:val="0"/>
          <w:sz w:val="21"/>
        </w:rPr>
      </w:pPr>
      <w:r>
        <w:rPr>
          <w:rFonts w:ascii="楷体" w:hAnsi="楷体" w:cs="楷体" w:hint="eastAsia"/>
          <w:b w:val="0"/>
          <w:sz w:val="21"/>
        </w:rPr>
        <w:t xml:space="preserve">非标资产情况</w:t>
      </w:r>
    </w:p>
    <w:p>
      <w:pPr>
        <w:ind w:firstLine="220" w:firstLineChars="100"/>
        <w:rPr>
          <w:rFonts w:ascii="楷体" w:eastAsia="楷体" w:hAnsi="楷体" w:cs="楷体"/>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r>
    </w:tbl>
    <w:p>
      <w:pPr>
        <w:pStyle w:val="标题4"/>
        <w:rPr>
          <w:rFonts w:ascii="楷体" w:hAnsi="楷体" w:cs="楷体"/>
        </w:rPr>
      </w:pPr>
    </w:p>
    <w:p>
      <w:pPr>
        <w:spacing w:line="320" w:lineRule="exact"/>
        <w:ind w:firstLine="220" w:firstLineChars="100"/>
        <w:rPr>
          <w:rFonts w:ascii="楷体" w:eastAsia="楷体" w:hAnsi="楷体" w:cs="楷体"/>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r>
    </w:tbl>
    <w:p>
      <w:pPr>
        <w:pStyle w:val="标题4"/>
        <w:rPr>
          <w:rFonts w:ascii="楷体" w:hAnsi="楷体" w:cs="楷体"/>
        </w:rPr>
      </w:pPr>
    </w:p>
    <w:p>
      <w:pPr>
        <w:pStyle w:val="Heading3"/>
        <w:numPr>
          <w:ilvl w:val="0"/>
          <w:numId w:val="3"/>
        </w:numPr>
        <w:ind w:left="120" w:firstLine="0" w:leftChars="0" w:firstLineChars="0"/>
        <w:rPr>
          <w:rFonts w:ascii="楷体" w:hAnsi="楷体" w:cs="楷体" w:hint="eastAsia"/>
          <w:b w:val="0"/>
          <w:sz w:val="21"/>
        </w:rPr>
      </w:pPr>
      <w:r>
        <w:rPr>
          <w:rFonts w:ascii="楷体" w:hAnsi="楷体" w:cs="楷体" w:hint="eastAsia"/>
          <w:b w:val="0"/>
          <w:sz w:val="21"/>
        </w:rPr>
        <w:t xml:space="preserve">关联交易情况</w:t>
      </w:r>
    </w:p>
    <w:p>
      <w:pPr>
        <w:spacing w:line="320" w:lineRule="exact"/>
        <w:ind w:firstLine="220" w:firstLineChars="100"/>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rPr>
      </w:pPr>
    </w:p>
    <w:p>
      <w:pPr>
        <w:ind w:firstLine="220" w:firstLineChars="100"/>
        <w:rPr>
          <w:rFonts w:ascii="楷体" w:eastAsia="楷体" w:hAnsi="楷体" w:cs="楷体"/>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50"/>
        <w:gridCol w:w="1455"/>
        <w:gridCol w:w="1425"/>
        <w:gridCol w:w="2100"/>
        <w:gridCol w:w="2191"/>
      </w:tblGrid>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证券简称</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rPr>
      </w:pPr>
    </w:p>
    <w:p>
      <w:pPr>
        <w:numPr>
          <w:ilvl w:val="0"/>
          <w:numId w:val="4"/>
        </w:numPr>
        <w:ind w:firstLine="220" w:firstLineChars="100"/>
        <w:rPr>
          <w:rFonts w:ascii="楷体" w:eastAsia="楷体" w:hAnsi="楷体" w:cs="楷体"/>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50"/>
        <w:gridCol w:w="1455"/>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金融工具代码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金融工具名称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sz w:val="22"/>
          <w:szCs w:val="24"/>
        </w:rPr>
      </w:pPr>
    </w:p>
    <w:p>
      <w:pPr>
        <w:numPr>
          <w:ilvl w:val="0"/>
          <w:numId w:val="4"/>
        </w:numPr>
        <w:ind w:firstLine="220" w:firstLineChars="100"/>
        <w:rPr>
          <w:rFonts w:ascii="楷体" w:eastAsia="楷体" w:hAnsi="楷体" w:cs="楷体"/>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15"/>
        <w:gridCol w:w="3540"/>
        <w:gridCol w:w="3166"/>
      </w:tblGrid>
      <w:tr>
        <w:tblPrEx>
          <w:tblW w:w="8621" w:type="dxa"/>
          <w:tblInd w:w="0" w:type="dxa"/>
          <w:tblLayout w:type="fixed"/>
          <w:tblCellMar>
            <w:top w:w="0" w:type="dxa"/>
            <w:left w:w="108" w:type="dxa"/>
            <w:bottom w:w="0" w:type="dxa"/>
            <w:right w:w="108" w:type="dxa"/>
          </w:tblCellMar>
        </w:tblPrEx>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江苏银行股份有限公司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1,539,927.72</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1,404,800,207.30</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中信百信银行股份有限公司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200.04</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1,427,010,167.01</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1,112.97</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华泰证券股份有限公司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52,982,546.58</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23,708.54</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6,371,853.87</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江苏镇江农村商业银行股份有限公司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47.32</w:t>
            </w:r>
          </w:p>
        </w:tc>
      </w:tr>
    </w:tbl>
    <w:p>
      <w:pPr>
        <w:pStyle w:val="标题4"/>
        <w:rPr>
          <w:rFonts w:ascii="楷体" w:hAnsi="楷体" w:cs="楷体" w:hint="eastAsia"/>
          <w:sz w:val="21"/>
          <w:szCs w:val="21"/>
        </w:rPr>
      </w:pPr>
      <w:r>
        <w:rPr>
          <w:rFonts w:ascii="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244,000.00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hAnsi="楷体" w:cs="楷体" w:hint="eastAsia"/>
          <w:sz w:val="21"/>
          <w:szCs w:val="21"/>
        </w:rPr>
      </w:pPr>
    </w:p>
    <w:p>
      <w:pPr>
        <w:rPr>
          <w:rFonts w:ascii="楷体" w:eastAsia="楷体" w:hAnsi="楷体" w:cs="楷体"/>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ind w:firstLine="420" w:firstLineChars="200"/>
        <w:rPr>
          <w:rFonts w:ascii="楷体" w:eastAsia="楷体" w:hAnsi="楷体" w:cs="楷体"/>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bCs/>
          <w:kern w:val="0"/>
          <w:szCs w:val="21"/>
        </w:rPr>
      </w:pPr>
    </w:p>
    <w:p>
      <w:pPr>
        <w:rPr>
          <w:rFonts w:ascii="楷体" w:eastAsia="楷体" w:hAnsi="楷体" w:cs="楷体"/>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sz w:val="22"/>
              </w:rPr>
            </w:pPr>
            <w:r>
              <w:rPr>
                <w:rFonts w:ascii="楷体" w:eastAsia="楷体" w:hAnsi="楷体" w:cs="楷体" w:hint="eastAsia"/>
                <w:sz w:val="22"/>
              </w:rPr>
              <w:t xml:space="preserve">31,759,878,969.29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32,761,834,876.97</w:t>
            </w:r>
          </w:p>
        </w:tc>
      </w:tr>
    </w:tbl>
    <w:p>
      <w:pPr>
        <w:pStyle w:val="标题4"/>
        <w:rPr>
          <w:rFonts w:ascii="楷体" w:hAnsi="楷体" w:cs="楷体"/>
        </w:rPr>
      </w:pPr>
    </w:p>
    <w:p>
      <w:pPr>
        <w:pStyle w:val="标题4"/>
        <w:rPr>
          <w:rFonts w:ascii="楷体" w:hAnsi="楷体" w:cs="楷体"/>
          <w:sz w:val="22"/>
          <w:szCs w:val="24"/>
        </w:rPr>
      </w:pPr>
      <w:r>
        <w:rPr>
          <w:rFonts w:ascii="楷体" w:hAnsi="楷体" w:cs="楷体" w:hint="eastAsia"/>
          <w:sz w:val="22"/>
          <w:szCs w:val="24"/>
        </w:rPr>
        <w:t xml:space="preserve">（七）报告期内单一投资者持有产品份额比例达到或者超过总份额20%的情形</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335"/>
        <w:gridCol w:w="1725"/>
        <w:gridCol w:w="1980"/>
        <w:gridCol w:w="1905"/>
        <w:gridCol w:w="16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335" w:type="dxa"/>
          </w:tcPr>
          <w:p>
            <w:pPr>
              <w:pStyle w:val="标题4"/>
              <w:jc w:val="center"/>
              <w:rPr>
                <w:rFonts w:ascii="楷体" w:hAnsi="楷体" w:cs="楷体"/>
                <w:sz w:val="22"/>
                <w:szCs w:val="24"/>
              </w:rPr>
            </w:pPr>
            <w:r>
              <w:rPr>
                <w:rFonts w:ascii="楷体" w:hAnsi="楷体" w:cs="楷体" w:hint="eastAsia"/>
                <w:sz w:val="22"/>
                <w:szCs w:val="24"/>
              </w:rPr>
              <w:t xml:space="preserve">序号</w:t>
            </w:r>
          </w:p>
        </w:tc>
        <w:tc>
          <w:tcPr>
            <w:tcW w:w="1725" w:type="dxa"/>
          </w:tcPr>
          <w:p>
            <w:pPr>
              <w:pStyle w:val="标题4"/>
              <w:jc w:val="center"/>
              <w:rPr>
                <w:rFonts w:ascii="楷体" w:hAnsi="楷体" w:cs="楷体"/>
                <w:sz w:val="22"/>
                <w:szCs w:val="24"/>
              </w:rPr>
            </w:pPr>
            <w:r>
              <w:rPr>
                <w:rFonts w:ascii="楷体" w:hAnsi="楷体" w:cs="楷体" w:hint="eastAsia"/>
                <w:sz w:val="22"/>
                <w:szCs w:val="24"/>
              </w:rPr>
              <w:t xml:space="preserve">投资者类别</w:t>
            </w:r>
          </w:p>
        </w:tc>
        <w:tc>
          <w:tcPr>
            <w:tcW w:w="1980" w:type="dxa"/>
          </w:tcPr>
          <w:p>
            <w:pPr>
              <w:pStyle w:val="标题4"/>
              <w:jc w:val="center"/>
              <w:rPr>
                <w:rFonts w:ascii="楷体" w:hAnsi="楷体" w:cs="楷体"/>
                <w:sz w:val="22"/>
                <w:szCs w:val="24"/>
              </w:rPr>
            </w:pPr>
            <w:r>
              <w:rPr>
                <w:rFonts w:ascii="楷体" w:hAnsi="楷体" w:cs="楷体" w:hint="eastAsia"/>
                <w:sz w:val="22"/>
                <w:szCs w:val="24"/>
              </w:rPr>
              <w:t xml:space="preserve">期末持有份额</w:t>
            </w:r>
          </w:p>
        </w:tc>
        <w:tc>
          <w:tcPr>
            <w:tcW w:w="1905" w:type="dxa"/>
          </w:tcPr>
          <w:p>
            <w:pPr>
              <w:pStyle w:val="标题4"/>
              <w:jc w:val="center"/>
              <w:rPr>
                <w:rFonts w:ascii="楷体" w:hAnsi="楷体" w:cs="楷体"/>
                <w:sz w:val="22"/>
                <w:szCs w:val="24"/>
              </w:rPr>
            </w:pPr>
            <w:r>
              <w:rPr>
                <w:rFonts w:ascii="楷体" w:hAnsi="楷体" w:cs="楷体" w:hint="eastAsia"/>
                <w:sz w:val="22"/>
                <w:szCs w:val="24"/>
              </w:rPr>
              <w:t xml:space="preserve">份额占比</w:t>
            </w:r>
          </w:p>
        </w:tc>
        <w:tc>
          <w:tcPr>
            <w:tcW w:w="1676" w:type="dxa"/>
          </w:tcPr>
          <w:p>
            <w:pPr>
              <w:pStyle w:val="标题4"/>
              <w:jc w:val="center"/>
              <w:rPr>
                <w:rFonts w:ascii="楷体" w:hAnsi="楷体" w:cs="楷体"/>
                <w:sz w:val="22"/>
                <w:szCs w:val="24"/>
              </w:rPr>
            </w:pPr>
            <w:r>
              <w:rPr>
                <w:rFonts w:ascii="楷体" w:hAnsi="楷体" w:cs="楷体" w:hint="eastAsia"/>
                <w:sz w:val="22"/>
                <w:szCs w:val="24"/>
              </w:rPr>
              <w:t xml:space="preserve">报告期内份额变化情况</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335" w:type="dxa"/>
          </w:tcPr>
          <w:p>
            <w:pPr>
              <w:jc w:val="center"/>
              <w:rPr>
                <w:rFonts w:ascii="楷体" w:eastAsia="楷体" w:hAnsi="楷体" w:cs="楷体"/>
                <w:sz w:val="22"/>
              </w:rPr>
            </w:pPr>
            <w:r>
              <w:rPr>
                <w:rFonts w:ascii="楷体" w:eastAsia="楷体" w:hAnsi="楷体" w:cs="楷体" w:hint="eastAsia"/>
                <w:sz w:val="22"/>
              </w:rPr>
              <w:t xml:space="preserve">-</w:t>
            </w:r>
          </w:p>
        </w:tc>
        <w:tc>
          <w:tcPr>
            <w:tcW w:w="1725" w:type="dxa"/>
          </w:tcPr>
          <w:p>
            <w:pPr>
              <w:jc w:val="center"/>
              <w:rPr>
                <w:rFonts w:ascii="楷体" w:eastAsia="楷体" w:hAnsi="楷体" w:cs="楷体"/>
                <w:sz w:val="22"/>
              </w:rPr>
            </w:pPr>
            <w:r>
              <w:rPr>
                <w:rFonts w:ascii="楷体" w:eastAsia="楷体" w:hAnsi="楷体" w:cs="楷体" w:hint="eastAsia"/>
                <w:sz w:val="22"/>
              </w:rPr>
              <w:t xml:space="preserve">-</w:t>
            </w:r>
          </w:p>
        </w:tc>
        <w:tc>
          <w:tcPr>
            <w:tcW w:w="1980" w:type="dxa"/>
          </w:tcPr>
          <w:p>
            <w:pPr>
              <w:jc w:val="center"/>
              <w:rPr>
                <w:rFonts w:ascii="楷体" w:eastAsia="楷体" w:hAnsi="楷体" w:cs="楷体"/>
                <w:sz w:val="22"/>
              </w:rPr>
            </w:pPr>
            <w:r>
              <w:rPr>
                <w:rFonts w:ascii="楷体" w:eastAsia="楷体" w:hAnsi="楷体" w:cs="楷体" w:hint="eastAsia"/>
                <w:sz w:val="22"/>
              </w:rPr>
              <w:t xml:space="preserve">-</w:t>
            </w:r>
          </w:p>
        </w:tc>
        <w:tc>
          <w:tcPr>
            <w:tcW w:w="1905" w:type="dxa"/>
          </w:tcPr>
          <w:p>
            <w:pPr>
              <w:jc w:val="center"/>
              <w:rPr>
                <w:rFonts w:ascii="楷体" w:eastAsia="楷体" w:hAnsi="楷体" w:cs="楷体"/>
                <w:sz w:val="22"/>
              </w:rPr>
            </w:pPr>
            <w:r>
              <w:rPr>
                <w:rFonts w:ascii="楷体" w:eastAsia="楷体" w:hAnsi="楷体" w:cs="楷体" w:hint="eastAsia"/>
                <w:sz w:val="22"/>
              </w:rPr>
              <w:t xml:space="preserve">-</w:t>
            </w:r>
          </w:p>
        </w:tc>
        <w:tc>
          <w:tcPr>
            <w:tcW w:w="1676" w:type="dxa"/>
          </w:tcPr>
          <w:p>
            <w:pPr>
              <w:jc w:val="center"/>
              <w:rPr>
                <w:rFonts w:ascii="楷体" w:eastAsia="楷体" w:hAnsi="楷体" w:cs="楷体"/>
                <w:sz w:val="22"/>
              </w:rPr>
            </w:pPr>
            <w:r>
              <w:rPr>
                <w:rFonts w:ascii="楷体" w:eastAsia="楷体" w:hAnsi="楷体" w:cs="楷体" w:hint="eastAsia"/>
                <w:sz w:val="22"/>
              </w:rPr>
              <w:t xml:space="preserve">-</w:t>
            </w:r>
          </w:p>
        </w:tc>
      </w:tr>
    </w:tbl>
    <w:p>
      <w:pPr>
        <w:pStyle w:val="Heading3"/>
        <w:rPr>
          <w:rFonts w:ascii="楷体" w:hAnsi="楷体" w:cs="楷体"/>
        </w:rPr>
      </w:pPr>
    </w:p>
    <w:p>
      <w:pPr>
        <w:pStyle w:val="Heading3"/>
        <w:rPr>
          <w:rFonts w:ascii="楷体" w:hAnsi="楷体" w:cs="楷体"/>
        </w:rPr>
      </w:pPr>
      <w:r>
        <w:rPr>
          <w:rFonts w:ascii="楷体" w:hAnsi="楷体" w:cs="楷体" w:hint="eastAsia"/>
        </w:rPr>
        <w:t xml:space="preserve">四</w:t>
      </w:r>
      <w:r>
        <w:rPr>
          <w:rFonts w:ascii="楷体" w:hAnsi="楷体" w:cs="楷体" w:hint="eastAsia"/>
          <w:lang w:eastAsia="zh-CN"/>
        </w:rPr>
        <w:t xml:space="preserve">、</w:t>
      </w:r>
      <w:r>
        <w:rPr>
          <w:rFonts w:ascii="楷体" w:hAnsi="楷体" w:cs="楷体" w:hint="eastAsia"/>
        </w:rPr>
        <w:t xml:space="preserve">投资运作情况</w:t>
      </w:r>
    </w:p>
    <w:p>
      <w:pPr>
        <w:pStyle w:val="Heading3"/>
        <w:rPr>
          <w:rFonts w:ascii="楷体" w:hAnsi="楷体" w:cs="楷体"/>
          <w:b w:val="0"/>
          <w:sz w:val="21"/>
        </w:rPr>
      </w:pPr>
      <w:r>
        <w:rPr>
          <w:rFonts w:ascii="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spacing w:val="8"/>
          <w:sz w:val="21"/>
        </w:rPr>
      </w:pPr>
      <w:r>
        <w:rPr>
          <w:rFonts w:ascii="楷体" w:eastAsia="楷体" w:hAnsi="楷体" w:cs="楷体" w:hint="eastAsia"/>
          <w:spacing w:val="8"/>
          <w:sz w:val="21"/>
        </w:rPr>
        <w:t xml:space="preserve">    2025年四季度，面对复杂的国内外环境与三季度以来的增长压力，宏观政策导向自“反内卷”适时转向内需支撑，财政与货币政策协同发力，巩固了经济回升向好基础，确保全年经济社会发展目标顺利实现。经济运行稳中趋缓，债券市场则在政策调整与预期博弈中经历结构调整。</w:t>
      </w:r>
      <w:r>
        <w:rPr>
          <w:rFonts w:ascii="楷体" w:eastAsia="楷体" w:hAnsi="楷体" w:cs="楷体" w:hint="eastAsia"/>
          <w:spacing w:val="8"/>
          <w:sz w:val="21"/>
        </w:rPr>
        <w:br/>
      </w:r>
      <w:r>
        <w:rPr>
          <w:rFonts w:ascii="楷体" w:eastAsia="楷体" w:hAnsi="楷体" w:cs="楷体" w:hint="eastAsia"/>
          <w:spacing w:val="8"/>
          <w:sz w:val="21"/>
        </w:rPr>
        <w:t xml:space="preserve">    从经济基本面看，四季度经济运行稳中趋缓，但仍展现出较强韧性。四季度内需仍然较弱，物价仍在低位运行，出口增速保持韧性，人民币汇率呈升值趋势，市场流动性保持宽松，但财政支出力度有所减弱，财政支出力度前高后低是导致四季度经济增速放缓的主因之一。整体来看，2025年四季度经济增速或继续放缓，全年经济增速前高后低，仍有望实现5%的增速。债券市场方面，四季度一致预期强化，债市弱势震荡。10月关税扰动再起，二十届四中全会和十五五规划出台，央行重启公开市场国债买卖，市场对货币宽松预期进一步升温，是10月债市下行的主要推动。11月，央行买债规模不及预期，叠加市场担忧公募基金销售新规落地，利率小幅上行。三季度货币政策执行报告重提跨周期调节，公募销售新规扰动不断，万科公告债务展期，债市情绪偏谨慎。进入12月，经济基本面持续承压，债市供求也进入季节性有利阶段，但利率延续上行。赎回扰动不断出现，市场对明年超长债供给有一定担忧，叠加银行相关指标承压，30-10年国债利差走扩，十年国债利率也一度触及1.85%高点。</w:t>
      </w:r>
      <w:r>
        <w:rPr>
          <w:rFonts w:ascii="楷体" w:eastAsia="楷体" w:hAnsi="楷体" w:cs="楷体" w:hint="eastAsia"/>
          <w:spacing w:val="8"/>
          <w:sz w:val="21"/>
        </w:rPr>
        <w:br/>
      </w:r>
      <w:r>
        <w:rPr>
          <w:rFonts w:ascii="楷体" w:eastAsia="楷体" w:hAnsi="楷体" w:cs="楷体" w:hint="eastAsia"/>
          <w:spacing w:val="8"/>
          <w:sz w:val="21"/>
        </w:rPr>
        <w:t xml:space="preserve">    报告期内，债券市场震荡走弱。管理人积极对照监管要求，严格管控现金管理类产品的信用风险、久期风险、集中度风险和流动性风险。在资产配置策略上选择以同业存单、利率债、回购和银行存款等低风险资产为主，增加了存款和回购投资比例。在收益率震荡上行的过程中，逢高配置了部分债券类资产，同时储备了一波利率相对较高的长期存款类资产。相关资产的配置主要抓住资金面波动时点进行，兼顾资产类别和期限的总体均衡，较好的把握了波段性机会。此外，本产品采用较多的杠杆策略、交易策略以及货基增强策略，成功获取一定的超额收益。</w:t>
      </w:r>
    </w:p>
    <w:p>
      <w:pPr>
        <w:pStyle w:val="BodyText"/>
        <w:spacing w:before="43" w:line="275" w:lineRule="auto"/>
        <w:ind w:right="1799" w:firstLine="226" w:firstLineChars="100"/>
        <w:rPr>
          <w:rFonts w:ascii="楷体" w:eastAsia="楷体" w:hAnsi="楷体" w:cs="楷体"/>
          <w:spacing w:val="8"/>
          <w:sz w:val="21"/>
        </w:rPr>
      </w:pPr>
    </w:p>
    <w:p>
      <w:pPr>
        <w:pStyle w:val="Heading3"/>
        <w:rPr>
          <w:rFonts w:ascii="楷体" w:hAnsi="楷体" w:cs="楷体"/>
          <w:b w:val="0"/>
          <w:sz w:val="21"/>
        </w:rPr>
      </w:pPr>
      <w:r>
        <w:rPr>
          <w:rFonts w:ascii="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sz w:val="21"/>
        </w:rPr>
      </w:pPr>
      <w:r>
        <w:rPr>
          <w:rFonts w:ascii="楷体" w:eastAsia="楷体" w:hAnsi="楷体" w:cs="楷体" w:hint="eastAsia"/>
          <w:spacing w:val="9"/>
          <w:sz w:val="21"/>
        </w:rPr>
        <w:t xml:space="preserve">    展望2026年一季度，政策前置发力的预期较高，通胀回升将修复名义GDP，外部环境短暂缓和，对债市偏利空。货币政策预计将维持适度宽松，但降准降息等总量工具的使用将更为审慎，结构性工具为主导。风险偏好上，2025年12月下旬以来“春季行情”的预期持续升温，市场情绪高涨，今年一季度股市预计将延续偏强走势，对债市形成压制。整体来看，债市一季度预计延续偏弱运行，趋势性行情仍需等待更明确的宏观信号，配置上一季度重在防御，择机适当布局。</w:t>
      </w:r>
      <w:r>
        <w:rPr>
          <w:rFonts w:ascii="楷体" w:eastAsia="楷体" w:hAnsi="楷体" w:cs="楷体" w:hint="eastAsia"/>
          <w:spacing w:val="9"/>
          <w:sz w:val="21"/>
        </w:rPr>
        <w:br/>
      </w:r>
      <w:r>
        <w:rPr>
          <w:rFonts w:ascii="楷体" w:eastAsia="楷体" w:hAnsi="楷体" w:cs="楷体" w:hint="eastAsia"/>
          <w:spacing w:val="9"/>
          <w:sz w:val="21"/>
        </w:rPr>
        <w:t xml:space="preserve">    后续，本产品管理人将继续依托国内外宏观和微观深入研究分析，采取扎实稳健的投资策略，继续严格遵照资管系列新规要求，聚焦高等级的各类标准化债权资产和高流动性的银行间与沪深交易所标的进行投资，在满足投资者流动性需求的同时，努力争取较好的组合管理收益。</w:t>
      </w:r>
    </w:p>
    <w:p>
      <w:pPr>
        <w:ind w:firstLine="420" w:firstLineChars="200"/>
        <w:rPr>
          <w:rFonts w:ascii="楷体" w:eastAsia="楷体" w:hAnsi="楷体" w:cs="楷体"/>
          <w:bCs/>
          <w:kern w:val="0"/>
          <w:szCs w:val="21"/>
        </w:rPr>
      </w:pPr>
    </w:p>
    <w:p>
      <w:pPr>
        <w:pStyle w:val="Heading3"/>
        <w:rPr>
          <w:rFonts w:ascii="楷体" w:hAnsi="楷体" w:cs="楷体"/>
          <w:b w:val="0"/>
          <w:sz w:val="21"/>
        </w:rPr>
      </w:pPr>
      <w:r>
        <w:rPr>
          <w:rFonts w:ascii="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sz w:val="21"/>
        </w:rPr>
      </w:pPr>
      <w:r>
        <w:rPr>
          <w:rFonts w:ascii="楷体" w:eastAsia="楷体" w:hAnsi="楷体" w:cs="楷体" w:hint="eastAsia"/>
          <w:spacing w:val="9"/>
          <w:sz w:val="21"/>
        </w:rPr>
        <w:t xml:space="preserve">    2025年四季度，市场流动性整体宽松，本产品在投资高流动性的利率债和AAA存单以外，动态调整产品杠杆率，充分做好资金准备，平稳度过各关键时点，充分满足了产品的流动性需求，保障了投资者的赎回需求。</w:t>
      </w:r>
      <w:r>
        <w:rPr>
          <w:rFonts w:ascii="楷体" w:eastAsia="楷体" w:hAnsi="楷体" w:cs="楷体" w:hint="eastAsia"/>
          <w:spacing w:val="9"/>
          <w:sz w:val="21"/>
        </w:rPr>
        <w:br/>
      </w:r>
      <w:r>
        <w:rPr>
          <w:rFonts w:ascii="楷体" w:eastAsia="楷体" w:hAnsi="楷体" w:cs="楷体" w:hint="eastAsia"/>
          <w:spacing w:val="9"/>
          <w:sz w:val="21"/>
        </w:rPr>
        <w:t xml:space="preserve">    展望后市，本产品将继续重点投资信用等级较高、流动性较好的各类标的，做好资金安排和流动性预判，充分满足产品流动性需求。</w:t>
      </w:r>
    </w:p>
    <w:p>
      <w:pPr>
        <w:ind w:firstLine="420" w:firstLineChars="200"/>
        <w:rPr>
          <w:rFonts w:ascii="楷体" w:eastAsia="楷体" w:hAnsi="楷体" w:cs="楷体"/>
          <w:bCs/>
          <w:kern w:val="0"/>
          <w:szCs w:val="21"/>
        </w:rPr>
      </w:pPr>
    </w:p>
    <w:p>
      <w:pPr>
        <w:rPr>
          <w:rFonts w:ascii="楷体" w:eastAsia="楷体" w:hAnsi="楷体" w:cs="楷体"/>
        </w:rPr>
      </w:pPr>
    </w:p>
    <w:p>
      <w:pPr>
        <w:ind w:firstLine="420" w:firstLineChars="200"/>
        <w:rPr>
          <w:rFonts w:ascii="楷体" w:eastAsia="楷体" w:hAnsi="楷体" w:cs="楷体"/>
          <w:bCs/>
          <w:kern w:val="0"/>
          <w:szCs w:val="21"/>
        </w:rPr>
      </w:pPr>
    </w:p>
    <w:p>
      <w:pPr>
        <w:rPr>
          <w:rFonts w:ascii="楷体" w:eastAsia="楷体" w:hAnsi="楷体" w:cs="楷体"/>
          <w:sz w:val="15"/>
          <w:szCs w:val="15"/>
        </w:rPr>
      </w:pPr>
    </w:p>
    <w:p>
      <w:pPr>
        <w:jc w:val="right"/>
        <w:rPr>
          <w:rFonts w:ascii="楷体" w:eastAsia="楷体" w:hAnsi="楷体" w:cs="楷体"/>
          <w:b/>
          <w:bCs/>
          <w:sz w:val="21"/>
          <w:szCs w:val="21"/>
        </w:rPr>
      </w:pPr>
      <w:r>
        <w:rPr>
          <w:rFonts w:ascii="楷体" w:eastAsia="楷体" w:hAnsi="楷体" w:cs="楷体" w:hint="eastAsia"/>
          <w:b/>
          <w:bCs/>
          <w:sz w:val="21"/>
          <w:szCs w:val="21"/>
        </w:rPr>
        <w:t xml:space="preserve">苏银理财有限责任公司</w:t>
      </w:r>
    </w:p>
    <w:p>
      <w:pPr>
        <w:jc w:val="right"/>
        <w:rPr>
          <w:rFonts w:ascii="楷体" w:eastAsia="楷体" w:hAnsi="楷体" w:cs="楷体"/>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228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228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228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228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2025-10-14T02:25:40Z</dcterms:modified>
  <cp:revision>29</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0</TotalTime>
  <ScaleCrop>false</ScaleCrop>
  <LinksUpToDate>false</LinksUpToDate>
  <CharactersWithSpaces>2985</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4</Pages>
  <Words>446</Words>
  <Characters>2544</Characters>
  <Application>WPS Office_10.8.2.7119_F1E327BC-269C-435d-A152-05C5408002CA</Application>
  <DocSecurity>0</DocSecurity>
  <Lines>21</Lines>
  <Paragraphs>5</Paragraphs>
  <Company>WORKGROUP</Company>
  <CharactersWithSpaces>2985</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29</cp:revision>
  <dcterms:created xsi:type="dcterms:W3CDTF">2021-11-18T10:04:00Z</dcterms:created>
  <dcterms:modified xsi:type="dcterms:W3CDTF">2026-01-21T08:44:44Z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