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苏银理财恒源日申月持1号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苏银理财恒源日申月持1号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2021年07月30日</w:t>
      </w:r>
      <w:r>
        <w:rPr>
          <w:rFonts w:ascii="楷体" w:eastAsia="楷体" w:hAnsi="楷体" w:cs="楷体" w:hint="eastAsia"/>
        </w:rPr>
        <w:t xml:space="preserve">成立，于</w:t>
      </w:r>
      <w:r>
        <w:rPr>
          <w:rFonts w:ascii="楷体" w:eastAsia="楷体" w:hAnsi="楷体" w:cs="楷体" w:hint="eastAsia"/>
          <w:spacing w:val="-7"/>
        </w:rPr>
        <w:t xml:space="preserve">2021年07月30日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苏银理财恒源日申月持1号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6,500,365,796.70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7,442,408,518.46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31000188000436380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7,444,593,638.15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苏银理财恒源日申月持1号A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1.139225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1.139225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苏银理财恒源日申月持1号A滚续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1.147468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1.147468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1.141565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1.141565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苏银理财恒源日申月持1号B滚续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1.142377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1.142377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1.144699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1.144699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苏银理财恒源日申月持1号C滚续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1.145401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1.145401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1.145407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1.145407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苏银理财恒源日申月持1号D滚续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1.146089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1.146089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苏银理财恒源日申月持1号E滚续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1.147050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1.147050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1.138893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1.138893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1.145283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1.145283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苏银理财恒源日申月持1号Q滚续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1.147623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1.147623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苏银理财恒源日申月持1号ZJ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1.145519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1.145519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苏银理财恒源日申月持1号（北部湾银行专属）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1.145187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1.145187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苏银理财恒源日申月持1号（代发专享）滚续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1.146142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1.146142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苏银理财恒源日申月持1号（芙蓉锦程·优选）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1.146228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1.146228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1.70%-2.70%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54.65%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45.35%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54.65%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45.35%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887,895,112.68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492,125,783.43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25建设银行CD226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298,111,939.73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223,214,778.01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200,730,992.13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25浦发银行CD104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199,121,242.19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159,850,933.77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24启国01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104,302,917.81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24新水01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104,250,064.38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24连农01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104,248,186.30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198,424,706.00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98,807,395.00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425,518,153.00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40,269,419.00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97,665,788.00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江苏镇江农村商业银行股份有限公司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964.38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194,500,000.00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440,326.43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6,213.49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10,087,641.97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1,080,176,316.41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1,640,884.11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6,500,365,796.70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8,399,082,496.22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四季度我国经济在外部环境改善与内部结构优化共同作用下保持平稳运行，结构优化升级特征明显，新动能成长势头良好。需求端呈现外强内稳格局。外需保持较强韧性，对欧盟、东盟等市场出口保持稳定增长。</w:t>
      </w:r>
      <w:r>
        <w:rPr>
          <w:rFonts w:ascii="楷体" w:eastAsia="楷体" w:hAnsi="楷体" w:cs="楷体" w:hint="eastAsia"/>
          <w:spacing w:val="8"/>
          <w:sz w:val="21"/>
        </w:rPr>
        <w:br/>
      </w:r>
      <w:r>
        <w:rPr>
          <w:rFonts w:ascii="楷体" w:eastAsia="楷体" w:hAnsi="楷体" w:cs="楷体" w:hint="eastAsia"/>
          <w:spacing w:val="8"/>
          <w:sz w:val="21"/>
        </w:rPr>
        <w:t xml:space="preserve">　　经济景气水平呈现总体回升态势。受稳增长政策发力显效，12月，制造业PMI、非制造业商务活动指数和综合PMI产出指数分别为50.1%、50.2%和50.7%，三大指数均升至扩张区间，印证经济复苏趋势。</w:t>
      </w:r>
      <w:r>
        <w:rPr>
          <w:rFonts w:ascii="楷体" w:eastAsia="楷体" w:hAnsi="楷体" w:cs="楷体" w:hint="eastAsia"/>
          <w:spacing w:val="8"/>
          <w:sz w:val="21"/>
        </w:rPr>
        <w:br/>
      </w:r>
      <w:r>
        <w:rPr>
          <w:rFonts w:ascii="楷体" w:eastAsia="楷体" w:hAnsi="楷体" w:cs="楷体" w:hint="eastAsia"/>
          <w:spacing w:val="8"/>
          <w:sz w:val="21"/>
        </w:rPr>
        <w:t xml:space="preserve">　　四季度以来债市呈现短强长震、结构分化的震荡修复态势，利率债在三季度回调后逐步企稳，短端品种受益于资金面持续宽松表现领先，而10年期国债收益率围绕1.8%中枢窄幅整理；信用债先在央行重启国债买卖、化债政策推进下配置情绪修复，后因机构赎回、个别弱资质主体风险事件等事件扰动出现回调。流动性方面，央行加大跨年资金投放维持流动性充裕，整体市场受机构博弈、政策预期及供需结构等多重因素交织影响，结构性机会与风险并存。</w:t>
      </w:r>
      <w:r>
        <w:rPr>
          <w:rFonts w:ascii="楷体" w:eastAsia="楷体" w:hAnsi="楷体" w:cs="楷体" w:hint="eastAsia"/>
          <w:spacing w:val="8"/>
          <w:sz w:val="21"/>
        </w:rPr>
        <w:br/>
      </w:r>
      <w:r>
        <w:rPr>
          <w:rFonts w:ascii="楷体" w:eastAsia="楷体" w:hAnsi="楷体" w:cs="楷体" w:hint="eastAsia"/>
          <w:spacing w:val="8"/>
          <w:sz w:val="21"/>
        </w:rPr>
        <w:t xml:space="preserve">　　日申月持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2026年一季度，十五五开局之年叠加信贷节奏的不断前置，1月份新增信贷大概率创出历史新高；12月的PMI数据显示出口链保持韧性，供需两端均有恢复，开年经济总体情况似乎也将有所改善，考虑到当前绝对收益率水平尚可，债市开年虽难有趋势性机会，但配置和短线交易价值仍具有较好性价比。后续来看，信用配置仍是首选，债市波动之中，将通过精选票息资产增加信用债仓位占比至合意水平，参与会更加谨慎。</w:t>
      </w:r>
      <w:r>
        <w:rPr>
          <w:rFonts w:ascii="楷体" w:eastAsia="楷体" w:hAnsi="楷体" w:cs="楷体" w:hint="eastAsia"/>
          <w:spacing w:val="9"/>
          <w:sz w:val="21"/>
        </w:rPr>
        <w:br/>
      </w:r>
      <w:r>
        <w:rPr>
          <w:rFonts w:ascii="楷体" w:eastAsia="楷体" w:hAnsi="楷体" w:cs="楷体" w:hint="eastAsia"/>
          <w:spacing w:val="9"/>
          <w:sz w:val="21"/>
        </w:rPr>
        <w:t xml:space="preserve">　　本组合将根据市场情况择机参与交易机会，致力于为广大投资者创造长期稳健的投资回报。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45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45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45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45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2026-01-21T10:45:03Z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