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苏银理财恒源季开放2号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苏银理财恒源季开放2号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2022年01月21日</w:t>
      </w:r>
      <w:r>
        <w:rPr>
          <w:rFonts w:ascii="楷体" w:eastAsia="楷体" w:hAnsi="楷体" w:cs="楷体" w:hint="eastAsia"/>
        </w:rPr>
        <w:t xml:space="preserve">成立，于</w:t>
      </w:r>
      <w:r>
        <w:rPr>
          <w:rFonts w:ascii="楷体" w:eastAsia="楷体" w:hAnsi="楷体" w:cs="楷体" w:hint="eastAsia"/>
          <w:spacing w:val="-7"/>
        </w:rPr>
        <w:t xml:space="preserve">2022年01月21日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苏银理财恒源季开放2号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1,251,183,110.87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1,417,727,565.17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31000188000470649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1,418,144,925.76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苏银理财恒源季开放2号A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1.131374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1.131374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苏银理财恒源季开放2号C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1.135766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1.135766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苏银理财恒源季开放2号D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1.135739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1.135739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苏银理财恒源季开放2号E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1.138047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1.138047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苏银理财恒源季开放2号F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1.131469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1.131469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苏银理财恒源季开放2号S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1.131871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1.131871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苏银理财恒源季开放2号W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1.131410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1.131410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20.15%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76.24%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3.61%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23.76%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76.24%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24六开01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73,023,263.57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24东部01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67,634,739.39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24海兴01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52,150,442.47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23产投Y2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51,216,264.39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46,826,015.36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23隆科V1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40,930,061.37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23象港03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30,612,249.45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24绍国01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15,020,422.71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24江城04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12,407,522.05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11,214,647.19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ZZGL202407261021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华泰慧丰1号集合资产管理计划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97,541,943.00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176,619,439.00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199,962.09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99.30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68,896.12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22,602.98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102,000,616.84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2,731.71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苏银理财恒源季开放2号E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36,097,427.84</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1,251,183,110.87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1,217,291,675.87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四季度我国经济在外部环境改善与内部结构优化共同作用下保持平稳运行，结构优化升级特征明显，新动能成长势头良好。需求端呈现外强内稳格局。外需保持较强韧性，对欧盟、东盟等市场出口保持稳定增长。</w:t>
      </w:r>
      <w:r>
        <w:rPr>
          <w:rFonts w:ascii="楷体" w:eastAsia="楷体" w:hAnsi="楷体" w:cs="楷体" w:hint="eastAsia"/>
          <w:spacing w:val="8"/>
          <w:sz w:val="21"/>
        </w:rPr>
        <w:br/>
      </w:r>
      <w:r>
        <w:rPr>
          <w:rFonts w:ascii="楷体" w:eastAsia="楷体" w:hAnsi="楷体" w:cs="楷体" w:hint="eastAsia"/>
          <w:spacing w:val="8"/>
          <w:sz w:val="21"/>
        </w:rPr>
        <w:t xml:space="preserve">    经济景气水平呈现总体回升态势。受稳增长政策发力显效，12月，制造业PMI、非制造业商务活动指数和综合PMI产出指数分别为50.1%、50.2%和50.7%，三大指数均升至扩张区间，印证经济复苏趋势。</w:t>
      </w:r>
      <w:r>
        <w:rPr>
          <w:rFonts w:ascii="楷体" w:eastAsia="楷体" w:hAnsi="楷体" w:cs="楷体" w:hint="eastAsia"/>
          <w:spacing w:val="8"/>
          <w:sz w:val="21"/>
        </w:rPr>
        <w:br/>
      </w:r>
      <w:r>
        <w:rPr>
          <w:rFonts w:ascii="楷体" w:eastAsia="楷体" w:hAnsi="楷体" w:cs="楷体" w:hint="eastAsia"/>
          <w:spacing w:val="8"/>
          <w:sz w:val="21"/>
        </w:rPr>
        <w:t xml:space="preserve">    四季度以来，10年期国债收益率围绕1.8%中枢窄幅整理，10月，央行重启国债买卖操作释放宽松信号，叠加贸易摩擦扰动反复，债市围绕政策预期与外部不确定性博弈，呈现先弱后强。11月债市在政策预期、机构行为和流动性等因素共同作用下转入调整态势。进入12月，尽管央行加大跨年资金投放、资产荒行情延续，但赎回扰动频发及市场对超长债供给和银行承接力的担忧加剧，市场表现为震荡修复后年末趋弱。</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四季度根据信用利差与期限利差变动情况，对信用债进行了灵活调配，时刻关注债券市场调整带来的信用债券配置机会，力求提高组合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2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2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3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3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2026-01-21T10:46:00Z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