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苏银理财恒源最短持有7天</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苏银理财恒源最短持有7天</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2023年07月20日</w:t>
      </w:r>
      <w:r>
        <w:rPr>
          <w:rFonts w:ascii="楷体" w:eastAsia="楷体" w:hAnsi="楷体" w:cs="楷体" w:hint="eastAsia"/>
        </w:rPr>
        <w:t xml:space="preserve">成立，于</w:t>
      </w:r>
      <w:r>
        <w:rPr>
          <w:rFonts w:ascii="楷体" w:eastAsia="楷体" w:hAnsi="楷体" w:cs="楷体" w:hint="eastAsia"/>
          <w:spacing w:val="-7"/>
        </w:rPr>
        <w:t xml:space="preserve">2023年07月20日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苏银理财恒源最短持有7天</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Z7003123000112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17,170,240,036.05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18,143,598,828.47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31000188000545047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18,145,684,556.53</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苏银理财恒源最短持有7天A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1.056775</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1.056775</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1.80%-2.60%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苏银理财恒源最短持有7天D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1.058896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1.058896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1.90%-2.70%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苏银理财恒源最短持有7天E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1.058726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1.058726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1.95%-2.75%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苏银理财恒源最短持有7天F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1.060779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1.060779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1.40%-2.40%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苏银理财恒源最短持有7天G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1.056953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1.056953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1.50%-2.50%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苏银理财恒源最短持有7天H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1.054193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1.054193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1.30%-2.30%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苏银理财恒源最短持有7天JS鑫福款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1.056578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1.056578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1.55%-2.55%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苏银理财恒源最短持有7天（代发专享）</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1.057526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1.057526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1.85%-2.65%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苏银理财恒源最短持有7天（工行私银专享）</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1.057153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1.057153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1.45%-2.55%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苏银理财恒源最短持有7天（工行专享）</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1.056535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1.056535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1.40%-2.50%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苏银理财恒源最短持有7天（芙蓉锦程·优选）</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1.056481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1.056481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1.40%-2.40%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40.42%</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59.47%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0.11%</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40.53%</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59.47%</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2,021,958,245.92</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11.01%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974,822,469.88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5.31%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698,100,204.03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3.80%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人民币</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599,795,807.25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中国农业银行昆山分行202311097219</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586,081,664.30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25建设银行CD282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303,829,503.13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中国农业银行股份有限公司南京城北支行</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284,287,349.26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中国农业银行杭州上泗支行202501171498</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282,430,446.58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240,169,780.95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25农业银行CD150</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222,105,081.57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1.21%</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042580533.IB</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25宿迁新城CP002</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30,000,000.00</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ZZGL202109150141</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江苏信托鼎泰3号集合资金信托计划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1,021,243,568.00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1,200,000,000.00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48,304,745.00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ZZGL202504091187</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江苏信托安源3号集合资金信托计划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507,487,235.00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510,000,000.00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615,005.03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中国工商银行股份有限公司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2,733,513.18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318,000,080.00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453,929,909.10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512.20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江苏镇江农村商业银行股份有限公司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105.43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1,016,103.85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东吴证券股份有限公司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692,750,199.30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17,170,240,036.05</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17,859,637,794.42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四季度，债市一改往年季节性下行的趋势，先下后上，反复波折。具体来看，货币政策方面，央行10月下旬宣布重启国债买卖，政治局会议、中央经济工作会议定调继续实施适度宽松的货币政策，但国债买卖操作量不及市场预期，降准降息也落空，在MLF、买断式逆回购等操作的呵护下，跨年资金面维持平稳，DR001加权利率下行突破1.3%关口。财政政策方面，年末《中国金融稳定报告2025》与财政工作会议均释放出“积极有为”的宏观政策信号，引发市场对于来年供给侧的担忧，机构承接能力存疑，一致性预期下长债和超长债遭抛售，30年国债逼近2.3%，收益率曲线陡峭化。信用债方面，经过三季度的连续调整后，信用债的绝对收益已具备较高性价比，叠加摊余债基密集开放支撑配置需求，10-11月信用债先有较大幅度的修复，但11月中旬后，公募基金费率新规传闻扰动市场情绪，同时万科债券展期的消息冲击市场信心，债市收益率明显上行。直至12月末，重要会议落地，公募基金销售新规定稿公布，放宽了对债基赎回费率的规定，债市情绪得以提振。</w:t>
      </w:r>
      <w:r>
        <w:rPr>
          <w:rFonts w:ascii="楷体" w:eastAsia="楷体" w:hAnsi="楷体" w:cs="楷体" w:hint="eastAsia"/>
          <w:spacing w:val="8"/>
          <w:sz w:val="21"/>
        </w:rPr>
        <w:br/>
      </w:r>
      <w:r>
        <w:rPr>
          <w:rFonts w:ascii="楷体" w:eastAsia="楷体" w:hAnsi="楷体" w:cs="楷体" w:hint="eastAsia"/>
          <w:spacing w:val="8"/>
          <w:sz w:val="21"/>
        </w:rPr>
        <w:t xml:space="preserve">　　本产品以存款、回购等低波资产筑底，配置部分优质高评级信用债券，合理控制久期，适时参与确定性较强的存单、短债等品种的交易机会，增厚产品收益，进退有度，严控回撤，兼顾低风险偏好和收益性。同时，为了更准确地反应公允价值，本产品将交易所债券估值方法调整为中证估值，以更好地保护投资者权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进入2026年，股市开年突飞猛进，超长债则持续承压，30年利率债快速上行，突破2.35%，期限利差进一步走扩。年初地方政府债密集发行，其中10年以上长久期利率债占比较高，引发市场对供需的担忧。信用债方面，平稳的资金面支撑下，0-3年信用债的确定性较强，3-5年信用债的配置需求依然强劲，信用利差有所压缩。展望后市，机构普遍预期长债或维持震荡偏弱的格局，作为短期限理财产品，采取杠杆套息策略，配置短期限信用债或为较优选择。</w:t>
      </w:r>
      <w:r>
        <w:rPr>
          <w:rFonts w:ascii="楷体" w:eastAsia="楷体" w:hAnsi="楷体" w:cs="楷体" w:hint="eastAsia"/>
          <w:spacing w:val="9"/>
          <w:sz w:val="21"/>
        </w:rPr>
        <w:br/>
      </w:r>
      <w:r>
        <w:rPr>
          <w:rFonts w:ascii="楷体" w:eastAsia="楷体" w:hAnsi="楷体" w:cs="楷体" w:hint="eastAsia"/>
          <w:spacing w:val="9"/>
          <w:sz w:val="21"/>
        </w:rPr>
        <w:t xml:space="preserve">　　后续我们也将紧密跟踪国内外经济形势和政策变化，加强投资分析研究，继续采取低波动、强稳健的投资策略，加强久期管理和流动性管理，保持合理弹性，严格控制回撤，通过精细化的资产配置、头寸管理和风险控制，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在资产配置上以存款类资产以及优质标准化债权类资产为主，变现能力较强，并通过资产久期管理、流动性指标监控等多项措施，维持流动性处于合理充裕水平，确保本产品资产的变现能力与投资者赎回需求相匹配。</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2455"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2457"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2458"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2460"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2026-01-21T10:20:54Z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