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苏银理财恒源最短持有30天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苏银理财恒源最短持有30天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2023年12月15日</w:t>
      </w:r>
      <w:r>
        <w:rPr>
          <w:rFonts w:ascii="楷体" w:eastAsia="楷体" w:hAnsi="楷体" w:cs="楷体" w:hint="eastAsia"/>
        </w:rPr>
        <w:t xml:space="preserve">成立，于</w:t>
      </w:r>
      <w:r>
        <w:rPr>
          <w:rFonts w:ascii="楷体" w:eastAsia="楷体" w:hAnsi="楷体" w:cs="楷体" w:hint="eastAsia"/>
          <w:spacing w:val="-7"/>
        </w:rPr>
        <w:t xml:space="preserve">2023年12月15日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苏银理财恒源最短持有30天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7,686,151,710.97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8,074,556,675.30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31000188000565117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8,075,633,771.64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苏银理财恒源最短持有30天A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1.048118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1.048118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1.050349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1.050349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1.051454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1.051454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1.048216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1.048216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1.051517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1.051120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1.051120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1.049780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1.049780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1.050092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1.050092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1.050026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1.050026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苏银理财恒源最短持有30天（私享款）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1.051325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28.24%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71.26%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28.74%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71.26%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人民币</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837,721,837.79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754,689,411.59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25浦发银行CD169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198,347,732.60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工商银行海州支行20（20230728）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144,510,347.20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工商银行宜兴支行20（20230728）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144,510,347.20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133,933,477.45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120,261,935.67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农业银行如皋市支行16（20230728）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115,476,948.66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25工商银行CD220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104,452,375.36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25建设银行CD193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102,848,732.35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340,414,523.00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694.76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8,622.91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425,852.69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31,268.67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648,251,384.87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1,706,915.37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278,000,000.00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142,200.00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7,686,151,710.97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7,983,282,853.17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债市呈现短强长震、结构分化的震荡修复态势，利率债在三季度回调后逐步企稳，短端品种受益于资金面持续宽松表现领先，而10年期国债收益率围绕1.8%中枢窄幅整理；信用债先在央行重启国债买卖、化债政策推进下配置情绪修复，后因机构赎回、个别弱资质主体风险事件等事件扰动出现回调。流动性方面，央行加大跨年资金投放维持流动性充裕，整体市场受机构博弈、政策预期及供需结构等多重因素交织影响，结构性机会与风险并存。</w:t>
      </w:r>
      <w:r>
        <w:rPr>
          <w:rFonts w:ascii="楷体" w:eastAsia="楷体" w:hAnsi="楷体" w:cs="楷体" w:hint="eastAsia"/>
          <w:spacing w:val="8"/>
          <w:sz w:val="21"/>
        </w:rPr>
        <w:br/>
      </w:r>
      <w:r>
        <w:rPr>
          <w:rFonts w:ascii="楷体" w:eastAsia="楷体" w:hAnsi="楷体" w:cs="楷体" w:hint="eastAsia"/>
          <w:spacing w:val="8"/>
          <w:sz w:val="21"/>
        </w:rPr>
        <w:t xml:space="preserve">　　最短持有30天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2026年一季度，十五五开局之年叠加信贷节奏的不断前置，1月份新增信贷大概率创出历史新高；12月的PMI数据显示出口链保持韧性，供需两端均有恢复，开年经济总体情况似乎也将有所改善，考虑到当前绝对收益率水平尚可，债市开年虽难有趋势性机会，但配置和短线交易价值仍具有较好性价比。后续来看，信用配置仍是首选，债市波动之中，将通过精选票息资产增加信用债仓位占比至合意水平，参与会更加谨慎。</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53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53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53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53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2026-01-21T10:21:49Z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