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4.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mc:Ignorable="w14 wp14">
  <!-- Generated by Spire.Doc -->
  <w:body>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sz w:val="36"/>
          <w:szCs w:val="36"/>
        </w:rPr>
        <w:t xml:space="preserve">“</w:t>
      </w:r>
      <w:r>
        <w:rPr>
          <w:rFonts w:ascii="楷体" w:eastAsia="楷体" w:hAnsi="楷体" w:cs="楷体" w:hint="eastAsia"/>
          <w:b/>
          <w:bCs/>
          <w:spacing w:val="-1"/>
          <w:sz w:val="36"/>
          <w:szCs w:val="36"/>
        </w:rPr>
        <w:t xml:space="preserve">苏银理财恒源封闭债权162期</w:t>
      </w:r>
      <w:r>
        <w:rPr>
          <w:rFonts w:ascii="楷体" w:eastAsia="楷体" w:hAnsi="楷体" w:cs="楷体" w:hint="eastAsia"/>
          <w:b/>
          <w:sz w:val="36"/>
          <w:szCs w:val="36"/>
        </w:rPr>
        <w:t xml:space="preserve">”理财产品</w:t>
      </w:r>
    </w:p>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bCs/>
          <w:spacing w:val="4"/>
          <w:sz w:val="36"/>
          <w:szCs w:val="36"/>
        </w:rPr>
        <w:t xml:space="preserve">2025年四季度</w:t>
      </w:r>
      <w:r>
        <w:rPr>
          <w:rFonts w:ascii="楷体" w:eastAsia="楷体" w:hAnsi="楷体" w:cs="楷体" w:hint="eastAsia"/>
          <w:b/>
          <w:sz w:val="36"/>
          <w:szCs w:val="36"/>
        </w:rPr>
        <w:t xml:space="preserve">投资管理报告</w:t>
      </w:r>
    </w:p>
    <w:p>
      <w:pPr>
        <w:pStyle w:val="Normal(Web)"/>
        <w:spacing w:before="0" w:beforeAutospacing="0" w:after="0" w:afterAutospacing="0" w:line="360" w:lineRule="auto"/>
        <w:rPr>
          <w:rFonts w:ascii="楷体" w:eastAsia="楷体" w:hAnsi="楷体" w:cs="楷体" w:hint="eastAsia"/>
        </w:rPr>
      </w:pPr>
      <w:r>
        <w:rPr>
          <w:rFonts w:ascii="楷体" w:eastAsia="楷体" w:hAnsi="楷体" w:cs="楷体" w:hint="eastAsia"/>
        </w:rPr>
        <w:t xml:space="preserve">尊敬的投资者：</w:t>
      </w:r>
    </w:p>
    <w:p>
      <w:pPr>
        <w:pStyle w:val="Normal(Web)"/>
        <w:spacing w:before="0" w:beforeAutospacing="0" w:after="0" w:afterAutospacing="0" w:line="360" w:lineRule="auto"/>
        <w:ind w:firstLine="566" w:firstLineChars="236"/>
        <w:rPr>
          <w:rFonts w:ascii="楷体" w:eastAsia="楷体" w:hAnsi="楷体" w:cs="楷体" w:hint="eastAsia"/>
        </w:rPr>
      </w:pPr>
      <w:r>
        <w:rPr>
          <w:rFonts w:ascii="楷体" w:eastAsia="楷体" w:hAnsi="楷体" w:cs="楷体" w:hint="eastAsia"/>
        </w:rPr>
        <w:t xml:space="preserve">“</w:t>
      </w:r>
      <w:r>
        <w:rPr>
          <w:rFonts w:ascii="楷体" w:eastAsia="楷体" w:hAnsi="楷体" w:cs="楷体" w:hint="eastAsia"/>
          <w:spacing w:val="-7"/>
        </w:rPr>
        <w:t xml:space="preserve">苏银理财恒源封闭债权162期</w:t>
      </w:r>
      <w:r>
        <w:rPr>
          <w:rFonts w:ascii="楷体" w:eastAsia="楷体" w:hAnsi="楷体" w:cs="楷体" w:hint="eastAsia"/>
        </w:rPr>
        <w:t xml:space="preserve">”理财产品于</w:t>
      </w:r>
      <w:r>
        <w:rPr>
          <w:rFonts w:ascii="楷体" w:eastAsia="楷体" w:hAnsi="楷体" w:cs="楷体" w:hint="eastAsia"/>
          <w:spacing w:val="-53"/>
        </w:rPr>
        <w:t xml:space="preserve"> </w:t>
      </w:r>
      <w:r>
        <w:rPr>
          <w:rFonts w:ascii="楷体" w:eastAsia="楷体" w:hAnsi="楷体" w:cs="楷体" w:hint="eastAsia"/>
          <w:spacing w:val="-7"/>
        </w:rPr>
        <w:t xml:space="preserve">2025年06月05日</w:t>
      </w:r>
      <w:r>
        <w:rPr>
          <w:rFonts w:ascii="楷体" w:eastAsia="楷体" w:hAnsi="楷体" w:cs="楷体" w:hint="eastAsia"/>
        </w:rPr>
        <w:t xml:space="preserve">成立，于</w:t>
      </w:r>
      <w:r>
        <w:rPr>
          <w:rFonts w:ascii="楷体" w:eastAsia="楷体" w:hAnsi="楷体" w:cs="楷体" w:hint="eastAsia"/>
          <w:spacing w:val="-7"/>
        </w:rPr>
        <w:t xml:space="preserve">2025年06月05日</w:t>
      </w:r>
      <w:r>
        <w:rPr>
          <w:rFonts w:ascii="楷体" w:eastAsia="楷体" w:hAnsi="楷体" w:cs="楷体" w:hint="eastAsia"/>
        </w:rPr>
        <w:t xml:space="preserve">正式投资运作。</w:t>
      </w:r>
    </w:p>
    <w:p>
      <w:pPr>
        <w:pStyle w:val="Normal(Web)"/>
        <w:spacing w:before="0" w:beforeAutospacing="0" w:after="0" w:afterAutospacing="0" w:line="360" w:lineRule="auto"/>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一</w:t>
      </w:r>
      <w:bookmarkStart w:id="0" w:name="_Toc535504139"/>
      <w:r>
        <w:rPr>
          <w:rFonts w:ascii="楷体" w:eastAsia="楷体" w:hAnsi="楷体" w:cs="楷体" w:hint="eastAsia"/>
        </w:rPr>
        <w:t xml:space="preserve">、产品基本情况</w:t>
      </w:r>
      <w:bookmarkEnd w:id="0"/>
    </w:p>
    <w:tbl>
      <w:tblPr>
        <w:tblStyle w:val="TableNormal"/>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4774"/>
        <w:gridCol w:w="3847"/>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产品名称</w:t>
            </w:r>
          </w:p>
        </w:tc>
        <w:tc>
          <w:tcPr>
            <w:tcW w:w="3847" w:type="dxa"/>
          </w:tcPr>
          <w:p>
            <w:pPr>
              <w:pStyle w:val="TableText"/>
              <w:spacing w:before="56" w:line="202" w:lineRule="auto"/>
              <w:jc w:val="center"/>
              <w:rPr>
                <w:rFonts w:ascii="楷体" w:eastAsia="楷体" w:hAnsi="楷体" w:cs="楷体" w:hint="eastAsia"/>
                <w:sz w:val="22"/>
                <w:szCs w:val="22"/>
                <w:highlight w:val="yellow"/>
              </w:rPr>
            </w:pPr>
            <w:r>
              <w:rPr>
                <w:rFonts w:ascii="楷体" w:eastAsia="楷体" w:hAnsi="楷体" w:cs="楷体" w:hint="eastAsia"/>
                <w:spacing w:val="-6"/>
                <w:sz w:val="22"/>
                <w:szCs w:val="22"/>
              </w:rPr>
              <w:t xml:space="preserve">苏银理财恒源封闭债权162期</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全国银行业理财信息登记系统登记编码</w:t>
            </w:r>
          </w:p>
        </w:tc>
        <w:tc>
          <w:tcPr>
            <w:tcW w:w="3847" w:type="dxa"/>
          </w:tcPr>
          <w:p>
            <w:pPr>
              <w:pStyle w:val="TableText"/>
              <w:spacing w:before="85" w:line="176"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Z7003125000082</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产品运作方式</w:t>
            </w:r>
          </w:p>
        </w:tc>
        <w:tc>
          <w:tcPr>
            <w:tcW w:w="3847" w:type="dxa"/>
          </w:tcPr>
          <w:p>
            <w:pPr>
              <w:pStyle w:val="TableText"/>
              <w:spacing w:before="52" w:line="201" w:lineRule="auto"/>
              <w:jc w:val="center"/>
              <w:rPr>
                <w:rFonts w:ascii="楷体" w:eastAsia="楷体" w:hAnsi="楷体" w:cs="楷体" w:hint="eastAsia"/>
                <w:sz w:val="22"/>
                <w:szCs w:val="22"/>
                <w:highlight w:val="yellow"/>
              </w:rPr>
            </w:pPr>
            <w:r>
              <w:rPr>
                <w:rFonts w:ascii="楷体" w:eastAsia="楷体" w:hAnsi="楷体" w:cs="楷体" w:hint="eastAsia"/>
                <w:spacing w:val="-2"/>
                <w:sz w:val="22"/>
                <w:szCs w:val="22"/>
              </w:rPr>
              <w:t xml:space="preserve">封闭式净值型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报告期末产品存续份额（份）</w:t>
            </w:r>
          </w:p>
        </w:tc>
        <w:tc>
          <w:tcPr>
            <w:tcW w:w="3847" w:type="dxa"/>
          </w:tcPr>
          <w:p>
            <w:pPr>
              <w:pStyle w:val="TableText"/>
              <w:spacing w:before="87" w:line="174"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2,071,572,733.00</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产品资产净值（元）</w:t>
            </w:r>
          </w:p>
        </w:tc>
        <w:tc>
          <w:tcPr>
            <w:tcW w:w="3847" w:type="dxa"/>
          </w:tcPr>
          <w:p>
            <w:pPr>
              <w:pStyle w:val="TableText"/>
              <w:spacing w:before="78" w:line="182"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2,107,455,456.13</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风险收益特征</w:t>
            </w:r>
          </w:p>
        </w:tc>
        <w:tc>
          <w:tcPr>
            <w:tcW w:w="3847" w:type="dxa"/>
          </w:tcPr>
          <w:p>
            <w:pPr>
              <w:pStyle w:val="TableText"/>
              <w:spacing w:before="54" w:line="200" w:lineRule="auto"/>
              <w:jc w:val="center"/>
              <w:rPr>
                <w:rFonts w:ascii="楷体" w:eastAsia="楷体" w:hAnsi="楷体" w:cs="楷体" w:hint="eastAsia"/>
                <w:sz w:val="22"/>
                <w:szCs w:val="22"/>
                <w:highlight w:val="yellow"/>
              </w:rPr>
            </w:pPr>
            <w:r>
              <w:rPr>
                <w:rFonts w:ascii="楷体" w:eastAsia="楷体" w:hAnsi="楷体" w:cs="楷体" w:hint="eastAsia"/>
                <w:spacing w:val="-8"/>
                <w:sz w:val="22"/>
                <w:szCs w:val="22"/>
              </w:rPr>
              <w:t xml:space="preserve">中低风险型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收益类型</w:t>
            </w:r>
          </w:p>
        </w:tc>
        <w:tc>
          <w:tcPr>
            <w:tcW w:w="3847" w:type="dxa"/>
          </w:tcPr>
          <w:p>
            <w:pPr>
              <w:pStyle w:val="TableText"/>
              <w:spacing w:before="56" w:line="199" w:lineRule="auto"/>
              <w:jc w:val="center"/>
              <w:rPr>
                <w:rFonts w:ascii="楷体" w:eastAsia="楷体" w:hAnsi="楷体" w:cs="楷体" w:hint="eastAsia"/>
                <w:sz w:val="22"/>
                <w:szCs w:val="22"/>
                <w:highlight w:val="yellow"/>
              </w:rPr>
            </w:pPr>
            <w:r>
              <w:rPr>
                <w:rFonts w:ascii="楷体" w:eastAsia="楷体" w:hAnsi="楷体" w:cs="楷体" w:hint="eastAsia"/>
                <w:spacing w:val="-9"/>
                <w:sz w:val="22"/>
                <w:szCs w:val="22"/>
              </w:rPr>
              <w:t xml:space="preserve">固定收益类</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管理人</w:t>
            </w:r>
          </w:p>
        </w:tc>
        <w:tc>
          <w:tcPr>
            <w:tcW w:w="3847" w:type="dxa"/>
          </w:tcPr>
          <w:p>
            <w:pPr>
              <w:pStyle w:val="TableText"/>
              <w:spacing w:before="55" w:line="200" w:lineRule="auto"/>
              <w:jc w:val="center"/>
              <w:rPr>
                <w:rFonts w:ascii="楷体" w:eastAsia="楷体" w:hAnsi="楷体" w:cs="楷体" w:hint="eastAsia"/>
                <w:sz w:val="22"/>
                <w:szCs w:val="22"/>
                <w:highlight w:val="yellow"/>
              </w:rPr>
            </w:pPr>
            <w:r>
              <w:rPr>
                <w:rFonts w:ascii="楷体" w:eastAsia="楷体" w:hAnsi="楷体" w:cs="楷体" w:hint="eastAsia"/>
                <w:spacing w:val="-3"/>
                <w:sz w:val="22"/>
                <w:szCs w:val="22"/>
              </w:rPr>
              <w:t xml:space="preserve">苏银理财有限责任公司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托管人</w:t>
            </w:r>
          </w:p>
        </w:tc>
        <w:tc>
          <w:tcPr>
            <w:tcW w:w="3847" w:type="dxa"/>
          </w:tcPr>
          <w:p>
            <w:pPr>
              <w:pStyle w:val="TableText"/>
              <w:spacing w:before="56" w:line="199" w:lineRule="auto"/>
              <w:jc w:val="center"/>
              <w:rPr>
                <w:rFonts w:ascii="楷体" w:eastAsia="楷体" w:hAnsi="楷体" w:cs="楷体" w:hint="eastAsia"/>
                <w:sz w:val="22"/>
                <w:szCs w:val="22"/>
                <w:highlight w:val="yellow"/>
              </w:rPr>
            </w:pPr>
            <w:r>
              <w:rPr>
                <w:rFonts w:ascii="楷体" w:eastAsia="楷体" w:hAnsi="楷体" w:cs="楷体" w:hint="eastAsia"/>
                <w:spacing w:val="-3"/>
                <w:sz w:val="22"/>
                <w:szCs w:val="22"/>
              </w:rPr>
              <w:t xml:space="preserve">江苏银行股份有限公司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托管账户</w:t>
            </w:r>
          </w:p>
        </w:tc>
        <w:tc>
          <w:tcPr>
            <w:tcW w:w="3847" w:type="dxa"/>
          </w:tcPr>
          <w:p>
            <w:pPr>
              <w:pStyle w:val="TableText"/>
              <w:spacing w:before="90" w:line="173"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31000188000683063</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托管账户开户行</w:t>
            </w:r>
          </w:p>
        </w:tc>
        <w:tc>
          <w:tcPr>
            <w:tcW w:w="3847" w:type="dxa"/>
          </w:tcPr>
          <w:p>
            <w:pPr>
              <w:pStyle w:val="TableText"/>
              <w:spacing w:before="56" w:line="199" w:lineRule="auto"/>
              <w:jc w:val="center"/>
              <w:rPr>
                <w:rFonts w:ascii="楷体" w:eastAsia="楷体" w:hAnsi="楷体" w:cs="楷体" w:hint="eastAsia"/>
                <w:sz w:val="22"/>
                <w:szCs w:val="22"/>
              </w:rPr>
            </w:pPr>
            <w:r>
              <w:rPr>
                <w:rFonts w:ascii="楷体" w:eastAsia="楷体" w:hAnsi="楷体" w:cs="楷体" w:hint="eastAsia"/>
                <w:spacing w:val="-2"/>
                <w:sz w:val="22"/>
                <w:szCs w:val="22"/>
              </w:rPr>
              <w:t xml:space="preserve">江苏银行股份有限公司营业部</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产品资产总值（元）</w:t>
            </w:r>
          </w:p>
        </w:tc>
        <w:tc>
          <w:tcPr>
            <w:tcW w:w="3847" w:type="dxa"/>
          </w:tcPr>
          <w:p>
            <w:pPr>
              <w:pStyle w:val="TableText"/>
              <w:spacing w:before="81" w:line="180" w:lineRule="auto"/>
              <w:jc w:val="center"/>
              <w:rPr>
                <w:rFonts w:ascii="楷体" w:eastAsia="楷体" w:hAnsi="楷体" w:cs="楷体" w:hint="eastAsia"/>
                <w:sz w:val="22"/>
                <w:szCs w:val="22"/>
              </w:rPr>
            </w:pPr>
            <w:r>
              <w:rPr>
                <w:rFonts w:ascii="楷体" w:eastAsia="楷体" w:hAnsi="楷体" w:cs="楷体" w:hint="eastAsia"/>
                <w:spacing w:val="-1"/>
                <w:sz w:val="22"/>
                <w:szCs w:val="22"/>
              </w:rPr>
              <w:t xml:space="preserve">2,109,314,986.35</w:t>
            </w:r>
            <w:r>
              <w:rPr>
                <w:rFonts w:ascii="楷体" w:eastAsia="楷体" w:hAnsi="楷体" w:cs="楷体" w:hint="eastAsia"/>
                <w:spacing w:val="-29"/>
                <w:sz w:val="22"/>
                <w:szCs w:val="22"/>
              </w:rPr>
              <w:t xml:space="preserve"> </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杠杆水平</w:t>
            </w:r>
          </w:p>
        </w:tc>
        <w:tc>
          <w:tcPr>
            <w:tcW w:w="3847" w:type="dxa"/>
          </w:tcPr>
          <w:p>
            <w:pPr>
              <w:pStyle w:val="TableText"/>
              <w:spacing w:before="56" w:line="202" w:lineRule="auto"/>
              <w:jc w:val="center"/>
              <w:rPr>
                <w:rFonts w:ascii="楷体" w:eastAsia="楷体" w:hAnsi="楷体" w:cs="楷体" w:hint="eastAsia"/>
                <w:sz w:val="22"/>
                <w:szCs w:val="22"/>
              </w:rPr>
            </w:pPr>
            <w:r>
              <w:rPr>
                <w:rFonts w:ascii="楷体" w:eastAsia="楷体" w:hAnsi="楷体" w:cs="楷体" w:hint="eastAsia"/>
                <w:spacing w:val="-4"/>
                <w:sz w:val="22"/>
                <w:szCs w:val="22"/>
              </w:rPr>
              <w:t xml:space="preserve">100.09%</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二、产品净值与业绩比较基准</w:t>
      </w:r>
    </w:p>
    <w:tbl>
      <w:tblPr>
        <w:tblStyle w:val="TableGrid"/>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510"/>
        <w:gridCol w:w="2100"/>
        <w:gridCol w:w="1470"/>
        <w:gridCol w:w="1665"/>
        <w:gridCol w:w="1876"/>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报告日期</w:t>
            </w:r>
          </w:p>
        </w:tc>
        <w:tc>
          <w:tcPr>
            <w:tcW w:w="2100" w:type="dxa"/>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销售</w:t>
            </w:r>
            <w:r>
              <w:rPr>
                <w:rFonts w:ascii="楷体" w:eastAsia="楷体" w:hAnsi="楷体" w:cs="楷体" w:hint="eastAsia"/>
                <w:sz w:val="22"/>
                <w:szCs w:val="22"/>
                <w:lang w:eastAsia="zh-CN"/>
              </w:rPr>
              <w:t xml:space="preserve">名</w:t>
            </w:r>
            <w:r>
              <w:rPr>
                <w:rFonts w:ascii="楷体" w:eastAsia="楷体" w:hAnsi="楷体" w:cs="楷体" w:hint="eastAsia"/>
                <w:sz w:val="22"/>
                <w:szCs w:val="22"/>
              </w:rPr>
              <w:t xml:space="preserve">称</w:t>
            </w:r>
          </w:p>
        </w:tc>
        <w:tc>
          <w:tcPr>
            <w:tcW w:w="147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单位净值</w:t>
            </w:r>
          </w:p>
        </w:tc>
        <w:tc>
          <w:tcPr>
            <w:tcW w:w="166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累计单位净值</w:t>
            </w:r>
          </w:p>
        </w:tc>
        <w:tc>
          <w:tcPr>
            <w:tcW w:w="1876"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业绩比较基准（年化）</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2025-12-31</w:t>
            </w:r>
          </w:p>
        </w:tc>
        <w:tc>
          <w:tcPr>
            <w:tcW w:w="210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苏银理财恒源封闭债权162期13月A</w:t>
            </w:r>
          </w:p>
        </w:tc>
        <w:tc>
          <w:tcPr>
            <w:tcW w:w="147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1.017236</w:t>
            </w:r>
          </w:p>
        </w:tc>
        <w:tc>
          <w:tcPr>
            <w:tcW w:w="166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1.017236</w:t>
            </w:r>
          </w:p>
        </w:tc>
        <w:tc>
          <w:tcPr>
            <w:tcW w:w="1876"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2.85%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苏银理财恒源封闭债权162期13月AJS鑫福款</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1.017236</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1.017236</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2.85%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苏银理财恒源封闭债权162期13月B</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1.017236</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1.017236</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2.85%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苏银理财恒源封闭债权162期13月C</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1.017526</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1.017526</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2.90%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苏银理财恒源封闭债权162期13月D</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1.017239</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1.017239</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2.85%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苏银理财恒源封闭债权162期13月E</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1.017815</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1.017815</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2.95%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苏银理财恒源封闭债权162期13月F</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1.016947</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1.016947</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2.80%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苏银理财恒源封闭债权162期13月G</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1.016657</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1.016657</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2.75%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苏银理财恒源封闭债权162期13月H</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1.016078</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1.016078</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2.65%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苏银理财恒源封闭债权162期13月NB（宁波分行）</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1.017811</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1.017811</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2.95%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苏银理财恒源封闭债权162期13月S（私行专属）</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1.017526</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1.017526</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2.90%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苏银理财恒源封闭债权162期13月Z</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1.017815</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1.017815</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2.95%</w:t>
            </w:r>
          </w:p>
        </w:tc>
      </w:tr>
    </w:tbl>
    <w:p>
      <w:pPr>
        <w:rPr>
          <w:rFonts w:ascii="楷体" w:eastAsia="楷体" w:hAnsi="楷体" w:cs="楷体" w:hint="eastAsia"/>
        </w:rPr>
      </w:pPr>
    </w:p>
    <w:p>
      <w:pPr>
        <w:rPr>
          <w:rFonts w:ascii="楷体" w:eastAsia="楷体" w:hAnsi="楷体" w:cs="楷体" w:hint="eastAsia"/>
          <w:sz w:val="21"/>
          <w:szCs w:val="21"/>
        </w:rPr>
      </w:pPr>
      <w:r>
        <w:rPr>
          <w:rFonts w:ascii="楷体" w:eastAsia="楷体" w:hAnsi="楷体" w:cs="楷体" w:hint="eastAsia"/>
          <w:bCs/>
          <w:kern w:val="0"/>
          <w:sz w:val="21"/>
          <w:szCs w:val="21"/>
        </w:rPr>
        <w:t xml:space="preserve">业绩比较基准不代表理财产品未来表现，不等于理财产品实际收益，不作为产品收益的业绩保证，投资者的实际收益由产品净值表现决定。管理人参考过往投资经验，依据资产投资收益水平，在产品说明书约定的投资范围和投资比例内，综合考虑收取的费用情况，模拟测算得出业绩比较基准。</w:t>
      </w:r>
    </w:p>
    <w:p>
      <w:pPr>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三、产品投资组合情况</w:t>
      </w:r>
    </w:p>
    <w:p>
      <w:pPr>
        <w:pStyle w:val="Heading3"/>
        <w:rPr>
          <w:rFonts w:ascii="楷体" w:eastAsia="楷体" w:hAnsi="楷体" w:cs="楷体" w:hint="eastAsia"/>
          <w:b w:val="0"/>
          <w:sz w:val="21"/>
        </w:rPr>
      </w:pPr>
      <w:r>
        <w:rPr>
          <w:rFonts w:ascii="楷体" w:eastAsia="楷体" w:hAnsi="楷体" w:cs="楷体" w:hint="eastAsia"/>
          <w:b w:val="0"/>
          <w:sz w:val="21"/>
        </w:rPr>
        <w:t xml:space="preserve">（一）期末理财产品持有资产情况</w:t>
      </w:r>
    </w:p>
    <w:tbl>
      <w:tblPr>
        <w:tblStyle w:val="TableNormal"/>
        <w:tblW w:w="8300"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727"/>
        <w:gridCol w:w="2287"/>
        <w:gridCol w:w="2644"/>
        <w:gridCol w:w="2642"/>
      </w:tblGrid>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序号</w:t>
            </w:r>
          </w:p>
        </w:tc>
        <w:tc>
          <w:tcPr>
            <w:tcW w:w="2287"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资产类别</w:t>
            </w:r>
          </w:p>
        </w:tc>
        <w:tc>
          <w:tcPr>
            <w:tcW w:w="264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直接投资占总资产的比例</w:t>
            </w:r>
          </w:p>
        </w:tc>
        <w:tc>
          <w:tcPr>
            <w:tcW w:w="2642"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间接投资占总资产的比例</w:t>
            </w:r>
          </w:p>
        </w:tc>
      </w:tr>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1</w:t>
            </w:r>
          </w:p>
        </w:tc>
        <w:tc>
          <w:tcPr>
            <w:tcW w:w="2287"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固定收益类</w:t>
            </w:r>
            <w:bookmarkStart w:id="1" w:name="_GoBack"/>
            <w:bookmarkEnd w:id="1"/>
          </w:p>
        </w:tc>
        <w:tc>
          <w:tcPr>
            <w:tcW w:w="2644"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2.83%</w:t>
            </w:r>
          </w:p>
        </w:tc>
        <w:tc>
          <w:tcPr>
            <w:tcW w:w="2642"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91.41%</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权益类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4.91%</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商品及金融衍生品类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混合类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0.85%</w:t>
            </w:r>
          </w:p>
        </w:tc>
      </w:tr>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3014" w:type="dxa"/>
            <w:gridSpan w:val="2"/>
            <w:shd w:val="clear" w:color="auto" w:fill="auto"/>
            <w:vAlign w:val="center"/>
          </w:tcPr>
          <w:p>
            <w:pPr>
              <w:tabs>
                <w:tab w:val="center" w:pos="1522"/>
                <w:tab w:val="right" w:pos="2924"/>
              </w:tabs>
              <w:jc w:val="left"/>
              <w:rPr>
                <w:rFonts w:ascii="楷体" w:eastAsia="楷体" w:hAnsi="楷体" w:cs="楷体" w:hint="eastAsia"/>
                <w:sz w:val="22"/>
                <w:szCs w:val="22"/>
                <w:lang w:eastAsia="zh-CN"/>
              </w:rPr>
            </w:pPr>
            <w:r>
              <w:rPr>
                <w:rFonts w:ascii="楷体" w:eastAsia="楷体" w:hAnsi="楷体" w:cs="楷体" w:hint="eastAsia"/>
                <w:sz w:val="22"/>
                <w:szCs w:val="22"/>
                <w:lang w:eastAsia="zh-CN"/>
              </w:rPr>
              <w:tab/>
            </w:r>
            <w:r>
              <w:rPr>
                <w:rFonts w:ascii="楷体" w:eastAsia="楷体" w:hAnsi="楷体" w:cs="楷体" w:hint="eastAsia"/>
                <w:sz w:val="22"/>
                <w:szCs w:val="22"/>
              </w:rPr>
              <w:t xml:space="preserve">合计</w:t>
            </w:r>
            <w:r>
              <w:rPr>
                <w:rFonts w:ascii="楷体" w:eastAsia="楷体" w:hAnsi="楷体" w:cs="楷体" w:hint="eastAsia"/>
                <w:sz w:val="22"/>
                <w:szCs w:val="22"/>
                <w:lang w:eastAsia="zh-CN"/>
              </w:rPr>
              <w:tab/>
            </w:r>
          </w:p>
        </w:tc>
        <w:tc>
          <w:tcPr>
            <w:tcW w:w="2644" w:type="dxa"/>
            <w:shd w:val="clear" w:color="auto" w:fill="auto"/>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2.83%</w:t>
            </w:r>
          </w:p>
        </w:tc>
        <w:tc>
          <w:tcPr>
            <w:tcW w:w="2642" w:type="dxa"/>
            <w:shd w:val="clear" w:color="auto" w:fill="FFFFFF"/>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97.17%</w:t>
            </w:r>
          </w:p>
        </w:tc>
      </w:tr>
    </w:tbl>
    <w:p>
      <w:pPr>
        <w:rPr>
          <w:rFonts w:ascii="楷体" w:eastAsia="楷体" w:hAnsi="楷体" w:cs="楷体" w:hint="eastAsia"/>
        </w:rPr>
      </w:pPr>
    </w:p>
    <w:p>
      <w:pPr>
        <w:pStyle w:val="Heading3"/>
        <w:ind w:left="0"/>
        <w:rPr>
          <w:rFonts w:ascii="楷体" w:eastAsia="楷体" w:hAnsi="楷体" w:cs="楷体" w:hint="eastAsia"/>
          <w:b w:val="0"/>
          <w:sz w:val="21"/>
        </w:rPr>
      </w:pPr>
      <w:r>
        <w:rPr>
          <w:rFonts w:ascii="楷体" w:eastAsia="楷体" w:hAnsi="楷体" w:cs="楷体" w:hint="eastAsia"/>
          <w:b w:val="0"/>
          <w:sz w:val="21"/>
        </w:rPr>
        <w:t xml:space="preserve">（二）期末理财产品持有的前十项资产</w:t>
      </w:r>
    </w:p>
    <w:tbl>
      <w:tblPr>
        <w:tblStyle w:val="TableNormal"/>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873"/>
        <w:gridCol w:w="2434"/>
        <w:gridCol w:w="1275"/>
        <w:gridCol w:w="2235"/>
        <w:gridCol w:w="1800"/>
      </w:tblGrid>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序号</w:t>
            </w:r>
          </w:p>
        </w:tc>
        <w:tc>
          <w:tcPr>
            <w:tcW w:w="2434"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资产名称</w:t>
            </w:r>
          </w:p>
        </w:tc>
        <w:tc>
          <w:tcPr>
            <w:tcW w:w="1275"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资产类别</w:t>
            </w:r>
          </w:p>
        </w:tc>
        <w:tc>
          <w:tcPr>
            <w:tcW w:w="2235"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持有金额（元）</w:t>
            </w:r>
          </w:p>
        </w:tc>
        <w:tc>
          <w:tcPr>
            <w:tcW w:w="1800"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占产品总资产的比例（%）</w:t>
            </w:r>
          </w:p>
        </w:tc>
      </w:tr>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w:t>
            </w:r>
          </w:p>
        </w:tc>
        <w:tc>
          <w:tcPr>
            <w:tcW w:w="2434"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交银国信-蓝色睿投9号集合资金信托计划（放心借）</w:t>
            </w:r>
          </w:p>
        </w:tc>
        <w:tc>
          <w:tcPr>
            <w:tcW w:w="127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非标准化债权类资产</w:t>
            </w:r>
          </w:p>
        </w:tc>
        <w:tc>
          <w:tcPr>
            <w:tcW w:w="223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142,100,383.66</w:t>
            </w:r>
          </w:p>
        </w:tc>
        <w:tc>
          <w:tcPr>
            <w:tcW w:w="180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6.24%</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中粮信托-谷丰128号-蚂蚁花呗-第二期</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111,329,945.77</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4.89%</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111,187,041.66</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4.88%</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23萧控03</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14,482,684.05</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0.64%</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5</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23拱城02</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14,472,195.02</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0.64%</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6</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拆放同业及债券买入返售</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拆放同业及债券买入返售</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14,361,287.24</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0.63%</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7</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25淮经03</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12,720,660.61</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0.56%</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8</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25苏通01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12,604,922.61</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0.55%</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9</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G25徐铁1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12,562,626.90</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0.55%</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10</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25连金01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11,592,987.47</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0.51%</w:t>
            </w:r>
          </w:p>
        </w:tc>
      </w:tr>
    </w:tbl>
    <w:p>
      <w:pPr>
        <w:pStyle w:val="标题4"/>
        <w:rPr>
          <w:rFonts w:ascii="楷体" w:eastAsia="楷体" w:hAnsi="楷体" w:cs="楷体" w:hint="eastAsia"/>
        </w:rPr>
      </w:pPr>
    </w:p>
    <w:p>
      <w:pPr>
        <w:pStyle w:val="Heading3"/>
        <w:numPr>
          <w:ilvl w:val="0"/>
          <w:numId w:val="3"/>
        </w:numPr>
        <w:rPr>
          <w:rFonts w:ascii="楷体" w:eastAsia="楷体" w:hAnsi="楷体" w:cs="楷体" w:hint="eastAsia"/>
          <w:b w:val="0"/>
          <w:sz w:val="21"/>
        </w:rPr>
      </w:pPr>
      <w:r>
        <w:rPr>
          <w:rFonts w:ascii="楷体" w:eastAsia="楷体" w:hAnsi="楷体" w:cs="楷体" w:hint="eastAsia"/>
          <w:b w:val="0"/>
          <w:sz w:val="21"/>
        </w:rPr>
        <w:t xml:space="preserve">非标资产情况</w:t>
      </w:r>
    </w:p>
    <w:p>
      <w:pPr>
        <w:ind w:firstLine="220" w:firstLineChars="100"/>
        <w:rPr>
          <w:rFonts w:ascii="楷体" w:eastAsia="楷体" w:hAnsi="楷体" w:cs="楷体" w:hint="eastAsia"/>
        </w:rPr>
      </w:pPr>
      <w:r>
        <w:rPr>
          <w:rFonts w:ascii="楷体" w:eastAsia="楷体" w:hAnsi="楷体" w:cs="楷体" w:hint="eastAsia"/>
          <w:sz w:val="22"/>
          <w:szCs w:val="24"/>
        </w:rPr>
        <w:t xml:space="preserve">1</w:t>
      </w:r>
      <w:r>
        <w:rPr>
          <w:rFonts w:ascii="楷体" w:eastAsia="楷体" w:hAnsi="楷体" w:cs="楷体" w:hint="eastAsia"/>
          <w:sz w:val="22"/>
          <w:szCs w:val="24"/>
          <w:lang w:eastAsia="zh-CN"/>
        </w:rPr>
        <w:t xml:space="preserve">、</w:t>
      </w:r>
      <w:r>
        <w:rPr>
          <w:rFonts w:ascii="楷体" w:eastAsia="楷体" w:hAnsi="楷体" w:cs="楷体" w:hint="eastAsia"/>
          <w:sz w:val="22"/>
          <w:szCs w:val="24"/>
        </w:rPr>
        <w:t xml:space="preserve">非标资产投资情况</w:t>
      </w:r>
    </w:p>
    <w:tbl>
      <w:tblPr>
        <w:tblStyle w:val="TableNormal"/>
        <w:tblW w:w="8811" w:type="dxa"/>
        <w:tblInd w:w="0" w:type="dxa"/>
        <w:tblLayout w:type="fixed"/>
        <w:tblCellMar>
          <w:top w:w="0" w:type="dxa"/>
          <w:left w:w="108" w:type="dxa"/>
          <w:bottom w:w="0" w:type="dxa"/>
          <w:right w:w="108" w:type="dxa"/>
        </w:tblCellMar>
        <w:tblLook w:firstRow="0" w:lastRow="0" w:firstColumn="0" w:lastColumn="0" w:noHBand="1" w:noVBand="1"/>
      </w:tblPr>
      <w:tblGrid>
        <w:gridCol w:w="1401"/>
        <w:gridCol w:w="1410"/>
        <w:gridCol w:w="1245"/>
        <w:gridCol w:w="1485"/>
        <w:gridCol w:w="1335"/>
        <w:gridCol w:w="1080"/>
        <w:gridCol w:w="855"/>
      </w:tblGrid>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41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项目名称</w:t>
            </w:r>
          </w:p>
        </w:tc>
        <w:tc>
          <w:tcPr>
            <w:tcW w:w="124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剩余融资期限（天）</w:t>
            </w:r>
          </w:p>
        </w:tc>
        <w:tc>
          <w:tcPr>
            <w:tcW w:w="148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资产面值</w:t>
            </w:r>
          </w:p>
        </w:tc>
        <w:tc>
          <w:tcPr>
            <w:tcW w:w="133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到期分配方式</w:t>
            </w:r>
          </w:p>
        </w:tc>
        <w:tc>
          <w:tcPr>
            <w:tcW w:w="108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交易结构</w:t>
            </w:r>
          </w:p>
        </w:tc>
        <w:tc>
          <w:tcPr>
            <w:tcW w:w="85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风险状况</w:t>
            </w:r>
          </w:p>
        </w:tc>
      </w:tr>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抖音导流、信托自主审核通过的借款人</w:t>
            </w:r>
          </w:p>
        </w:tc>
        <w:tc>
          <w:tcPr>
            <w:tcW w:w="141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交银国信-蓝色睿投9号集合资金信托计划（放心借）</w:t>
            </w:r>
          </w:p>
        </w:tc>
        <w:tc>
          <w:tcPr>
            <w:tcW w:w="124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161</w:t>
            </w:r>
          </w:p>
        </w:tc>
        <w:tc>
          <w:tcPr>
            <w:tcW w:w="148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140,000,000.00</w:t>
            </w:r>
          </w:p>
        </w:tc>
        <w:tc>
          <w:tcPr>
            <w:tcW w:w="133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循环期不还本不付息，摊还期按月过手摊还本息</w:t>
            </w:r>
          </w:p>
        </w:tc>
        <w:tc>
          <w:tcPr>
            <w:tcW w:w="108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投资信托计划产品</w:t>
            </w:r>
          </w:p>
        </w:tc>
        <w:tc>
          <w:tcPr>
            <w:tcW w:w="85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蚂蚁消费授信付款资产借款人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中粮信托-谷丰128号-蚂蚁花呗-第二期</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86</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110,000,000.00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循环期不还本不付息，摊还期按月过手摊还本息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bl>
    <w:p>
      <w:pPr>
        <w:pStyle w:val="标题4"/>
        <w:rPr>
          <w:rFonts w:ascii="楷体" w:eastAsia="楷体" w:hAnsi="楷体" w:cs="楷体" w:hint="eastAsia"/>
        </w:rPr>
      </w:pPr>
    </w:p>
    <w:p>
      <w:pPr>
        <w:spacing w:line="320" w:lineRule="exact"/>
        <w:ind w:firstLine="220" w:firstLineChars="100"/>
        <w:rPr>
          <w:rFonts w:ascii="楷体" w:eastAsia="楷体" w:hAnsi="楷体" w:cs="楷体" w:hint="eastAsia"/>
        </w:rPr>
      </w:pPr>
      <w:r>
        <w:rPr>
          <w:rFonts w:ascii="楷体" w:eastAsia="楷体" w:hAnsi="楷体" w:cs="楷体" w:hint="eastAsia"/>
          <w:sz w:val="22"/>
          <w:szCs w:val="24"/>
        </w:rPr>
        <w:t xml:space="preserve">2</w:t>
      </w:r>
      <w:r>
        <w:rPr>
          <w:rFonts w:ascii="楷体" w:eastAsia="楷体" w:hAnsi="楷体" w:cs="楷体" w:hint="eastAsia"/>
          <w:sz w:val="22"/>
          <w:szCs w:val="24"/>
          <w:lang w:eastAsia="zh-CN"/>
        </w:rPr>
        <w:t xml:space="preserve">、</w:t>
      </w:r>
      <w:r>
        <w:rPr>
          <w:rFonts w:ascii="楷体" w:eastAsia="楷体" w:hAnsi="楷体" w:cs="楷体" w:hint="eastAsia"/>
          <w:sz w:val="22"/>
          <w:szCs w:val="24"/>
        </w:rPr>
        <w:t xml:space="preserve">融资客户情况</w:t>
      </w:r>
    </w:p>
    <w:tbl>
      <w:tblPr>
        <w:tblStyle w:val="TableGrid"/>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412"/>
        <w:gridCol w:w="1399"/>
        <w:gridCol w:w="1263"/>
        <w:gridCol w:w="4746"/>
      </w:tblGrid>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309"/>
        </w:trPr>
        <w:tc>
          <w:tcPr>
            <w:tcW w:w="1412"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399"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成立日期</w:t>
            </w:r>
          </w:p>
        </w:tc>
        <w:tc>
          <w:tcPr>
            <w:tcW w:w="1263"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注册资本（元）</w:t>
            </w:r>
          </w:p>
        </w:tc>
        <w:tc>
          <w:tcPr>
            <w:tcW w:w="4746"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经营范围</w:t>
            </w:r>
          </w:p>
        </w:tc>
      </w:tr>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412"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蚂蚁消费授信付款资产借款人</w:t>
            </w:r>
          </w:p>
        </w:tc>
        <w:tc>
          <w:tcPr>
            <w:tcW w:w="1399"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1263"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4746"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抖音导流、信托自主审核通过的借款人</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bl>
    <w:p>
      <w:pPr>
        <w:pStyle w:val="标题4"/>
        <w:rPr>
          <w:rFonts w:ascii="楷体" w:eastAsia="楷体" w:hAnsi="楷体" w:cs="楷体" w:hint="eastAsia"/>
        </w:rPr>
      </w:pPr>
    </w:p>
    <w:p>
      <w:pPr>
        <w:pStyle w:val="Heading3"/>
        <w:numPr>
          <w:ilvl w:val="0"/>
          <w:numId w:val="3"/>
        </w:numPr>
        <w:ind w:left="120" w:firstLine="0" w:leftChars="0" w:firstLineChars="0"/>
        <w:rPr>
          <w:rFonts w:ascii="楷体" w:eastAsia="楷体" w:hAnsi="楷体" w:cs="楷体" w:hint="eastAsia"/>
          <w:b w:val="0"/>
          <w:sz w:val="21"/>
        </w:rPr>
      </w:pPr>
      <w:r>
        <w:rPr>
          <w:rFonts w:ascii="楷体" w:eastAsia="楷体" w:hAnsi="楷体" w:cs="楷体" w:hint="eastAsia"/>
          <w:b w:val="0"/>
          <w:sz w:val="21"/>
        </w:rPr>
        <w:t xml:space="preserve">关联交易情况</w:t>
      </w:r>
    </w:p>
    <w:p>
      <w:pPr>
        <w:spacing w:line="320" w:lineRule="exact"/>
        <w:ind w:firstLine="220" w:firstLineChars="100"/>
        <w:rPr>
          <w:rFonts w:hint="eastAsia"/>
          <w:highlight w:val="none"/>
        </w:rPr>
      </w:pPr>
      <w:r>
        <w:rPr>
          <w:rFonts w:ascii="楷体" w:eastAsia="楷体" w:hAnsi="楷体" w:cs="楷体" w:hint="eastAsia"/>
          <w:sz w:val="22"/>
          <w:szCs w:val="24"/>
          <w:highlight w:val="none"/>
          <w:lang w:val="en-US" w:eastAsia="zh-CN"/>
        </w:rPr>
        <w:t xml:space="preserve">1、理财产品关联交易</w:t>
      </w:r>
    </w:p>
    <w:p>
      <w:pPr>
        <w:spacing w:line="320" w:lineRule="exact"/>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1）报告期内投资于关联方发行的证券或其他金融工具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65"/>
        <w:gridCol w:w="1440"/>
        <w:gridCol w:w="1425"/>
        <w:gridCol w:w="2115"/>
        <w:gridCol w:w="2176"/>
      </w:tblGrid>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11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1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ind w:firstLine="220" w:firstLineChars="100"/>
        <w:rPr>
          <w:rFonts w:ascii="楷体" w:eastAsia="楷体" w:hAnsi="楷体" w:cs="楷体" w:hint="eastAsia"/>
        </w:rPr>
      </w:pPr>
      <w:r>
        <w:rPr>
          <w:rFonts w:ascii="楷体" w:eastAsia="楷体" w:hAnsi="楷体" w:cs="楷体" w:hint="eastAsia"/>
          <w:sz w:val="22"/>
          <w:szCs w:val="24"/>
        </w:rPr>
        <w:t xml:space="preserve">2）报告期内投资于关联方承销的证券或其他金融工具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425"/>
        <w:gridCol w:w="2085"/>
        <w:gridCol w:w="2191"/>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08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9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08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9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报告期内投资于关联方管理的资管产品或其他金融工具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395"/>
        <w:gridCol w:w="2130"/>
        <w:gridCol w:w="2176"/>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金融工具代码</w:t>
            </w:r>
          </w:p>
        </w:tc>
        <w:tc>
          <w:tcPr>
            <w:tcW w:w="139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金融工具名称</w:t>
            </w:r>
          </w:p>
        </w:tc>
        <w:tc>
          <w:tcPr>
            <w:tcW w:w="21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NETA20201230000002</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江苏信托鼎泰1号集合资金信托计划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32,160,856.00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40,000,000.00</w:t>
            </w:r>
          </w:p>
        </w:tc>
      </w:tr>
      <w:tr>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ZZGL202504091186</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江苏信托安源2号集合资金信托计划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88,929,975.00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90,000,000.00</w:t>
            </w:r>
          </w:p>
        </w:tc>
      </w:tr>
      <w:tr>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ZZGL202109150141</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江苏信托鼎泰3号集合资金信托计划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340,358,522.00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400,070,000.00</w:t>
            </w:r>
          </w:p>
        </w:tc>
      </w:tr>
      <w:tr>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ZZGL202504091189</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江苏信托安源5号集合资金信托计划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30,834,484.00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41,329,000.00</w:t>
            </w:r>
          </w:p>
        </w:tc>
      </w:tr>
    </w:tbl>
    <w:p>
      <w:pPr>
        <w:rPr>
          <w:rFonts w:ascii="楷体" w:eastAsia="楷体" w:hAnsi="楷体" w:cs="楷体" w:hint="eastAsia"/>
          <w:sz w:val="22"/>
          <w:szCs w:val="24"/>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报告期内的其他关联交易</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930"/>
        <w:gridCol w:w="3540"/>
        <w:gridCol w:w="3151"/>
      </w:tblGrid>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交易类型</w:t>
            </w:r>
          </w:p>
        </w:tc>
        <w:tc>
          <w:tcPr>
            <w:tcW w:w="35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315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关联交易金额（元）</w:t>
            </w:r>
          </w:p>
        </w:tc>
      </w:tr>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苏州银行股份有限公司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6,322.10</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江苏仪征农村商业银行股份有限公司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110.85</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305,969.31</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托管费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104,487.10</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江苏苏州农村商业银行股份有限公司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3,210.17</w:t>
            </w:r>
          </w:p>
        </w:tc>
      </w:tr>
    </w:tbl>
    <w:p>
      <w:pPr>
        <w:pStyle w:val="标题4"/>
        <w:rPr>
          <w:rFonts w:ascii="楷体" w:eastAsia="楷体" w:hAnsi="楷体" w:cs="楷体" w:hint="eastAsia"/>
          <w:sz w:val="21"/>
          <w:szCs w:val="21"/>
        </w:rPr>
      </w:pPr>
      <w:r>
        <w:rPr>
          <w:rFonts w:ascii="楷体" w:eastAsia="楷体" w:hAnsi="楷体" w:cs="楷体" w:hint="eastAsia"/>
          <w:sz w:val="21"/>
          <w:szCs w:val="21"/>
        </w:rPr>
        <w:t xml:space="preserve">注：本报告中理财产品托管费、代销费均基于产品实际支付金额进行统计。</w:t>
      </w:r>
    </w:p>
    <w:p>
      <w:pPr>
        <w:bidi w:val="0"/>
        <w:spacing w:line="320" w:lineRule="exact"/>
        <w:ind w:firstLine="220" w:firstLineChars="100"/>
        <w:jc w:val="left"/>
        <w:rPr>
          <w:rFonts w:ascii="楷体" w:eastAsia="楷体" w:hAnsi="楷体" w:cs="楷体" w:hint="eastAsia"/>
          <w:color w:val="auto"/>
          <w:sz w:val="22"/>
          <w:szCs w:val="24"/>
          <w:highlight w:val="none"/>
          <w:lang w:val="en-US" w:eastAsia="zh-CN"/>
        </w:rPr>
      </w:pPr>
    </w:p>
    <w:p>
      <w:pPr>
        <w:bidi w:val="0"/>
        <w:spacing w:line="320" w:lineRule="exact"/>
        <w:ind w:firstLine="220" w:firstLineChars="100"/>
        <w:jc w:val="left"/>
        <w:rPr>
          <w:rFonts w:ascii="楷体" w:eastAsia="楷体" w:hAnsi="楷体" w:cs="楷体" w:hint="eastAsia"/>
          <w:color w:val="auto"/>
          <w:sz w:val="22"/>
          <w:szCs w:val="24"/>
          <w:highlight w:val="none"/>
          <w:lang w:val="en-US" w:eastAsia="zh-CN"/>
        </w:rPr>
      </w:pPr>
      <w:r>
        <w:rPr>
          <w:rFonts w:ascii="楷体" w:eastAsia="楷体" w:hAnsi="楷体" w:cs="楷体" w:hint="eastAsia"/>
          <w:color w:val="auto"/>
          <w:sz w:val="22"/>
          <w:szCs w:val="24"/>
          <w:highlight w:val="none"/>
          <w:lang w:val="en-US" w:eastAsia="zh-CN"/>
        </w:rPr>
        <w:t xml:space="preserve">2、关联方申购理财产品</w:t>
      </w:r>
    </w:p>
    <w:p>
      <w:pPr>
        <w:bidi w:val="0"/>
        <w:ind w:firstLine="440" w:firstLineChars="200"/>
        <w:jc w:val="both"/>
        <w:rPr>
          <w:highlight w:val="none"/>
        </w:rPr>
      </w:pPr>
      <w:r>
        <w:rPr>
          <w:rFonts w:ascii="楷体" w:eastAsia="楷体" w:hAnsi="楷体" w:cs="楷体" w:hint="eastAsia"/>
          <w:color w:val="auto"/>
          <w:kern w:val="2"/>
          <w:sz w:val="22"/>
          <w:szCs w:val="22"/>
          <w:highlight w:val="none"/>
          <w:lang w:val="en-US" w:eastAsia="zh-CN" w:bidi="ar-SA"/>
        </w:rPr>
        <w:t xml:space="preserve">报告期内，除本公司以外的关联方累计申购本产品</w:t>
      </w:r>
      <w:r>
        <w:rPr>
          <w:rFonts w:ascii="楷体" w:eastAsia="楷体" w:hAnsi="楷体" w:cs="楷体" w:hint="eastAsia"/>
          <w:sz w:val="22"/>
          <w:szCs w:val="22"/>
        </w:rPr>
        <w:t xml:space="preserve">0.00</w:t>
      </w:r>
      <w:r>
        <w:rPr>
          <w:rFonts w:ascii="楷体" w:eastAsia="楷体" w:hAnsi="楷体" w:cs="楷体" w:hint="eastAsia"/>
          <w:color w:val="auto"/>
          <w:kern w:val="2"/>
          <w:sz w:val="22"/>
          <w:szCs w:val="22"/>
          <w:highlight w:val="none"/>
          <w:lang w:val="en-US" w:eastAsia="zh-CN" w:bidi="ar-SA"/>
        </w:rPr>
        <w:t xml:space="preserve">元。</w:t>
      </w:r>
    </w:p>
    <w:p>
      <w:pPr>
        <w:pStyle w:val="标题4"/>
        <w:rPr>
          <w:rFonts w:ascii="楷体" w:eastAsia="楷体" w:hAnsi="楷体" w:cs="楷体" w:hint="eastAsia"/>
        </w:rPr>
      </w:pPr>
    </w:p>
    <w:p>
      <w:pPr>
        <w:rPr>
          <w:rFonts w:ascii="楷体" w:eastAsia="楷体" w:hAnsi="楷体" w:cs="楷体" w:hint="eastAsia"/>
          <w:sz w:val="22"/>
          <w:szCs w:val="24"/>
        </w:rPr>
      </w:pPr>
      <w:r>
        <w:rPr>
          <w:rFonts w:ascii="楷体" w:eastAsia="楷体" w:hAnsi="楷体" w:cs="楷体" w:hint="eastAsia"/>
          <w:sz w:val="22"/>
          <w:szCs w:val="24"/>
        </w:rPr>
        <w:t xml:space="preserve">（五）自有资金投资情况</w:t>
      </w:r>
    </w:p>
    <w:tbl>
      <w:tblPr>
        <w:tblStyle w:val="TableNormal"/>
        <w:tblW w:w="7299" w:type="dxa"/>
        <w:tblInd w:w="0" w:type="dxa"/>
        <w:tblLayout w:type="fixed"/>
        <w:tblCellMar>
          <w:top w:w="0" w:type="dxa"/>
          <w:left w:w="108" w:type="dxa"/>
          <w:bottom w:w="0" w:type="dxa"/>
          <w:right w:w="108" w:type="dxa"/>
        </w:tblCellMar>
        <w:tblLook w:firstRow="0" w:lastRow="0" w:firstColumn="0" w:lastColumn="0" w:noHBand="1" w:noVBand="1"/>
      </w:tblPr>
      <w:tblGrid>
        <w:gridCol w:w="2796"/>
        <w:gridCol w:w="4503"/>
      </w:tblGrid>
      <w:tr>
        <w:tblPrEx>
          <w:tblW w:w="7299" w:type="dxa"/>
          <w:tblInd w:w="0" w:type="dxa"/>
          <w:tblLayout w:type="fixed"/>
          <w:tblCellMar>
            <w:top w:w="0" w:type="dxa"/>
            <w:left w:w="108" w:type="dxa"/>
            <w:bottom w:w="0" w:type="dxa"/>
            <w:right w:w="108" w:type="dxa"/>
          </w:tblCellMar>
        </w:tblPrEx>
        <w:trPr>
          <w:trHeight w:val="311"/>
        </w:trPr>
        <w:tc>
          <w:tcPr>
            <w:tcW w:w="279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产品名称</w:t>
            </w:r>
          </w:p>
        </w:tc>
        <w:tc>
          <w:tcPr>
            <w:tcW w:w="4503"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299" w:type="dxa"/>
          <w:tblInd w:w="0" w:type="dxa"/>
          <w:tblLayout w:type="fixed"/>
          <w:tblCellMar>
            <w:top w:w="0" w:type="dxa"/>
            <w:left w:w="108" w:type="dxa"/>
            <w:bottom w:w="0" w:type="dxa"/>
            <w:right w:w="108" w:type="dxa"/>
          </w:tblCellMar>
        </w:tblPrEx>
        <w:trPr>
          <w:trHeight w:val="378"/>
        </w:trPr>
        <w:tc>
          <w:tcPr>
            <w:tcW w:w="279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4503"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ind w:firstLine="420" w:firstLineChars="200"/>
        <w:rPr>
          <w:rFonts w:ascii="楷体" w:eastAsia="楷体" w:hAnsi="楷体" w:cs="楷体" w:hint="eastAsia"/>
          <w:bCs/>
          <w:kern w:val="0"/>
          <w:sz w:val="21"/>
          <w:szCs w:val="21"/>
        </w:rPr>
      </w:pPr>
      <w:r>
        <w:rPr>
          <w:rFonts w:ascii="楷体" w:eastAsia="楷体" w:hAnsi="楷体" w:cs="楷体" w:hint="eastAsia"/>
          <w:bCs/>
          <w:kern w:val="0"/>
          <w:sz w:val="21"/>
          <w:szCs w:val="21"/>
        </w:rPr>
        <w:t xml:space="preserve">本公司自有资金投资本公司管理的理财产品适用的费率均不优于其他投资者。</w:t>
      </w:r>
    </w:p>
    <w:p>
      <w:pPr>
        <w:ind w:firstLine="420" w:firstLineChars="200"/>
        <w:rPr>
          <w:rFonts w:ascii="楷体" w:eastAsia="楷体" w:hAnsi="楷体" w:cs="楷体" w:hint="eastAsia"/>
          <w:bCs/>
          <w:kern w:val="0"/>
          <w:szCs w:val="21"/>
        </w:rPr>
      </w:pPr>
    </w:p>
    <w:p>
      <w:pPr>
        <w:rPr>
          <w:rFonts w:ascii="楷体" w:eastAsia="楷体" w:hAnsi="楷体" w:cs="楷体" w:hint="eastAsia"/>
          <w:sz w:val="22"/>
          <w:szCs w:val="24"/>
        </w:rPr>
      </w:pPr>
      <w:r>
        <w:rPr>
          <w:rFonts w:ascii="楷体" w:eastAsia="楷体" w:hAnsi="楷体" w:cs="楷体" w:hint="eastAsia"/>
          <w:sz w:val="22"/>
          <w:szCs w:val="24"/>
        </w:rPr>
        <w:t xml:space="preserve">（六）理财产品份额变动情况</w:t>
      </w:r>
    </w:p>
    <w:tbl>
      <w:tblPr>
        <w:tblStyle w:val="TableNormal"/>
        <w:tblW w:w="7305" w:type="dxa"/>
        <w:tblInd w:w="0" w:type="dxa"/>
        <w:tblLayout w:type="fixed"/>
        <w:tblCellMar>
          <w:top w:w="0" w:type="dxa"/>
          <w:left w:w="108" w:type="dxa"/>
          <w:bottom w:w="0" w:type="dxa"/>
          <w:right w:w="108" w:type="dxa"/>
        </w:tblCellMar>
        <w:tblLook w:firstRow="0" w:lastRow="0" w:firstColumn="0" w:lastColumn="0" w:noHBand="1" w:noVBand="1"/>
      </w:tblPr>
      <w:tblGrid>
        <w:gridCol w:w="2798"/>
        <w:gridCol w:w="4507"/>
      </w:tblGrid>
      <w:tr>
        <w:tblPrEx>
          <w:tblW w:w="7305" w:type="dxa"/>
          <w:tblInd w:w="0" w:type="dxa"/>
          <w:tblLayout w:type="fixed"/>
          <w:tblCellMar>
            <w:top w:w="0" w:type="dxa"/>
            <w:left w:w="108" w:type="dxa"/>
            <w:bottom w:w="0" w:type="dxa"/>
            <w:right w:w="108" w:type="dxa"/>
          </w:tblCellMar>
        </w:tblPrEx>
        <w:trPr>
          <w:trHeight w:val="311"/>
        </w:trPr>
        <w:tc>
          <w:tcPr>
            <w:tcW w:w="2798"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日期</w:t>
            </w:r>
          </w:p>
        </w:tc>
        <w:tc>
          <w:tcPr>
            <w:tcW w:w="4507"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305" w:type="dxa"/>
          <w:tblInd w:w="0" w:type="dxa"/>
          <w:tblLayout w:type="fixed"/>
          <w:tblCellMar>
            <w:top w:w="0" w:type="dxa"/>
            <w:left w:w="108" w:type="dxa"/>
            <w:bottom w:w="0" w:type="dxa"/>
            <w:right w:w="108" w:type="dxa"/>
          </w:tblCellMar>
        </w:tblPrEx>
        <w:trPr>
          <w:trHeight w:val="320"/>
        </w:trPr>
        <w:tc>
          <w:tcPr>
            <w:tcW w:w="2798"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2025-12-31</w:t>
            </w:r>
          </w:p>
        </w:tc>
        <w:tc>
          <w:tcPr>
            <w:tcW w:w="4507"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2,071,572,733.00</w:t>
            </w:r>
          </w:p>
        </w:tc>
      </w:tr>
      <w:tr>
        <w:trPr>
          <w:trHeight w:val="320"/>
        </w:trPr>
        <w:tc>
          <w:tcPr>
            <w:tcW w:w="2798"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4507"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2,071,572,733.00</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四</w:t>
      </w:r>
      <w:r>
        <w:rPr>
          <w:rFonts w:ascii="楷体" w:hAnsi="楷体" w:cs="楷体" w:hint="eastAsia"/>
          <w:lang w:eastAsia="zh-CN"/>
        </w:rPr>
        <w:t xml:space="preserve">、</w:t>
      </w:r>
      <w:r>
        <w:rPr>
          <w:rFonts w:ascii="楷体" w:eastAsia="楷体" w:hAnsi="楷体" w:cs="楷体" w:hint="eastAsia"/>
        </w:rPr>
        <w:t xml:space="preserve">投资运作情况</w:t>
      </w:r>
    </w:p>
    <w:p>
      <w:pPr>
        <w:pStyle w:val="Heading3"/>
        <w:rPr>
          <w:rFonts w:ascii="楷体" w:eastAsia="楷体" w:hAnsi="楷体" w:cs="楷体" w:hint="eastAsia"/>
          <w:b w:val="0"/>
          <w:sz w:val="21"/>
        </w:rPr>
      </w:pPr>
      <w:r>
        <w:rPr>
          <w:rFonts w:ascii="楷体" w:eastAsia="楷体" w:hAnsi="楷体" w:cs="楷体" w:hint="eastAsia"/>
          <w:b w:val="0"/>
          <w:sz w:val="21"/>
        </w:rPr>
        <w:t xml:space="preserve">1、运作期回顾</w:t>
      </w:r>
    </w:p>
    <w:p>
      <w:pPr>
        <w:pStyle w:val="BodyText"/>
        <w:spacing w:before="0" w:line="240" w:lineRule="auto"/>
        <w:ind w:left="0" w:right="0" w:firstLine="0" w:firstLineChars="0"/>
        <w:rPr>
          <w:rFonts w:ascii="楷体" w:eastAsia="楷体" w:hAnsi="楷体" w:cs="楷体" w:hint="eastAsia"/>
          <w:spacing w:val="8"/>
          <w:sz w:val="21"/>
        </w:rPr>
      </w:pPr>
      <w:r>
        <w:rPr>
          <w:rFonts w:ascii="楷体" w:eastAsia="楷体" w:hAnsi="楷体" w:cs="楷体" w:hint="eastAsia"/>
          <w:spacing w:val="8"/>
          <w:sz w:val="21"/>
        </w:rPr>
        <w:t xml:space="preserve">    本理财产品以固收类资产和非标资产为主，主要配置优质非标与中高等级债券，通过对宏观经济、市场利率、债券市场需求供给的变化、信用风险等进行充分研判，主动构建并调整债券资产投资组合，力争获取超额收益。2025年四季度债券市场整体呈震荡趋势，产品整体表现较为稳健，后续有望继续提供长期稳健收益。</w:t>
      </w:r>
    </w:p>
    <w:p>
      <w:pPr>
        <w:pStyle w:val="BodyText"/>
        <w:spacing w:before="43" w:line="275" w:lineRule="auto"/>
        <w:ind w:right="1799" w:firstLine="226" w:firstLineChars="100"/>
        <w:rPr>
          <w:rFonts w:ascii="楷体" w:eastAsia="楷体" w:hAnsi="楷体" w:cs="楷体" w:hint="eastAsia"/>
          <w:spacing w:val="8"/>
          <w:sz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2、后市展望及下阶段投资策略</w:t>
      </w:r>
    </w:p>
    <w:p>
      <w:pPr>
        <w:pStyle w:val="BodyText"/>
        <w:spacing w:before="0" w:line="240" w:lineRule="auto"/>
        <w:ind w:left="0" w:right="0" w:firstLine="0" w:firstLineChars="0"/>
        <w:jc w:val="both"/>
        <w:rPr>
          <w:rFonts w:ascii="楷体" w:eastAsia="楷体" w:hAnsi="楷体" w:cs="楷体" w:hint="eastAsia"/>
          <w:sz w:val="21"/>
        </w:rPr>
      </w:pPr>
      <w:r>
        <w:rPr>
          <w:rFonts w:ascii="楷体" w:eastAsia="楷体" w:hAnsi="楷体" w:cs="楷体" w:hint="eastAsia"/>
          <w:spacing w:val="9"/>
          <w:sz w:val="21"/>
        </w:rPr>
        <w:t xml:space="preserve">    四季度债市波动较大，机构行为和市场情绪占主导地位，品种表现也明显分化。因资金面整体维持宽松，且DR001突破此前1.3%的下限，中短债尤其是普信债表现更为稳定。二永债受公募新规及公募等机构负债不稳定影响，波动也相对较大，利差出现不同程度走阔。利率债收益曲线进一步陡峭化，中短国债受央行买债重启表现较好，10年国债在1.75-1.85%区间震荡，超长债延续了三季度以来震荡上行的走势。展望下阶段，财政政策重心更侧重优化结构而非加大力度，在面临宏观环境不确定性增强的大环境下，经济基本面或延续偏弱态势，货币政策将保持适度宽松，债券市场在前期调整后赔率空间有所上升。同时，仍需要密切关注与跟踪海外的不确定性以及全球的地缘政治风险，尤其是流动性的边际变化。</w:t>
      </w:r>
      <w:r>
        <w:rPr>
          <w:rFonts w:ascii="楷体" w:eastAsia="楷体" w:hAnsi="楷体" w:cs="楷体" w:hint="eastAsia"/>
          <w:spacing w:val="9"/>
          <w:sz w:val="21"/>
        </w:rPr>
        <w:br/>
      </w:r>
      <w:r>
        <w:rPr>
          <w:rFonts w:ascii="楷体" w:eastAsia="楷体" w:hAnsi="楷体" w:cs="楷体" w:hint="eastAsia"/>
          <w:spacing w:val="9"/>
          <w:sz w:val="21"/>
        </w:rPr>
        <w:t xml:space="preserve">    未来将根据市场变化，控制组合久期处于合理稳健区间。资产配置上兼顾安全性、流动性和收益性，坚守风险合规底线，紧密跟踪市场变化，强化投资研究分析，致力于为广大投资者创造长期稳健的投资回报。信用风险方面，我司定期排查持仓债券，目前持仓债券信用情况良好。</w:t>
      </w:r>
    </w:p>
    <w:p>
      <w:pPr>
        <w:ind w:firstLine="420" w:firstLineChars="200"/>
        <w:rPr>
          <w:rFonts w:ascii="楷体" w:eastAsia="楷体" w:hAnsi="楷体" w:cs="楷体" w:hint="eastAsia"/>
          <w:bCs/>
          <w:kern w:val="0"/>
          <w:szCs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3、流动性风险分析</w:t>
      </w:r>
    </w:p>
    <w:p>
      <w:pPr>
        <w:pStyle w:val="BodyText"/>
        <w:spacing w:before="0" w:line="240" w:lineRule="auto"/>
        <w:ind w:left="0" w:right="0" w:firstLine="0" w:firstLineChars="0"/>
        <w:rPr>
          <w:rFonts w:ascii="楷体" w:eastAsia="楷体" w:hAnsi="楷体" w:cs="楷体" w:hint="eastAsia"/>
          <w:sz w:val="21"/>
        </w:rPr>
      </w:pPr>
      <w:r>
        <w:rPr>
          <w:rFonts w:ascii="楷体" w:eastAsia="楷体" w:hAnsi="楷体" w:cs="楷体" w:hint="eastAsia"/>
          <w:spacing w:val="9"/>
          <w:sz w:val="21"/>
        </w:rPr>
        <w:t xml:space="preserve">    本产品持仓优质非标资产与中高等级债券，抗市场波动能力较强，通过组合久期管理、流动性指标监测等多项措施持续加强久期与流动性管理，有效控制产品的流动性风险。</w:t>
      </w:r>
    </w:p>
    <w:p>
      <w:pPr>
        <w:ind w:firstLine="420" w:firstLineChars="200"/>
        <w:rPr>
          <w:rFonts w:ascii="楷体" w:eastAsia="楷体" w:hAnsi="楷体" w:cs="楷体" w:hint="eastAsia"/>
          <w:bCs/>
          <w:kern w:val="0"/>
          <w:szCs w:val="21"/>
        </w:rPr>
      </w:pPr>
    </w:p>
    <w:p>
      <w:pPr>
        <w:rPr>
          <w:rFonts w:ascii="楷体" w:eastAsia="楷体" w:hAnsi="楷体" w:cs="楷体" w:hint="eastAsia"/>
        </w:rPr>
      </w:pPr>
    </w:p>
    <w:p>
      <w:pPr>
        <w:ind w:firstLine="420" w:firstLineChars="200"/>
        <w:rPr>
          <w:rFonts w:ascii="楷体" w:eastAsia="楷体" w:hAnsi="楷体" w:cs="楷体" w:hint="eastAsia"/>
          <w:bCs/>
          <w:kern w:val="0"/>
          <w:szCs w:val="21"/>
        </w:rPr>
      </w:pPr>
    </w:p>
    <w:p>
      <w:pPr>
        <w:rPr>
          <w:rFonts w:ascii="楷体" w:eastAsia="楷体" w:hAnsi="楷体" w:cs="楷体" w:hint="eastAsia"/>
          <w:sz w:val="21"/>
          <w:szCs w:val="21"/>
        </w:rPr>
      </w:pPr>
    </w:p>
    <w:p>
      <w:pPr>
        <w:jc w:val="right"/>
        <w:rPr>
          <w:rFonts w:ascii="楷体" w:eastAsia="楷体" w:hAnsi="楷体" w:cs="楷体" w:hint="eastAsia"/>
          <w:sz w:val="21"/>
          <w:szCs w:val="21"/>
        </w:rPr>
      </w:pPr>
      <w:r>
        <w:rPr>
          <w:rFonts w:ascii="楷体" w:eastAsia="楷体" w:hAnsi="楷体" w:cs="楷体" w:hint="eastAsia"/>
          <w:b/>
          <w:sz w:val="21"/>
          <w:szCs w:val="21"/>
        </w:rPr>
        <w:t xml:space="preserve">苏银理财有限责任公司</w:t>
      </w:r>
    </w:p>
    <w:p>
      <w:pPr>
        <w:ind w:firstLine="630" w:firstLineChars="300"/>
        <w:jc w:val="right"/>
        <w:rPr>
          <w:rFonts w:ascii="楷体" w:eastAsia="楷体" w:hAnsi="楷体" w:cs="楷体" w:hint="eastAsia"/>
          <w:sz w:val="21"/>
          <w:szCs w:val="21"/>
        </w:rPr>
      </w:pPr>
      <w:r>
        <w:rPr>
          <w:rFonts w:ascii="楷体" w:eastAsia="楷体" w:hAnsi="楷体" w:cs="楷体" w:hint="eastAsia"/>
          <w:sz w:val="21"/>
          <w:szCs w:val="21"/>
        </w:rPr>
        <w:t xml:space="preserve">2025年12月31日</w:t>
      </w:r>
    </w:p>
    <w:p>
      <w:pPr>
        <w:rPr>
          <w:rFonts w:ascii="楷体" w:eastAsia="楷体" w:hAnsi="楷体" w:cs="楷体" w:hint="eastAsia"/>
          <w:sz w:val="21"/>
          <w:szCs w:val="21"/>
        </w:rPr>
      </w:pPr>
    </w:p>
    <w:p>
      <w:pPr>
        <w:rPr>
          <w:rFonts w:ascii="楷体" w:eastAsia="楷体" w:hAnsi="楷体" w:cs="楷体" w:hint="eastAsia"/>
          <w:sz w:val="21"/>
          <w:szCs w:val="21"/>
        </w:rPr>
      </w:pPr>
      <w:r>
        <w:rPr>
          <w:rFonts w:ascii="楷体" w:eastAsia="楷体" w:hAnsi="楷体" w:cs="楷体" w:hint="eastAsia"/>
          <w:sz w:val="21"/>
          <w:szCs w:val="21"/>
        </w:rPr>
        <w:t xml:space="preserve">备注：本次披露内容解释权归苏银理财所有，不构成任何形式的法律要约或承诺。</w:t>
      </w:r>
    </w:p>
    <w:sectPr>
      <w:headerReference w:type="even" r:id="rId5"/>
      <w:headerReference w:type="default" r:id="rId6"/>
      <w:headerReference w:type="first" r:id="rId7"/>
      <w:footerReference w:type="default" r:id="rId8"/>
      <w:pgSz w:w="11906" w:h="16838" w:orient="portrait"/>
      <w:pgMar w:top="1440" w:right="1800" w:bottom="1440" w:left="1701" w:header="851" w:footer="992" w:gutter="0"/>
      <w:cols w:num="1" w:space="720">
        <w:col w:w="8405" w:space="720"/>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Auto"/>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Auto"/>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Auto"/>
    <w:pitch w:val="default"/>
    <w:sig w:usb0="E0002EFF" w:usb1="C0007843" w:usb2="00000009" w:usb3="00000000" w:csb0="400001FF" w:csb1="FFFF0000"/>
  </w:font>
  <w:font w:name="Symbol">
    <w:panose1 w:val="05050102010706020507"/>
    <w:charset w:val="02"/>
    <w:family w:val="Auto"/>
    <w:pitch w:val="default"/>
    <w:sig w:usb0="00000000" w:usb1="00000000" w:usb2="00000000" w:usb3="00000000" w:csb0="80000000" w:csb1="00000000"/>
  </w:font>
  <w:font w:name="Calibri">
    <w:panose1 w:val="020F0502020204030204"/>
    <w:charset w:val="00"/>
    <w:family w:val="Auto"/>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Footer"/>
      <w:jc w:val="center"/>
    </w:pPr>
    <w:r>
      <w:rPr>
        <w:lang w:val="zh-CN"/>
      </w:rPr>
      <w:t xml:space="preserve"> </w:t>
    </w:r>
    <w:r>
      <w:rPr>
        <w:b/>
        <w:bCs/>
      </w:rPr>
      <w:fldChar w:fldCharType="begin"/>
    </w:r>
    <w:r>
      <w:rPr>
        <w:b/>
        <w:bCs/>
      </w:rPr>
      <w:instrText xml:space="preserve">PAGE</w:instrText>
    </w:r>
    <w:r>
      <w:rPr>
        <w:b/>
        <w:bCs/>
        <w:sz w:val="24"/>
        <w:szCs w:val="24"/>
      </w:rPr>
      <w:fldChar w:fldCharType="separate"/>
    </w:r>
    <w:r>
      <w:rPr>
        <w:b/>
        <w:bCs/>
      </w:rPr>
      <w:t xml:space="preserve">2</w:t>
    </w:r>
    <w:r>
      <w:rPr>
        <w:b/>
        <w:bCs/>
        <w:sz w:val="24"/>
        <w:szCs w:val="24"/>
      </w:rPr>
      <w:fldChar w:fldCharType="end"/>
    </w:r>
    <w:r>
      <w:rPr>
        <w:lang w:val="zh-CN"/>
      </w:rPr>
      <w:t xml:space="preserve"> / </w:t>
    </w:r>
    <w:r>
      <w:rPr>
        <w:b/>
        <w:bCs/>
      </w:rPr>
      <w:fldChar w:fldCharType="begin"/>
    </w:r>
    <w:r>
      <w:rPr>
        <w:b/>
        <w:bCs/>
      </w:rPr>
      <w:instrText xml:space="preserve">NUMPAGES</w:instrText>
    </w:r>
    <w:r>
      <w:rPr>
        <w:b/>
        <w:bCs/>
        <w:sz w:val="24"/>
        <w:szCs w:val="24"/>
      </w:rPr>
      <w:fldChar w:fldCharType="separate"/>
    </w:r>
    <w:r>
      <w:rPr>
        <w:b/>
        <w:bCs/>
      </w:rPr>
      <w:t xml:space="preserve">4</w:t>
    </w:r>
    <w:r>
      <w:rPr>
        <w:b/>
        <w:bCs/>
        <w:sz w:val="24"/>
        <w:szCs w:val="24"/>
      </w:rPr>
      <w:fldChar w:fldCharType="end"/>
    </w:r>
  </w:p>
  <w:p>
    <w:pPr>
      <w:pStyle w:val="Footer"/>
    </w:pPr>
  </w:p>
</w:ftr>
</file>

<file path=word/header1.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5" o:spid="WordPictureWatermark3596" type="#_x0000_t75" style="height:862.85pt;margin-left:0;margin-top:0;mso-height-relative:page;mso-position-horizontal:center;mso-position-horizontal-relative:margin;mso-position-vertical:center;mso-position-vertical-relative:margin;mso-width-relative:page;position:absolute;width:1137.35pt;z-index:-251656192" coordsize="21600,21600" o:allowincell="f" o:preferrelative="t" filled="f" stroked="f">
          <v:stroke joinstyle="miter"/>
          <v:imagedata r:id="rId1" o:title="苏银理财" gain="19661f" blacklevel="22938f"/>
          <o:lock v:ext="edit" aspectratio="t"/>
          <w10:wrap anchorx="margin" anchory="margin"/>
        </v:shape>
      </w:pict>
    </w:r>
  </w:p>
</w:hdr>
</file>

<file path=word/header2.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BodyText"/>
      <w:kinsoku w:val="0"/>
      <w:overflowPunct w:val="0"/>
      <w:spacing w:before="0" w:line="320" w:lineRule="exact"/>
      <w:ind w:left="20"/>
      <w:jc w:val="both"/>
      <w:rPr>
        <w:rFonts w:ascii="楷体" w:eastAsia="楷体" w:hAnsi="楷体" w:cs="黑体"/>
        <w:b/>
        <w:spacing w:val="-2"/>
        <w:sz w:val="24"/>
        <w:szCs w:val="24"/>
      </w:rPr>
    </w:pPr>
    <w:r>
      <w:rPr/>
      <w:pict>
        <v:shape id="WordPictureWatermark1026" o:spid="WordPictureWatermark3598" type="#_x0000_t75" style="height:862.85pt;margin-left:0;margin-top:0;mso-height-relative:page;mso-position-horizontal:center;mso-position-horizontal-relative:margin;mso-position-vertical:center;mso-position-vertical-relative:margin;mso-width-relative:page;position:absolute;width:1137.35pt;z-index:-251655168" coordsize="21600,21600" o:allowincell="f" o:preferrelative="t" filled="f" stroked="f">
          <v:stroke joinstyle="miter"/>
          <v:imagedata r:id="rId1" o:title="苏银理财" gain="19661f" blacklevel="22938f"/>
          <o:lock v:ext="edit" aspectratio="t"/>
          <w10:wrap anchorx="margin" anchory="margin"/>
        </v:shape>
      </w:pict>
    </w:r>
    <w:r>
      <w:pict>
        <v:shape id="图片 1" o:spid="_x0000_s3599" type="#_x0000_t75" style="height:33.45pt;margin-left:308.95pt;margin-top:-7.5pt;mso-height-relative:page;mso-width-relative:page;mso-wrap-distance-bottom:0;mso-wrap-distance-left:9pt;mso-wrap-distance-right:9pt;mso-wrap-distance-top:0;position:absolute;width:104.35pt;z-index:251662336" coordsize="21600,21600" o:preferrelative="t" filled="f" stroked="f">
          <v:stroke joinstyle="miter"/>
          <v:imagedata r:id="rId2" o:title=""/>
          <o:lock v:ext="edit" aspectratio="t"/>
          <w10:wrap type="square"/>
        </v:shape>
      </w:pict>
    </w:r>
    <w:r>
      <w:rPr>
        <w:rFonts w:ascii="楷体" w:eastAsia="楷体" w:hAnsi="楷体" w:cs="黑体" w:hint="eastAsia"/>
        <w:b/>
        <w:bCs/>
        <w:spacing w:val="-2"/>
        <w:sz w:val="24"/>
        <w:szCs w:val="24"/>
      </w:rPr>
      <w:t xml:space="preserve">理财非存款、产品有风险、投资须谨慎</w:t>
    </w:r>
  </w:p>
</w:hdr>
</file>

<file path=word/header3.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7" o:spid="WordPictureWatermark3601" type="#_x0000_t75" style="height:862.85pt;margin-left:0;margin-top:0;mso-height-relative:page;mso-position-horizontal:center;mso-position-horizontal-relative:margin;mso-position-vertical:center;mso-position-vertical-relative:margin;mso-width-relative:page;position:absolute;width:1137.35pt;z-index:-251657216" coordsize="21600,21600" o:allowincell="f" o:preferrelative="t" filled="f" stroked="f">
          <v:stroke joinstyle="miter"/>
          <v:imagedata r:id="rId1" o:title="苏银理财" gain="19661f" blacklevel="22938f"/>
          <o:lock v:ext="edit" aspectratio="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1080" w:hanging="360"/>
      </w:pPr>
      <w:rPr>
        <w:rFonts w:ascii="Times New Roman" w:eastAsia="Times New Roman" w:hAnsi="Times New Roman" w:cs="Times New Roman"/>
      </w:rPr>
    </w:lvl>
    <w:lvl w:ilvl="1">
      <w:start w:val="1"/>
      <w:numFmt w:val="lowerLetter"/>
      <w:suff w:val="tab"/>
      <w:lvlText w:val="%2."/>
      <w:lvlJc w:val="right"/>
      <w:pPr>
        <w:ind w:left="1800" w:hanging="360"/>
      </w:pPr>
      <w:rPr>
        <w:rFonts w:ascii="Times New Roman" w:eastAsia="Times New Roman" w:hAnsi="Times New Roman" w:cs="Times New Roman"/>
      </w:rPr>
    </w:lvl>
    <w:lvl w:ilvl="2">
      <w:start w:val="1"/>
      <w:numFmt w:val="lowerRoman"/>
      <w:suff w:val="tab"/>
      <w:lvlText w:val="%3."/>
      <w:lvlJc w:val="left"/>
      <w:pPr>
        <w:ind w:left="2520" w:hanging="360"/>
      </w:pPr>
      <w:rPr>
        <w:rFonts w:ascii="Times New Roman" w:eastAsia="Times New Roman" w:hAnsi="Times New Roman" w:cs="Times New Roman"/>
      </w:rPr>
    </w:lvl>
    <w:lvl w:ilvl="3">
      <w:start w:val="1"/>
      <w:numFmt w:val="decimal"/>
      <w:suff w:val="tab"/>
      <w:lvlText w:val="%4."/>
      <w:lvlJc w:val="left"/>
      <w:pPr>
        <w:ind w:left="3240" w:hanging="360"/>
      </w:pPr>
      <w:rPr>
        <w:rFonts w:ascii="Times New Roman" w:eastAsia="Times New Roman" w:hAnsi="Times New Roman" w:cs="Times New Roman"/>
      </w:rPr>
    </w:lvl>
    <w:lvl w:ilvl="4">
      <w:start w:val="1"/>
      <w:numFmt w:val="lowerLetter"/>
      <w:suff w:val="tab"/>
      <w:lvlText w:val="%5."/>
      <w:lvlJc w:val="right"/>
      <w:pPr>
        <w:ind w:left="3960" w:hanging="360"/>
      </w:pPr>
      <w:rPr>
        <w:rFonts w:ascii="Times New Roman" w:eastAsia="Times New Roman" w:hAnsi="Times New Roman" w:cs="Times New Roman"/>
      </w:rPr>
    </w:lvl>
    <w:lvl w:ilvl="5">
      <w:start w:val="1"/>
      <w:numFmt w:val="lowerRoman"/>
      <w:suff w:val="tab"/>
      <w:lvlText w:val="%6."/>
      <w:lvlJc w:val="left"/>
      <w:pPr>
        <w:ind w:left="4680" w:hanging="360"/>
      </w:pPr>
      <w:rPr>
        <w:rFonts w:ascii="Times New Roman" w:eastAsia="Times New Roman" w:hAnsi="Times New Roman" w:cs="Times New Roman"/>
      </w:rPr>
    </w:lvl>
    <w:lvl w:ilvl="6">
      <w:start w:val="1"/>
      <w:numFmt w:val="decimal"/>
      <w:suff w:val="tab"/>
      <w:lvlText w:val="%7."/>
      <w:lvlJc w:val="left"/>
      <w:pPr>
        <w:ind w:left="5400" w:hanging="360"/>
      </w:pPr>
      <w:rPr>
        <w:rFonts w:ascii="Times New Roman" w:eastAsia="Times New Roman" w:hAnsi="Times New Roman" w:cs="Times New Roman"/>
      </w:rPr>
    </w:lvl>
    <w:lvl w:ilvl="7">
      <w:start w:val="1"/>
      <w:numFmt w:val="lowerLetter"/>
      <w:suff w:val="tab"/>
      <w:lvlText w:val="%8."/>
      <w:lvlJc w:val="right"/>
      <w:pPr>
        <w:ind w:left="6120" w:hanging="360"/>
      </w:pPr>
      <w:rPr>
        <w:rFonts w:ascii="Times New Roman" w:eastAsia="Times New Roman" w:hAnsi="Times New Roman" w:cs="Times New Roman"/>
      </w:rPr>
    </w:lvl>
    <w:lvl w:ilvl="8">
      <w:start w:val="1"/>
      <w:numFmt w:val="lowerRoman"/>
      <w:suff w:val="tab"/>
      <w:lvlText w:val="%9."/>
      <w:lvlJc w:val="left"/>
      <w:pPr>
        <w:ind w:left="684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1080" w:hanging="360"/>
      </w:pPr>
      <w:rPr>
        <w:rFonts w:ascii="Symbol" w:eastAsia="Symbol" w:hAnsi="Symbol" w:cs="Symbol"/>
      </w:rPr>
    </w:lvl>
    <w:lvl w:ilvl="1">
      <w:start w:val="1"/>
      <w:numFmt w:val="bullet"/>
      <w:suff w:val="tab"/>
      <w:lvlText w:val="o"/>
      <w:lvlJc w:val="left"/>
      <w:pPr>
        <w:ind w:left="1800" w:hanging="360"/>
      </w:pPr>
      <w:rPr>
        <w:rFonts w:ascii="Courier New" w:eastAsia="Courier New" w:hAnsi="Courier New" w:cs="Courier New"/>
      </w:rPr>
    </w:lvl>
    <w:lvl w:ilvl="2">
      <w:start w:val="1"/>
      <w:numFmt w:val="bullet"/>
      <w:suff w:val="tab"/>
      <w:lvlText w:val=""/>
      <w:lvlJc w:val="left"/>
      <w:pPr>
        <w:ind w:left="2520" w:hanging="360"/>
      </w:pPr>
      <w:rPr>
        <w:rFonts w:ascii="Wingdings" w:eastAsia="Wingdings" w:hAnsi="Wingdings" w:cs="Wingdings"/>
      </w:rPr>
    </w:lvl>
    <w:lvl w:ilvl="3">
      <w:start w:val="1"/>
      <w:numFmt w:val="bullet"/>
      <w:suff w:val="tab"/>
      <w:lvlText w:val=""/>
      <w:lvlJc w:val="left"/>
      <w:pPr>
        <w:ind w:left="3240" w:hanging="360"/>
      </w:pPr>
      <w:rPr>
        <w:rFonts w:ascii="Symbol" w:eastAsia="Symbol" w:hAnsi="Symbol" w:cs="Symbol"/>
      </w:rPr>
    </w:lvl>
    <w:lvl w:ilvl="4">
      <w:start w:val="1"/>
      <w:numFmt w:val="bullet"/>
      <w:suff w:val="tab"/>
      <w:lvlText w:val="o"/>
      <w:lvlJc w:val="left"/>
      <w:pPr>
        <w:ind w:left="3960" w:hanging="360"/>
      </w:pPr>
      <w:rPr>
        <w:rFonts w:ascii="Courier New" w:eastAsia="Courier New" w:hAnsi="Courier New" w:cs="Courier New"/>
      </w:rPr>
    </w:lvl>
    <w:lvl w:ilvl="5">
      <w:start w:val="1"/>
      <w:numFmt w:val="bullet"/>
      <w:suff w:val="tab"/>
      <w:lvlText w:val=""/>
      <w:lvlJc w:val="left"/>
      <w:pPr>
        <w:ind w:left="4680" w:hanging="360"/>
      </w:pPr>
      <w:rPr>
        <w:rFonts w:ascii="Wingdings" w:eastAsia="Wingdings" w:hAnsi="Wingdings" w:cs="Wingdings"/>
      </w:rPr>
    </w:lvl>
    <w:lvl w:ilvl="6">
      <w:start w:val="1"/>
      <w:numFmt w:val="bullet"/>
      <w:suff w:val="tab"/>
      <w:lvlText w:val=""/>
      <w:lvlJc w:val="left"/>
      <w:pPr>
        <w:ind w:left="5400" w:hanging="360"/>
      </w:pPr>
      <w:rPr>
        <w:rFonts w:ascii="Symbol" w:eastAsia="Symbol" w:hAnsi="Symbol" w:cs="Symbol"/>
      </w:rPr>
    </w:lvl>
    <w:lvl w:ilvl="7">
      <w:start w:val="1"/>
      <w:numFmt w:val="bullet"/>
      <w:suff w:val="tab"/>
      <w:lvlText w:val="o"/>
      <w:lvlJc w:val="left"/>
      <w:pPr>
        <w:ind w:left="6120" w:hanging="360"/>
      </w:pPr>
      <w:rPr>
        <w:rFonts w:ascii="Courier New" w:eastAsia="Courier New" w:hAnsi="Courier New" w:cs="Courier New"/>
      </w:rPr>
    </w:lvl>
    <w:lvl w:ilvl="8">
      <w:start w:val="1"/>
      <w:numFmt w:val="bullet"/>
      <w:suff w:val="tab"/>
      <w:lvlText w:val=""/>
      <w:lvlJc w:val="left"/>
      <w:pPr>
        <w:ind w:left="6840" w:hanging="360"/>
      </w:pPr>
      <w:rPr>
        <w:rFonts w:ascii="Wingdings" w:eastAsia="Wingdings" w:hAnsi="Wingdings" w:cs="Wingdings"/>
      </w:rPr>
    </w:lvl>
  </w:abstractNum>
  <w:abstractNum w:abstractNumId="2">
    <w:multiLevelType w:val="singleLevel"/>
    <w:lvl w:ilvl="0">
      <w:start w:val="3"/>
      <w:numFmt w:val="chineseCounting"/>
      <w:suff w:val="nothing"/>
      <w:lvlText w:val="（%1）"/>
      <w:lvlJc w:val="left"/>
      <w:rPr>
        <w:rFonts w:hint="eastAsia"/>
      </w:rPr>
    </w:lvl>
  </w:abstractNum>
  <w:abstractNum w:abstractNumId="3">
    <w:multiLevelType w:val="singleLevel"/>
    <w:lvl w:ilvl="0">
      <w:start w:val="3"/>
      <w:numFmt w:val="decimal"/>
      <w:suff w:val="nothing"/>
      <w:lvlText w:val="%1）"/>
      <w:lvlJc w:val="lef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14="http://schemas.microsoft.com/office/word/2010/wordml" xmlns:sl="http://schemas.openxmlformats.org/schemaLibrary/2006/main" xmlns:w="http://schemas.openxmlformats.org/wordprocessingml/2006/main" mc:Ignorable="w14">
  <w:zoom w:percent="16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docVars>
    <w:docVar w:name="commondata" w:val="eyJoZGlkIjoiM2Q0YzJjZmYwZmM4YTNhMDViNTkyMTNhM2QwMmM4Njg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宋体" w:hAnsi="Arial" w:eastAsiaTheme="minorEastAsia" w:cs="Arial"/>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semiHidden="0" w:uiPriority="1"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annotation text" w:semiHidden="0" w:qFormat="1"/>
    <w:lsdException w:name="header" w:semiHidden="0" w:qFormat="1"/>
    <w:lsdException w:name="footer" w:semiHidden="0" w:qFormat="1"/>
    <w:lsdException w:name="index heading" w:uiPriority="0"/>
    <w:lsdException w:name="caption" w:uiPriority="35" w:qFormat="1"/>
    <w:lsdException w:name="table of figures" w:uiPriority="0"/>
    <w:lsdException w:name="envelope address" w:uiPriority="0"/>
    <w:lsdException w:name="envelope return" w:uiPriority="0"/>
    <w:lsdException w:name="footnote reference" w:uiPriority="0"/>
    <w:lsdException w:name="annotation reference" w:semiHidden="0" w:qFormat="1"/>
    <w:lsdException w:name="line number" w:uiPriority="0"/>
    <w:lsdException w:name="page number" w:uiPriority="0"/>
    <w:lsdException w:name="endnote reference" w:uiPriority="0"/>
    <w:lsdException w:name="endnote text" w:uiPriority="0"/>
    <w:lsdException w:name="table of authorities" w:uiPriority="0"/>
    <w:lsdException w:name="macro" w:uiPriority="0"/>
    <w:lsdException w:name="toa heading"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10" w:unhideWhenUsed="0" w:qFormat="1"/>
    <w:lsdException w:name="Closing" w:uiPriority="0"/>
    <w:lsdException w:name="Signature" w:uiPriority="0"/>
    <w:lsdException w:name="Default Paragraph Font" w:uiPriority="1" w:qFormat="1"/>
    <w:lsdException w:name="Body Text" w:semiHidden="0" w:uiPriority="1" w:unhideWhenUsed="0" w:qFormat="1"/>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Message Header" w:uiPriority="0"/>
    <w:lsdException w:name="Subtitle" w:semiHidden="0" w:uiPriority="11" w:unhideWhenUsed="0" w:qFormat="1"/>
    <w:lsdException w:name="Salutation" w:uiPriority="0"/>
    <w:lsdException w:name="Date" w:uiPriority="0"/>
    <w:lsdException w:name="Body Text First Indent" w:uiPriority="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E-mail Signature" w:uiPriority="0"/>
    <w:lsdException w:name="Normal (Web)" w:semiHidden="0" w:qFormat="1"/>
    <w:lsdException w:name="HTML Acronym" w:uiPriority="0"/>
    <w:lsdException w:name="HTML Address" w:uiPriority="0"/>
    <w:lsdException w:name="HTML Cite" w:uiPriority="0"/>
    <w:lsdException w:name="HTML Code" w:uiPriority="0"/>
    <w:lsdException w:name="HTML Definition" w:uiPriority="0"/>
    <w:lsdException w:name="HTML Keyboard" w:uiPriority="0"/>
    <w:lsdException w:name="HTML Preformatted" w:uiPriority="0"/>
    <w:lsdException w:name="HTML Sample" w:uiPriority="0"/>
    <w:lsdException w:name="HTML Variable" w:uiPriority="0"/>
    <w:lsdException w:name="Normal Table" w:qFormat="1"/>
    <w:lsdException w:name="annotation subject" w:uiPriority="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semiHidden="0" w:qFormat="1"/>
    <w:lsdException w:name="Table Grid" w:semiHidden="0" w:uiPriority="39" w:unhideWhenUsed="0" w:qFormat="1"/>
    <w:lsdException w:name="Table Theme" w:uiPriority="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宋体" w:eastAsia="宋体" w:hAnsi="宋体" w:cs="宋体"/>
      <w:kern w:val="2"/>
      <w:sz w:val="28"/>
      <w:szCs w:val="22"/>
      <w:lang w:val="en-US" w:eastAsia="zh-CN" w:bidi="ar-SA"/>
    </w:rPr>
  </w:style>
  <w:style w:type="paragraph" w:styleId="Heading3">
    <w:name w:val="Heading 3"/>
    <w:basedOn w:val="Normal"/>
    <w:next w:val="Normal"/>
    <w:uiPriority w:val="1"/>
    <w:qFormat/>
    <w:pPr>
      <w:autoSpaceDE w:val="0"/>
      <w:autoSpaceDN w:val="0"/>
      <w:adjustRightInd w:val="0"/>
      <w:spacing w:before="34"/>
      <w:ind w:left="120"/>
      <w:jc w:val="left"/>
      <w:outlineLvl w:val="2"/>
    </w:pPr>
    <w:rPr>
      <w:rFonts w:ascii="宋体" w:eastAsia="楷体" w:hAnsi="Times New Roman"/>
      <w:b/>
      <w:bCs/>
      <w:kern w:val="0"/>
      <w:sz w:val="24"/>
      <w:szCs w:val="21"/>
    </w:rPr>
  </w:style>
  <w:style w:type="character" w:default="1" w:styleId="DefaultParagraphFont">
    <w:name w:val="Default Paragraph Font"/>
    <w:uiPriority w:val="1"/>
    <w:semiHidden/>
    <w:unhideWhenUsed/>
    <w:qFormat/>
    <w:rPr/>
  </w:style>
  <w:style w:type="table" w:default="1" w:styleId="TableNormal">
    <w:name w:val="Normal Table"/>
    <w:uiPriority w:val="99"/>
    <w:semiHidden/>
    <w:unhideWhenUsed/>
    <w:qFormat/>
    <w:rPr/>
    <w:tblPr>
      <w:tblCellMar>
        <w:top w:w="0" w:type="dxa"/>
        <w:left w:w="108" w:type="dxa"/>
        <w:bottom w:w="0" w:type="dxa"/>
        <w:right w:w="108" w:type="dxa"/>
      </w:tblCellMar>
    </w:tblPr>
  </w:style>
  <w:style w:type="paragraph" w:styleId="annotationtext">
    <w:name w:val="annotation text"/>
    <w:basedOn w:val="Normal"/>
    <w:uiPriority w:val="99"/>
    <w:unhideWhenUsed/>
    <w:qFormat/>
    <w:pPr>
      <w:jc w:val="left"/>
    </w:pPr>
    <w:rPr/>
  </w:style>
  <w:style w:type="paragraph" w:styleId="BodyText">
    <w:name w:val="Body Text"/>
    <w:basedOn w:val="Normal"/>
    <w:uiPriority w:val="1"/>
    <w:qFormat/>
    <w:pPr>
      <w:autoSpaceDE w:val="0"/>
      <w:autoSpaceDN w:val="0"/>
      <w:adjustRightInd w:val="0"/>
      <w:spacing w:before="162"/>
      <w:ind w:left="120"/>
      <w:jc w:val="left"/>
    </w:pPr>
    <w:rPr>
      <w:rFonts w:ascii="宋体" w:eastAsia="宋体" w:hAnsi="Times New Roman" w:cs="宋体"/>
      <w:kern w:val="0"/>
      <w:sz w:val="20"/>
      <w:szCs w:val="21"/>
    </w:rPr>
  </w:style>
  <w:style w:type="paragraph" w:styleId="BalloonText">
    <w:name w:val="Balloon Text"/>
    <w:basedOn w:val="Normal"/>
    <w:uiPriority w:val="99"/>
    <w:unhideWhenUsed/>
    <w:qFormat/>
    <w:rPr>
      <w:sz w:val="18"/>
      <w:szCs w:val="18"/>
    </w:rPr>
  </w:style>
  <w:style w:type="paragraph" w:styleId="Footer">
    <w:name w:val="Footer"/>
    <w:basedOn w:val="Normal"/>
    <w:uiPriority w:val="99"/>
    <w:unhideWhenUsed/>
    <w:qFormat/>
    <w:pPr>
      <w:tabs>
        <w:tab w:val="center" w:pos="4153"/>
        <w:tab w:val="right" w:pos="8306"/>
      </w:tabs>
      <w:snapToGrid w:val="0"/>
      <w:jc w:val="left"/>
    </w:pPr>
    <w:rPr>
      <w:sz w:val="18"/>
      <w:szCs w:val="18"/>
    </w:rPr>
  </w:style>
  <w:style w:type="paragraph" w:styleId="Header">
    <w:name w:val="Header"/>
    <w:basedOn w:val="Normal"/>
    <w:uiPriority w:val="99"/>
    <w:unhideWhenUsed/>
    <w:qFormat/>
    <w:pPr>
      <w:pBdr>
        <w:bottom w:val="single" w:sz="6" w:space="1" w:color="auto"/>
      </w:pBdr>
      <w:tabs>
        <w:tab w:val="center" w:pos="4153"/>
        <w:tab w:val="right" w:pos="8306"/>
      </w:tabs>
      <w:snapToGrid w:val="0"/>
      <w:jc w:val="center"/>
    </w:pPr>
    <w:rPr>
      <w:sz w:val="18"/>
      <w:szCs w:val="18"/>
    </w:rPr>
  </w:style>
  <w:style w:type="paragraph" w:styleId="Normal(Web)">
    <w:name w:val="Normal (Web)"/>
    <w:basedOn w:val="Normal"/>
    <w:uiPriority w:val="99"/>
    <w:unhideWhenUsed/>
    <w:qFormat/>
    <w:pPr>
      <w:widowControl/>
      <w:spacing w:before="100" w:beforeAutospacing="1" w:after="100" w:afterAutospacing="1"/>
      <w:jc w:val="left"/>
    </w:pPr>
    <w:rPr>
      <w:rFonts w:ascii="宋体" w:eastAsia="宋体" w:hAnsi="宋体" w:cs="宋体"/>
      <w:kern w:val="0"/>
      <w:sz w:val="24"/>
      <w:szCs w:val="24"/>
    </w:rPr>
  </w:style>
  <w:style w:type="character" w:styleId="annotationreference">
    <w:name w:val="annotation reference"/>
    <w:uiPriority w:val="99"/>
    <w:unhideWhenUsed/>
    <w:qFormat/>
    <w:rPr>
      <w:sz w:val="21"/>
      <w:szCs w:val="21"/>
    </w:rPr>
  </w:style>
  <w:style w:type="table" w:styleId="TableGrid">
    <w:name w:val="Table Grid"/>
    <w:basedOn w:val="TableNormal"/>
    <w:uiPriority w:val="39"/>
    <w:qForma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无间隔1">
    <w:name w:val="无间隔1"/>
    <w:uiPriority w:val="1"/>
    <w:qFormat/>
    <w:pPr>
      <w:widowControl w:val="0"/>
      <w:jc w:val="both"/>
    </w:pPr>
    <w:rPr>
      <w:rFonts w:ascii="等线" w:eastAsia="等线" w:hAnsi="等线" w:cs="Times New Roman"/>
      <w:kern w:val="2"/>
      <w:sz w:val="21"/>
      <w:szCs w:val="22"/>
      <w:lang w:val="en-US" w:eastAsia="zh-CN" w:bidi="ar-SA"/>
    </w:rPr>
  </w:style>
  <w:style w:type="paragraph" w:customStyle="1" w:styleId="标题4">
    <w:name w:val="标题4"/>
    <w:basedOn w:val="Normal"/>
    <w:qFormat/>
    <w:rPr>
      <w:rFonts w:eastAsia="楷体"/>
    </w:rPr>
  </w:style>
  <w:style w:type="character" w:customStyle="1" w:styleId="页眉字符">
    <w:name w:val="页眉 字符"/>
    <w:link w:val="批注框文本字符"/>
    <w:uiPriority w:val="99"/>
    <w:qFormat/>
    <w:rPr>
      <w:sz w:val="18"/>
      <w:szCs w:val="18"/>
    </w:rPr>
  </w:style>
  <w:style w:type="character" w:customStyle="1" w:styleId="页脚字符">
    <w:name w:val="页脚 字符"/>
    <w:link w:val="标题3字符"/>
    <w:uiPriority w:val="99"/>
    <w:qFormat/>
    <w:rPr>
      <w:sz w:val="18"/>
      <w:szCs w:val="18"/>
    </w:rPr>
  </w:style>
  <w:style w:type="character" w:customStyle="1" w:styleId="正文文本字符1">
    <w:name w:val="正文文本 字符1"/>
    <w:uiPriority w:val="1"/>
    <w:qFormat/>
    <w:rPr>
      <w:rFonts w:ascii="宋体" w:eastAsia="宋体" w:hAnsi="Times New Roman" w:cs="宋体"/>
      <w:szCs w:val="21"/>
    </w:rPr>
  </w:style>
  <w:style w:type="character" w:customStyle="1" w:styleId="正文文本字符">
    <w:name w:val="正文文本 字符"/>
    <w:uiPriority w:val="99"/>
    <w:semiHidden/>
    <w:qFormat/>
    <w:rPr>
      <w:kern w:val="2"/>
      <w:sz w:val="21"/>
      <w:szCs w:val="22"/>
    </w:rPr>
  </w:style>
  <w:style w:type="character" w:customStyle="1" w:styleId="批注文字字符1">
    <w:name w:val="批注文字 字符1"/>
    <w:uiPriority w:val="99"/>
    <w:qFormat/>
    <w:rPr>
      <w:kern w:val="2"/>
      <w:sz w:val="21"/>
      <w:szCs w:val="22"/>
    </w:rPr>
  </w:style>
  <w:style w:type="character" w:customStyle="1" w:styleId="批注文字字符">
    <w:name w:val="批注文字 字符"/>
    <w:uiPriority w:val="99"/>
    <w:semiHidden/>
    <w:qFormat/>
    <w:rPr>
      <w:kern w:val="2"/>
      <w:sz w:val="21"/>
      <w:szCs w:val="22"/>
    </w:rPr>
  </w:style>
  <w:style w:type="character" w:customStyle="1" w:styleId="批注框文本字符">
    <w:name w:val="批注框文本 字符"/>
    <w:uiPriority w:val="99"/>
    <w:semiHidden/>
    <w:qFormat/>
    <w:rPr>
      <w:kern w:val="2"/>
      <w:sz w:val="18"/>
      <w:szCs w:val="18"/>
    </w:rPr>
  </w:style>
  <w:style w:type="character" w:customStyle="1" w:styleId="标题3字符">
    <w:name w:val="标题 3 字符"/>
    <w:uiPriority w:val="9"/>
    <w:semiHidden/>
    <w:qFormat/>
    <w:rPr>
      <w:b/>
      <w:bCs/>
      <w:kern w:val="2"/>
      <w:sz w:val="32"/>
      <w:szCs w:val="32"/>
    </w:rPr>
  </w:style>
  <w:style w:type="character" w:customStyle="1" w:styleId="标题3字符1">
    <w:name w:val="标题 3 字符1"/>
    <w:link w:val="Heading3"/>
    <w:uiPriority w:val="1"/>
    <w:qFormat/>
    <w:rPr>
      <w:rFonts w:ascii="宋体" w:eastAsia="楷体" w:hAnsi="Times New Roman"/>
      <w:b/>
      <w:bCs/>
      <w:sz w:val="24"/>
      <w:szCs w:val="21"/>
    </w:rPr>
  </w:style>
  <w:style w:type="character" w:customStyle="1" w:styleId="标题4字符">
    <w:name w:val="标题4 字符"/>
    <w:qFormat/>
    <w:rPr>
      <w:rFonts w:eastAsia="楷体"/>
      <w:kern w:val="2"/>
      <w:sz w:val="21"/>
      <w:szCs w:val="22"/>
    </w:rPr>
  </w:style>
  <w:style w:type="paragraph" w:customStyle="1" w:styleId="TableText">
    <w:name w:val="Table Text"/>
    <w:basedOn w:val="Normal"/>
    <w:semiHidden/>
    <w:qFormat/>
    <w:rPr>
      <w:rFonts w:ascii="楷体" w:eastAsia="楷体" w:hAnsi="楷体" w:cs="楷体"/>
      <w:sz w:val="22"/>
    </w:rPr>
  </w:style>
  <w:style w:type="table" w:customStyle="1" w:styleId="TableNormal0">
    <w:name w:val="Table Normal"/>
    <w:semiHidden/>
    <w:unhideWhenUsed/>
    <w:qFormat/>
    <w:rPr/>
    <w:tblPr>
      <w:tblCellMar>
        <w:top w:w="0" w:type="dxa"/>
        <w:left w:w="0" w:type="dxa"/>
        <w:bottom w:w="0" w:type="dxa"/>
        <w:right w:w="0"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&#65279;<?xml version="1.0" encoding="utf-8"?><Relationships xmlns="http://schemas.openxmlformats.org/package/2006/relationships"><Relationship Id="rId1" Type="http://schemas.openxmlformats.org/officeDocument/2006/relationships/customXml" Target="../customXml/item1.xml" /><Relationship Id="rId10" Type="http://schemas.openxmlformats.org/officeDocument/2006/relationships/styles" Target="styles.xml" /><Relationship Id="rId11" Type="http://schemas.openxmlformats.org/officeDocument/2006/relationships/webSettings" Target="webSettings.xml" /><Relationship Id="rId12" Type="http://schemas.openxmlformats.org/officeDocument/2006/relationships/numbering" Target="numbering.xml" /><Relationship Id="rId13" Type="http://schemas.openxmlformats.org/officeDocument/2006/relationships/fontTable" Target="fontTable.xml" /><Relationship Id="rId14" Type="http://schemas.openxmlformats.org/officeDocument/2006/relationships/settings" Target="settings.xml" /><Relationship Id="rId2" Type="http://schemas.openxmlformats.org/officeDocument/2006/relationships/customXml" Target="../customXml/item2.xml" /><Relationship Id="rId3" Type="http://schemas.openxmlformats.org/officeDocument/2006/relationships/customXml" Target="../customXml/item3.xml" /><Relationship Id="rId4" Type="http://schemas.openxmlformats.org/officeDocument/2006/relationships/customXml" Target="../customXml/item4.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header" Target="header3.xml" /><Relationship Id="rId8" Type="http://schemas.openxmlformats.org/officeDocument/2006/relationships/footer" Target="footer1.xml" /><Relationship Id="rId9" Type="http://schemas.openxmlformats.org/officeDocument/2006/relationships/theme" Target="theme/theme1.xml" /></Relationships>
</file>

<file path=word/_rels/header1.xml.rels>&#65279;<?xml version="1.0" encoding="utf-8"?><Relationships xmlns="http://schemas.openxmlformats.org/package/2006/relationships"><Relationship Id="rId1" Type="http://schemas.openxmlformats.org/officeDocument/2006/relationships/image" Target="media/image1.png" /></Relationships>
</file>

<file path=word/_rels/header2.xml.rels>&#65279;<?xml version="1.0" encoding="utf-8"?><Relationships xmlns="http://schemas.openxmlformats.org/package/2006/relationships"><Relationship Id="rId1" Type="http://schemas.openxmlformats.org/officeDocument/2006/relationships/image" Target="media/image1.png" /><Relationship Id="rId2" Type="http://schemas.openxmlformats.org/officeDocument/2006/relationships/image" Target="media/image2.png" /></Relationships>
</file>

<file path=word/_rels/header3.xml.rels>&#65279;<?xml version="1.0" encoding="utf-8"?><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Id="rId1" Type="http://schemas.openxmlformats.org/officeDocument/2006/relationships/customXmlProps" Target="itemProps1.xml" /></Relationships>
</file>

<file path=customXml/_rels/item2.xml.rels>&#65279;<?xml version="1.0" encoding="utf-8"?><Relationships xmlns="http://schemas.openxmlformats.org/package/2006/relationships"><Relationship Id="rId1" Type="http://schemas.openxmlformats.org/officeDocument/2006/relationships/customXmlProps" Target="itemProps2.xml" /></Relationships>
</file>

<file path=customXml/_rels/item3.xml.rels>&#65279;<?xml version="1.0" encoding="utf-8"?><Relationships xmlns="http://schemas.openxmlformats.org/package/2006/relationships"><Relationship Id="rId1" Type="http://schemas.openxmlformats.org/officeDocument/2006/relationships/customXmlProps" Target="itemProps3.xml" /></Relationships>
</file>

<file path=customXml/_rels/item4.xml.rels>&#65279;<?xml version="1.0" encoding="utf-8"?><Relationships xmlns="http://schemas.openxmlformats.org/package/2006/relationships"><Relationship Id="rId1" Type="http://schemas.openxmlformats.org/officeDocument/2006/relationships/customXmlProps" Target="itemProps4.xml" /></Relationships>
</file>

<file path=customXml/item1.xml><?xml version="1.0" encoding="utf-8"?>
<cp:coreProperties xmlns:cp="http://schemas.openxmlformats.org/package/2006/metadata/core-properties" xmlns:dc="http://purl.org/dc/elements/1.1/" xmlns:dcterms="http://purl.org/dc/terms/" xmlns:xsi="http://www.w3.org/2001/XMLSchema-instance">
  <dcterms:created xsi:type="dcterms:W3CDTF">2021-11-18T10:04:00Z</dcterms:created>
  <dc:creator>User</dc:creator>
  <cp:lastModifiedBy>zhangguoxing</cp:lastModifiedBy>
  <dcterms:modified xsi:type="dcterms:W3CDTF">2025-10-13T11:54:56Z</dcterms:modified>
  <cp:revision>22</cp:revision>
  <dc:title>“${prdInfo.PRD_NAME}”理财产品</dc:title>
</cp:coreProperties>
</file>

<file path=customXml/item2.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18</TotalTime>
  <ScaleCrop>false</ScaleCrop>
  <LinksUpToDate>false</LinksUpToDate>
  <CharactersWithSpaces>2803</CharactersWithSpaces>
  <Application>WPS Office_10.8.2.7119_F1E327BC-269C-435d-A152-05C5408002CA</Application>
  <DocSecurity>0</DocSecurity>
</Properties>
</file>

<file path=customXml/item3.xml><?xml version="1.0" encoding="utf-8"?>
<Properties xmlns="http://schemas.openxmlformats.org/officeDocument/2006/custom-properties" xmlns:vt="http://schemas.openxmlformats.org/officeDocument/2006/docPropsVTypes">
  <property fmtid="{D5CDD505-2E9C-101B-9397-08002B2CF9AE}" pid="2" name="KSOProductBuildVer">
    <vt:lpwstr>2052-10.8.2.7119</vt:lpwstr>
  </property>
  <property fmtid="{D5CDD505-2E9C-101B-9397-08002B2CF9AE}" pid="3" name="ICV">
    <vt:lpwstr>31802637FF8E4298AD1DCE61A946E12D</vt:lpwstr>
  </property>
</Properties>
</file>

<file path=customXml/item4.xml><?xml version="1.0" encoding="utf-8"?>
<s:customData xmlns="http://www.wps.cn/officeDocument/2013/wpsCustomData" xmlns:s="http://www.wps.cn/officeDocument/2013/wpsCustomData">
  <customSectProps>
    <customSectPr/>
  </customSectProps>
  <customShpExts>
    <customShpInfo spid="_x0000_s3074"/>
    <customShpInfo spid="_x0000_s3075"/>
    <customShpInfo spid="_x0000_s3076"/>
    <customShpInfo spid="_x0000_s3073"/>
  </customShpExts>
</s:customData>
</file>

<file path=customXml/itemProps1.xml><?xml version="1.0" encoding="utf-8"?>
<ds:datastoreItem xmlns:ds="http://schemas.openxmlformats.org/officeDocument/2006/customXml" ds:itemID="">
  <ds:schemaRefs/>
</ds:datastoreItem>
</file>

<file path=customXml/itemProps2.xml><?xml version="1.0" encoding="utf-8"?>
<ds:datastoreItem xmlns:ds="http://schemas.openxmlformats.org/officeDocument/2006/customXml" ds:itemID="">
  <ds:schemaRefs/>
</ds:datastoreItem>
</file>

<file path=customXml/itemProps3.xml><?xml version="1.0" encoding="utf-8"?>
<ds:datastoreItem xmlns:ds="http://schemas.openxmlformats.org/officeDocument/2006/customXml" ds:itemID="">
  <ds:schemaRefs/>
</ds:datastoreItem>
</file>

<file path=customXml/itemProps4.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vt="http://schemas.openxmlformats.org/officeDocument/2006/docPropsVTypes" xmlns="http://schemas.openxmlformats.org/officeDocument/2006/extended-properties">
  <Template>Normal.dotm</Template>
  <TotalTime>18</TotalTime>
  <Pages>4</Pages>
  <Words>419</Words>
  <Characters>2389</Characters>
  <Application>WPS Office_10.8.2.7119_F1E327BC-269C-435d-A152-05C5408002CA</Application>
  <DocSecurity>0</DocSecurity>
  <Lines>19</Lines>
  <Paragraphs>5</Paragraphs>
  <Company>WORKGROUP</Company>
  <CharactersWithSpaces>2803</CharactersWithSpaces>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_x201C__x0024__x007B_prdInfo.PRD_NAME_x007D__x201D_理财产品</dc:title>
  <dc:creator>User</dc:creator>
  <cp:lastModifiedBy>zhangguoxing</cp:lastModifiedBy>
  <cp:revision>22</cp:revision>
  <dcterms:created xsi:type="dcterms:W3CDTF">2021-11-18T10:04:00Z</dcterms:created>
  <dcterms:modified xsi:type="dcterms:W3CDTF">2026-01-21T10:34:47Z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str>2052-10.8.2.7119</vt:lpstr>
  </property>
  <property fmtid="{D5CDD505-2E9C-101B-9397-08002B2CF9AE}" pid="3" name="ICV">
    <vt:lpstr>31802637FF8E4298AD1DCE61A946E12D</vt:lpstr>
  </property>
</Properties>
</file>