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苏银理财恒源封闭债权211期优选2年</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2025年四季度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苏银理财恒源封闭债权211期优选2年</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2025年06月18日</w:t>
      </w:r>
      <w:r>
        <w:rPr>
          <w:rFonts w:ascii="楷体" w:eastAsia="楷体" w:hAnsi="楷体" w:cs="楷体" w:hint="eastAsia"/>
        </w:rPr>
        <w:t xml:space="preserve">成立，于</w:t>
      </w:r>
      <w:r>
        <w:rPr>
          <w:rFonts w:ascii="楷体" w:eastAsia="楷体" w:hAnsi="楷体" w:cs="楷体" w:hint="eastAsia"/>
          <w:spacing w:val="-7"/>
        </w:rPr>
        <w:t xml:space="preserve">2025年06月18日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苏银理财恒源封闭债权211期优选2年</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Z7003125000105</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封闭式净值型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928,348,834.00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945,591,005.89</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31000188000684382</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946,259,167.45</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100.07%</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2025-12-31</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苏银理财恒源封闭债权211期优选2年A</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1.018634</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1.018634</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3.05%-3.35%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苏银理财恒源封闭债权211期优选2年AJS鑫福款</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1.018362</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1.018362</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3.00%-3.30%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苏银理财恒源封闭债权211期优选2年B</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1.018362</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1.018362</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3.00%-3.30%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苏银理财恒源封闭债权211期优选2年C</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1.018797</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1.018797</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3.08%-3.38%</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苏银理财恒源封闭债权211期优选2年D</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1.017825</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1.017825</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2.90%-3.20%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苏银理财恒源封闭债权211期优选2年E</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1.018906</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1.018906</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3.10%-3.40%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苏银理财恒源封闭债权211期优选2年F</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1.018091</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1.018091</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2.95%-3.25%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苏银理财恒源封闭债权211期优选2年G</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1.017819</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1.017819</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2.90%-3.20%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苏银理财恒源封闭债权211期优选2年H</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1.018634</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1.018634</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3.05%-3.35%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苏银理财恒源封闭债权211期优选2年NB（宁波分行）</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1.018907</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1.018907</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3.10%-3.40%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苏银理财恒源封闭债权211期优选2年Z</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1.018906</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1.018906</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3.10%-3.40%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48.08%</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47.85%</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2.94%</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1.13%</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48.08%</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51.92%</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中粮信托-民丰120号-蚂蚁借呗-第二期</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非标准化债权类资产</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183,052,848.23</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19.31%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华能信托-字慧47号集合资金信托计划（放心借）</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151,024,109.62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15.93%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天风证券两融收益权转让20250626-1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100,124,444.40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10.56%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25家园02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60,497,131.23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6.38%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25药城02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50,664,430.14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5.34%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25平经03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50,540,248.63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5.33%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25通投02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50,496,884.25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5.33%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25广控02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50,228,043.15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5.30%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25鼎通01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30,433,695.20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3.21%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25华诚F1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30,234,423.70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3.19%</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蚂蚁消费贷款资产借款人</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中粮信托-民丰120号-蚂蚁借呗-第二期</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542</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180,000,000.00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循环期不付息不还本，摊还期每月过手摊还本息</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抖音导流、信托自主审核通过的借款人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华能信托-字慧47号集合资金信托计划（放心借）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469</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150,000,000.00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天风证券股份有限公司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天风证券两融收益权转让20250626-1</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542</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按季付息，到期一次性还本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投资收/受益权</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抖音导流、信托自主审核通过的借款人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华能信托-字慧51号集合资金信托计划（抖音放心借）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527</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24,000,000.00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循环期不还本，摊还期过手摊还本息。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抖音导流、信托自主审核通过的借款人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天风证券股份有限公司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2000-03-29</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10,073,985,200.00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为期货公司提供中间介绍业务。(上述经营范围中国家专项规定的项目经审批后或凭许可证在核定范围与期限内经营);证券经纪;证券投资咨询;与证券交易、证券投资活动有关的财务顾问;证券投资基金代销;证券承销与保荐;证券自营;融资融券;代销金融产品(凭许可证在核定范围及期限内经营)。(涉及许可经营项目,应取得相关部门许可后方可经营)</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蚂蚁消费贷款资产借款人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46,892.77</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江苏仪征农村商业银行股份有限公司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120.11</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江苏苏州农村商业银行股份有限公司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5,334.21</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148,814.72</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2025-12-31</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928,348,834.00</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928,348,834.00</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本理财产品以固收类资产和非标资产为主，主要配置优质非标与中高等级债券，通过对宏观经济、市场利率、债券市场需求供给的变化、信用风险等进行充分研判，主动构建并调整债券资产投资组合，力争获取超额收益。2025年四季度债券市场整体呈震荡趋势，产品整体表现较为稳健，后续有望继续提供长期稳健收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四季度债市波动较大，机构行为和市场情绪占主导地位，品种表现也明显分化。因资金面整体维持宽松，且DR001突破此前1.3%的下限，中短债尤其是普信债表现更为稳定。二永债受公募新规及公募等机构负债不稳定影响，波动也相对较大，利差出现不同程度走阔。利率债收益曲线进一步陡峭化，中短国债受央行买债重启表现较好，10年国债在1.75-1.85%区间震荡，超长债延续了三季度以来震荡上行的走势。展望下阶段，财政政策重心更侧重优化结构而非加大力度，在面临宏观环境不确定性增强的大环境下，经济基本面或延续偏弱态势，货币政策将保持适度宽松，债券市场在前期调整后赔率空间有所上升。同时，仍需要密切关注与跟踪海外的不确定性以及全球的地缘政治风险，尤其是流动性的边际变化。</w:t>
      </w:r>
      <w:r>
        <w:rPr>
          <w:rFonts w:ascii="楷体" w:eastAsia="楷体" w:hAnsi="楷体" w:cs="楷体" w:hint="eastAsia"/>
          <w:spacing w:val="9"/>
          <w:sz w:val="21"/>
        </w:rPr>
        <w:br/>
      </w:r>
      <w:r>
        <w:rPr>
          <w:rFonts w:ascii="楷体" w:eastAsia="楷体" w:hAnsi="楷体" w:cs="楷体" w:hint="eastAsia"/>
          <w:spacing w:val="9"/>
          <w:sz w:val="21"/>
        </w:rPr>
        <w:t xml:space="preserve">    未来将根据市场变化，控制组合久期处于合理稳健区间。资产配置上兼顾安全性、流动性和收益性，坚守风险合规底线，紧密跟踪市场变化，强化投资研究分析，致力于为广大投资者创造长期稳健的投资回报。信用风险方面，我司定期排查持仓债券，目前持仓债券信用情况良好。</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本产品持仓优质非标资产与中高等级债券，抗市场波动能力较强，通过组合久期管理、流动性指标监测等多项措施持续加强久期与流动性管理，有效控制产品的流动性风险。</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2025年12月31日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3939"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3941"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3942"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3944"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2026-01-21T10:38:53Z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