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苏银理财恒源封闭债权189期</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2025年四季度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苏银理财恒源封闭债权189期</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2025年08月21日</w:t>
      </w:r>
      <w:r>
        <w:rPr>
          <w:rFonts w:ascii="楷体" w:eastAsia="楷体" w:hAnsi="楷体" w:cs="楷体" w:hint="eastAsia"/>
        </w:rPr>
        <w:t xml:space="preserve">成立，于</w:t>
      </w:r>
      <w:r>
        <w:rPr>
          <w:rFonts w:ascii="楷体" w:eastAsia="楷体" w:hAnsi="楷体" w:cs="楷体" w:hint="eastAsia"/>
          <w:spacing w:val="-7"/>
        </w:rPr>
        <w:t xml:space="preserve">2025年08月21日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产品名称</w:t>
            </w:r>
          </w:p>
        </w:tc>
        <w:tc>
          <w:tcPr>
            <w:tcW w:w="3847" w:type="dxa"/>
          </w:tcPr>
          <w:p>
            <w:pPr>
              <w:pStyle w:val="TableText"/>
              <w:spacing w:before="56" w:line="202" w:lineRule="auto"/>
              <w:jc w:val="center"/>
              <w:rPr>
                <w:rFonts w:ascii="楷体" w:eastAsia="楷体" w:hAnsi="楷体" w:cs="楷体" w:hint="eastAsia"/>
                <w:sz w:val="22"/>
                <w:szCs w:val="22"/>
                <w:highlight w:val="yellow"/>
              </w:rPr>
            </w:pPr>
            <w:r>
              <w:rPr>
                <w:rFonts w:ascii="楷体" w:eastAsia="楷体" w:hAnsi="楷体" w:cs="楷体" w:hint="eastAsia"/>
                <w:spacing w:val="-6"/>
                <w:sz w:val="22"/>
                <w:szCs w:val="22"/>
              </w:rPr>
              <w:t xml:space="preserve">苏银理财恒源封闭债权189期</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Z7003125000205</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产品运作方式</w:t>
            </w:r>
          </w:p>
        </w:tc>
        <w:tc>
          <w:tcPr>
            <w:tcW w:w="3847" w:type="dxa"/>
          </w:tcPr>
          <w:p>
            <w:pPr>
              <w:pStyle w:val="TableText"/>
              <w:spacing w:before="52" w:line="201" w:lineRule="auto"/>
              <w:jc w:val="center"/>
              <w:rPr>
                <w:rFonts w:ascii="楷体" w:eastAsia="楷体" w:hAnsi="楷体" w:cs="楷体" w:hint="eastAsia"/>
                <w:sz w:val="22"/>
                <w:szCs w:val="22"/>
                <w:highlight w:val="yellow"/>
              </w:rPr>
            </w:pPr>
            <w:r>
              <w:rPr>
                <w:rFonts w:ascii="楷体" w:eastAsia="楷体" w:hAnsi="楷体" w:cs="楷体" w:hint="eastAsia"/>
                <w:spacing w:val="-2"/>
                <w:sz w:val="22"/>
                <w:szCs w:val="22"/>
              </w:rPr>
              <w:t xml:space="preserve">封闭式净值型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1,239,889,594.00</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产品资产净值（元）</w:t>
            </w:r>
          </w:p>
        </w:tc>
        <w:tc>
          <w:tcPr>
            <w:tcW w:w="3847" w:type="dxa"/>
          </w:tcPr>
          <w:p>
            <w:pPr>
              <w:pStyle w:val="TableText"/>
              <w:spacing w:before="78" w:line="182"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1,251,677,347.61</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风险收益特征</w:t>
            </w:r>
          </w:p>
        </w:tc>
        <w:tc>
          <w:tcPr>
            <w:tcW w:w="3847" w:type="dxa"/>
          </w:tcPr>
          <w:p>
            <w:pPr>
              <w:pStyle w:val="TableText"/>
              <w:spacing w:before="54" w:line="200" w:lineRule="auto"/>
              <w:jc w:val="center"/>
              <w:rPr>
                <w:rFonts w:ascii="楷体" w:eastAsia="楷体" w:hAnsi="楷体" w:cs="楷体" w:hint="eastAsia"/>
                <w:sz w:val="22"/>
                <w:szCs w:val="22"/>
                <w:highlight w:val="yellow"/>
              </w:rPr>
            </w:pPr>
            <w:r>
              <w:rPr>
                <w:rFonts w:ascii="楷体" w:eastAsia="楷体" w:hAnsi="楷体" w:cs="楷体" w:hint="eastAsia"/>
                <w:spacing w:val="-8"/>
                <w:sz w:val="22"/>
                <w:szCs w:val="22"/>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收益类型</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9"/>
                <w:sz w:val="22"/>
                <w:szCs w:val="22"/>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管理人</w:t>
            </w:r>
          </w:p>
        </w:tc>
        <w:tc>
          <w:tcPr>
            <w:tcW w:w="3847" w:type="dxa"/>
          </w:tcPr>
          <w:p>
            <w:pPr>
              <w:pStyle w:val="TableText"/>
              <w:spacing w:before="55" w:line="200"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托管人</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w:t>
            </w:r>
          </w:p>
        </w:tc>
        <w:tc>
          <w:tcPr>
            <w:tcW w:w="3847" w:type="dxa"/>
          </w:tcPr>
          <w:p>
            <w:pPr>
              <w:pStyle w:val="TableText"/>
              <w:spacing w:before="90" w:line="173"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31000188000710907</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托管账户开户行</w:t>
            </w:r>
          </w:p>
        </w:tc>
        <w:tc>
          <w:tcPr>
            <w:tcW w:w="3847" w:type="dxa"/>
          </w:tcPr>
          <w:p>
            <w:pPr>
              <w:pStyle w:val="TableText"/>
              <w:spacing w:before="56" w:line="199" w:lineRule="auto"/>
              <w:jc w:val="center"/>
              <w:rPr>
                <w:rFonts w:ascii="楷体" w:eastAsia="楷体" w:hAnsi="楷体" w:cs="楷体" w:hint="eastAsia"/>
                <w:sz w:val="22"/>
                <w:szCs w:val="22"/>
              </w:rPr>
            </w:pPr>
            <w:r>
              <w:rPr>
                <w:rFonts w:ascii="楷体" w:eastAsia="楷体" w:hAnsi="楷体" w:cs="楷体" w:hint="eastAsia"/>
                <w:spacing w:val="-2"/>
                <w:sz w:val="22"/>
                <w:szCs w:val="22"/>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产品资产总值（元）</w:t>
            </w:r>
          </w:p>
        </w:tc>
        <w:tc>
          <w:tcPr>
            <w:tcW w:w="3847" w:type="dxa"/>
          </w:tcPr>
          <w:p>
            <w:pPr>
              <w:pStyle w:val="TableText"/>
              <w:spacing w:before="81" w:line="180" w:lineRule="auto"/>
              <w:jc w:val="center"/>
              <w:rPr>
                <w:rFonts w:ascii="楷体" w:eastAsia="楷体" w:hAnsi="楷体" w:cs="楷体" w:hint="eastAsia"/>
                <w:sz w:val="22"/>
                <w:szCs w:val="22"/>
              </w:rPr>
            </w:pPr>
            <w:r>
              <w:rPr>
                <w:rFonts w:ascii="楷体" w:eastAsia="楷体" w:hAnsi="楷体" w:cs="楷体" w:hint="eastAsia"/>
                <w:spacing w:val="-1"/>
                <w:sz w:val="22"/>
                <w:szCs w:val="22"/>
              </w:rPr>
              <w:t xml:space="preserve">1,251,807,451.58</w:t>
            </w:r>
            <w:r>
              <w:rPr>
                <w:rFonts w:ascii="楷体" w:eastAsia="楷体" w:hAnsi="楷体" w:cs="楷体" w:hint="eastAsia"/>
                <w:spacing w:val="-29"/>
                <w:sz w:val="22"/>
                <w:szCs w:val="22"/>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杠杆水平</w:t>
            </w:r>
          </w:p>
        </w:tc>
        <w:tc>
          <w:tcPr>
            <w:tcW w:w="3847" w:type="dxa"/>
          </w:tcPr>
          <w:p>
            <w:pPr>
              <w:pStyle w:val="TableText"/>
              <w:spacing w:before="56" w:line="202" w:lineRule="auto"/>
              <w:jc w:val="center"/>
              <w:rPr>
                <w:rFonts w:ascii="楷体" w:eastAsia="楷体" w:hAnsi="楷体" w:cs="楷体" w:hint="eastAsia"/>
                <w:sz w:val="22"/>
                <w:szCs w:val="22"/>
              </w:rPr>
            </w:pPr>
            <w:r>
              <w:rPr>
                <w:rFonts w:ascii="楷体" w:eastAsia="楷体" w:hAnsi="楷体" w:cs="楷体" w:hint="eastAsia"/>
                <w:spacing w:val="-4"/>
                <w:sz w:val="22"/>
                <w:szCs w:val="22"/>
              </w:rPr>
              <w:t xml:space="preserve">100.01%</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报告日期</w:t>
            </w:r>
          </w:p>
        </w:tc>
        <w:tc>
          <w:tcPr>
            <w:tcW w:w="210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销售</w:t>
            </w:r>
            <w:r>
              <w:rPr>
                <w:rFonts w:ascii="楷体" w:eastAsia="楷体" w:hAnsi="楷体" w:cs="楷体" w:hint="eastAsia"/>
                <w:sz w:val="22"/>
                <w:szCs w:val="22"/>
                <w:lang w:eastAsia="zh-CN"/>
              </w:rPr>
              <w:t xml:space="preserve">名</w:t>
            </w:r>
            <w:r>
              <w:rPr>
                <w:rFonts w:ascii="楷体" w:eastAsia="楷体" w:hAnsi="楷体" w:cs="楷体" w:hint="eastAsia"/>
                <w:sz w:val="22"/>
                <w:szCs w:val="22"/>
              </w:rPr>
              <w:t xml:space="preserve">称</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单位净值</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累计单位净值</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2025-12-31</w:t>
            </w:r>
          </w:p>
        </w:tc>
        <w:tc>
          <w:tcPr>
            <w:tcW w:w="21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苏银理财恒源封闭债权189期13月A</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1.009492</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1.009492</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2.60%-3.00%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苏银理财恒源封闭债权189期13月B</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1.009492</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1.009492</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2.60%-3.00%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苏银理财恒源封闭债权189期13月C</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1.009686</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1.009686</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2.65%-3.05%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苏银理财恒源封闭债权189期13月D</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1.009491</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1.009491</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2.60%-3.00%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苏银理财恒源封闭债权189期13月E</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1.009857</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1.009857</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2.70%-3.10%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苏银理财恒源封闭债权189期13月F</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1.009492</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1.009492</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2.60%-3.00%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苏银理财恒源封闭债权189期13月G</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1.009127</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1.009127</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2.50%-2.90%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苏银理财恒源封闭债权189期13月H</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1.008763</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1.008763</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2.40%-2.80%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苏银理财恒源封闭债权189期13月I</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1.009492</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1.009492</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2.60%-3.00%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苏银理财恒源封闭债权189期13月J</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1.009310</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1.009310</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2.55%-2.95%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苏银理财恒源封闭债权189期13月JS鑫福款</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1.009492</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1.009492</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2.60%-3.00%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苏银理财恒源封闭债权189期13月K</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1.010039</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1.010039</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2.75%-3.15%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苏银理财恒源封闭债权189期13月M</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1.008763</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1.008763</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2.40%-2.80%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苏银理财恒源封闭债权189期13月N</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1.009857</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1.009857</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2.70%-3.10%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苏银理财恒源封闭债权189期13月Z</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1.009857</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1.009857</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2.70%-3.10%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苏银理财恒源封闭债权189期13月（芙蓉锦程 ·优选）</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1.009674</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1.009674</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2.65%-3.05%</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287"/>
        <w:gridCol w:w="2644"/>
        <w:gridCol w:w="2642"/>
      </w:tblGrid>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28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64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直接投资占总资产的比例</w:t>
            </w:r>
          </w:p>
        </w:tc>
        <w:tc>
          <w:tcPr>
            <w:tcW w:w="2642"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间接投资占总资产的比例</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28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固定收益类</w:t>
            </w:r>
            <w:bookmarkStart w:id="1" w:name="_GoBack"/>
            <w:bookmarkEnd w:id="1"/>
          </w:p>
        </w:tc>
        <w:tc>
          <w:tcPr>
            <w:tcW w:w="2644"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1.53%</w:t>
            </w:r>
          </w:p>
        </w:tc>
        <w:tc>
          <w:tcPr>
            <w:tcW w:w="2642"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92.67%</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权益类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4.95%</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商品及金融衍生品类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混合类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0.85%</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014" w:type="dxa"/>
            <w:gridSpan w:val="2"/>
            <w:shd w:val="clear" w:color="auto" w:fill="auto"/>
            <w:vAlign w:val="center"/>
          </w:tcPr>
          <w:p>
            <w:pPr>
              <w:tabs>
                <w:tab w:val="center" w:pos="1522"/>
                <w:tab w:val="right" w:pos="2924"/>
              </w:tabs>
              <w:jc w:val="left"/>
              <w:rPr>
                <w:rFonts w:ascii="楷体" w:eastAsia="楷体" w:hAnsi="楷体" w:cs="楷体" w:hint="eastAsia"/>
                <w:sz w:val="22"/>
                <w:szCs w:val="22"/>
                <w:lang w:eastAsia="zh-CN"/>
              </w:rPr>
            </w:pPr>
            <w:r>
              <w:rPr>
                <w:rFonts w:ascii="楷体" w:eastAsia="楷体" w:hAnsi="楷体" w:cs="楷体" w:hint="eastAsia"/>
                <w:sz w:val="22"/>
                <w:szCs w:val="22"/>
                <w:lang w:eastAsia="zh-CN"/>
              </w:rPr>
              <w:tab/>
            </w:r>
            <w:r>
              <w:rPr>
                <w:rFonts w:ascii="楷体" w:eastAsia="楷体" w:hAnsi="楷体" w:cs="楷体" w:hint="eastAsia"/>
                <w:sz w:val="22"/>
                <w:szCs w:val="22"/>
              </w:rPr>
              <w:t xml:space="preserve">合计</w:t>
            </w:r>
            <w:r>
              <w:rPr>
                <w:rFonts w:ascii="楷体" w:eastAsia="楷体" w:hAnsi="楷体" w:cs="楷体" w:hint="eastAsia"/>
                <w:sz w:val="22"/>
                <w:szCs w:val="22"/>
                <w:lang w:eastAsia="zh-CN"/>
              </w:rPr>
              <w:tab/>
            </w:r>
          </w:p>
        </w:tc>
        <w:tc>
          <w:tcPr>
            <w:tcW w:w="2644" w:type="dxa"/>
            <w:shd w:val="clear" w:color="auto" w:fill="auto"/>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1.53%</w:t>
            </w:r>
          </w:p>
        </w:tc>
        <w:tc>
          <w:tcPr>
            <w:tcW w:w="2642" w:type="dxa"/>
            <w:shd w:val="clear" w:color="auto" w:fill="FFFFFF"/>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98.47%</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434"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资产名称</w:t>
            </w:r>
          </w:p>
        </w:tc>
        <w:tc>
          <w:tcPr>
            <w:tcW w:w="127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23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持有金额（元）</w:t>
            </w:r>
          </w:p>
        </w:tc>
        <w:tc>
          <w:tcPr>
            <w:tcW w:w="1800"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434"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华能信托-字慧33号集合资金信托计划（放心借）</w:t>
            </w:r>
          </w:p>
        </w:tc>
        <w:tc>
          <w:tcPr>
            <w:tcW w:w="127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非标准化债权类资产</w:t>
            </w:r>
          </w:p>
        </w:tc>
        <w:tc>
          <w:tcPr>
            <w:tcW w:w="223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64,545,227.39</w:t>
            </w:r>
          </w:p>
        </w:tc>
        <w:tc>
          <w:tcPr>
            <w:tcW w:w="18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4.74%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52,523,088.33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3.86%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中粮信托-谷丰165号-蚂蚁花呗-第二期</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35,331,876.59</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2.60%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25淮宏01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15,690,401.28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1.15%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24济先02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10,920,925.95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0.80%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24通投02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10,548,149.00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0.78%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25泰滨03</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9,431,589.41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0.69%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24象港01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8,474,429.51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0.62%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GY洋井01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权益类投资</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8,448,644.27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0.62%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拆放同业及债券买入返售</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拆放同业及债券买入返售</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7,622,249.12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0.56%</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抖音导流、信托自主审核通过的借款人</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华能信托-字慧33号集合资金信托计划（放心借）</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246</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64,000,000.00</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循环期不还本不付息，摊还期按月过手摊还本息</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投资信托计划产品</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蚂蚁消费授信付款资产借款人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中粮信托-谷丰165号-蚂蚁花呗-第二期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71</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35,000,000.00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循环期不还本不付息，摊还期按月过手摊还本息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抖音导流、信托自主审核通过的借款人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蚂蚁消费授信付款资产借款人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bl>
    <w:p>
      <w:pPr>
        <w:pStyle w:val="标题4"/>
        <w:rPr>
          <w:rFonts w:ascii="楷体" w:eastAsia="楷体" w:hAnsi="楷体" w:cs="楷体" w:hint="eastAsia"/>
        </w:rPr>
      </w:pPr>
    </w:p>
    <w:p>
      <w:pPr>
        <w:pStyle w:val="Heading3"/>
        <w:numPr>
          <w:ilvl w:val="0"/>
          <w:numId w:val="3"/>
        </w:numPr>
        <w:ind w:left="120" w:firstLine="0" w:leftChars="0" w:firstLineChars="0"/>
        <w:rPr>
          <w:rFonts w:ascii="楷体" w:eastAsia="楷体" w:hAnsi="楷体" w:cs="楷体" w:hint="eastAsia"/>
          <w:b w:val="0"/>
          <w:sz w:val="21"/>
        </w:rPr>
      </w:pPr>
      <w:r>
        <w:rPr>
          <w:rFonts w:ascii="楷体" w:eastAsia="楷体" w:hAnsi="楷体" w:cs="楷体" w:hint="eastAsia"/>
          <w:b w:val="0"/>
          <w:sz w:val="21"/>
        </w:rPr>
        <w:t xml:space="preserve">关联交易情况</w:t>
      </w:r>
    </w:p>
    <w:p>
      <w:pPr>
        <w:spacing w:line="320" w:lineRule="exact"/>
        <w:ind w:firstLine="220" w:firstLineChars="100"/>
        <w:rPr>
          <w:rFonts w:hint="eastAsia"/>
          <w:highlight w:val="none"/>
        </w:rPr>
      </w:pPr>
      <w:r>
        <w:rPr>
          <w:rFonts w:ascii="楷体" w:eastAsia="楷体" w:hAnsi="楷体" w:cs="楷体" w:hint="eastAsia"/>
          <w:sz w:val="22"/>
          <w:szCs w:val="24"/>
          <w:highlight w:val="none"/>
          <w:lang w:val="en-US" w:eastAsia="zh-CN"/>
        </w:rPr>
        <w:t xml:space="preserve">1、理财产品关联交易</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ZZGL202504091189</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江苏信托安源5号集合资金信托计划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11,296,013.00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14,845,570.00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ZZGL202504091190</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江苏信托安源6号集合资金信托计划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7,794,145.00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8,690,090.00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江苏仪征农村商业银行股份有限公司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60.97</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143,027.71</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江苏苏州农村商业银行股份有限公司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240.71</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62,163.95</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注：本报告中理财产品托管费、代销费均基于产品实际支付金额进行统计。</w:t>
      </w: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r>
        <w:rPr>
          <w:rFonts w:ascii="楷体" w:eastAsia="楷体" w:hAnsi="楷体" w:cs="楷体" w:hint="eastAsia"/>
          <w:color w:val="auto"/>
          <w:sz w:val="22"/>
          <w:szCs w:val="24"/>
          <w:highlight w:val="none"/>
          <w:lang w:val="en-US" w:eastAsia="zh-CN"/>
        </w:rPr>
        <w:t xml:space="preserve">2、关联方申购理财产品</w:t>
      </w:r>
    </w:p>
    <w:p>
      <w:pPr>
        <w:bidi w:val="0"/>
        <w:ind w:firstLine="440" w:firstLineChars="200"/>
        <w:jc w:val="both"/>
        <w:rPr>
          <w:highlight w:val="none"/>
        </w:rPr>
      </w:pPr>
      <w:r>
        <w:rPr>
          <w:rFonts w:ascii="楷体" w:eastAsia="楷体" w:hAnsi="楷体" w:cs="楷体" w:hint="eastAsia"/>
          <w:color w:val="auto"/>
          <w:kern w:val="2"/>
          <w:sz w:val="22"/>
          <w:szCs w:val="22"/>
          <w:highlight w:val="none"/>
          <w:lang w:val="en-US" w:eastAsia="zh-CN" w:bidi="ar-SA"/>
        </w:rPr>
        <w:t xml:space="preserve">报告期内，除本公司以外的关联方累计申购本产品</w:t>
      </w:r>
      <w:r>
        <w:rPr>
          <w:rFonts w:ascii="楷体" w:eastAsia="楷体" w:hAnsi="楷体" w:cs="楷体" w:hint="eastAsia"/>
          <w:sz w:val="22"/>
          <w:szCs w:val="22"/>
        </w:rPr>
        <w:t xml:space="preserve">0.00</w:t>
      </w:r>
      <w:r>
        <w:rPr>
          <w:rFonts w:ascii="楷体" w:eastAsia="楷体" w:hAnsi="楷体" w:cs="楷体" w:hint="eastAsia"/>
          <w:color w:val="auto"/>
          <w:kern w:val="2"/>
          <w:sz w:val="22"/>
          <w:szCs w:val="22"/>
          <w:highlight w:val="none"/>
          <w:lang w:val="en-US" w:eastAsia="zh-CN" w:bidi="ar-SA"/>
        </w:rPr>
        <w:t xml:space="preserve">元。</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2025-12-31</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1,239,889,594.00</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1,240,089,594.00</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四</w:t>
      </w:r>
      <w:r>
        <w:rPr>
          <w:rFonts w:ascii="楷体" w:hAnsi="楷体" w:cs="楷体" w:hint="eastAsia"/>
          <w:lang w:eastAsia="zh-CN"/>
        </w:rPr>
        <w:t xml:space="preserve">、</w:t>
      </w:r>
      <w:r>
        <w:rPr>
          <w:rFonts w:ascii="楷体" w:eastAsia="楷体" w:hAnsi="楷体" w:cs="楷体" w:hint="eastAsia"/>
        </w:rPr>
        <w:t xml:space="preserve">投资运作情况</w:t>
      </w:r>
    </w:p>
    <w:p>
      <w:pPr>
        <w:pStyle w:val="Heading3"/>
        <w:rPr>
          <w:rFonts w:ascii="楷体" w:eastAsia="楷体" w:hAnsi="楷体" w:cs="楷体" w:hint="eastAsia"/>
          <w:b w:val="0"/>
          <w:sz w:val="21"/>
        </w:rPr>
      </w:pPr>
      <w:r>
        <w:rPr>
          <w:rFonts w:ascii="楷体" w:eastAsia="楷体" w:hAnsi="楷体" w:cs="楷体" w:hint="eastAsia"/>
          <w:b w:val="0"/>
          <w:sz w:val="21"/>
        </w:rPr>
        <w:t xml:space="preserve">1、运作期回顾</w:t>
      </w:r>
    </w:p>
    <w:p>
      <w:pPr>
        <w:pStyle w:val="BodyText"/>
        <w:spacing w:before="0" w:line="240" w:lineRule="auto"/>
        <w:ind w:left="0" w:right="0" w:firstLine="0" w:firstLineChars="0"/>
        <w:rPr>
          <w:rFonts w:ascii="楷体" w:eastAsia="楷体" w:hAnsi="楷体" w:cs="楷体" w:hint="eastAsia"/>
          <w:spacing w:val="8"/>
          <w:sz w:val="21"/>
        </w:rPr>
      </w:pPr>
      <w:r>
        <w:rPr>
          <w:rFonts w:ascii="楷体" w:eastAsia="楷体" w:hAnsi="楷体" w:cs="楷体" w:hint="eastAsia"/>
          <w:spacing w:val="8"/>
          <w:sz w:val="21"/>
        </w:rPr>
        <w:t xml:space="preserve">    本理财产品以固收类资产和非标资产为主，主要配置优质非标与中高等级债券，通过对宏观经济、市场利率、债券市场需求供给的变化、信用风险等进行充分研判，主动构建并调整债券资产投资组合，力争获取超额收益。2025年四季度债券市场整体呈震荡趋势，产品整体表现较为稳健，后续有望继续提供长期稳健收益。</w:t>
      </w:r>
    </w:p>
    <w:p>
      <w:pPr>
        <w:pStyle w:val="BodyText"/>
        <w:spacing w:before="43" w:line="275" w:lineRule="auto"/>
        <w:ind w:right="1799" w:firstLine="226" w:firstLineChars="100"/>
        <w:rPr>
          <w:rFonts w:ascii="楷体" w:eastAsia="楷体" w:hAnsi="楷体" w:cs="楷体" w:hint="eastAsia"/>
          <w:spacing w:val="8"/>
          <w:sz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2、后市展望及下阶段投资策略</w:t>
      </w:r>
    </w:p>
    <w:p>
      <w:pPr>
        <w:pStyle w:val="BodyText"/>
        <w:spacing w:before="0" w:line="240" w:lineRule="auto"/>
        <w:ind w:left="0" w:right="0" w:firstLine="0" w:firstLineChars="0"/>
        <w:jc w:val="both"/>
        <w:rPr>
          <w:rFonts w:ascii="楷体" w:eastAsia="楷体" w:hAnsi="楷体" w:cs="楷体" w:hint="eastAsia"/>
          <w:sz w:val="21"/>
        </w:rPr>
      </w:pPr>
      <w:r>
        <w:rPr>
          <w:rFonts w:ascii="楷体" w:eastAsia="楷体" w:hAnsi="楷体" w:cs="楷体" w:hint="eastAsia"/>
          <w:spacing w:val="9"/>
          <w:sz w:val="21"/>
        </w:rPr>
        <w:t xml:space="preserve">    四季度债市波动较大，机构行为和市场情绪占主导地位，品种表现也明显分化。因资金面整体维持宽松，且DR001突破此前1.3%的下限，中短债尤其是普信债表现更为稳定。二永债受公募新规及公募等机构负债不稳定影响，波动也相对较大，利差出现不同程度走阔。利率债收益曲线进一步陡峭化，中短国债受央行买债重启表现较好，10年国债在1.75-1.85%区间震荡，超长债延续了三季度以来震荡上行的走势。展望下阶段，财政政策重心更侧重优化结构而非加大力度，在面临宏观环境不确定性增强的大环境下，经济基本面或延续偏弱态势，货币政策将保持适度宽松，债券市场在前期调整后赔率空间有所上升。同时，仍需要密切关注与跟踪海外的不确定性以及全球的地缘政治风险，尤其是流动性的边际变化。</w:t>
      </w:r>
      <w:r>
        <w:rPr>
          <w:rFonts w:ascii="楷体" w:eastAsia="楷体" w:hAnsi="楷体" w:cs="楷体" w:hint="eastAsia"/>
          <w:spacing w:val="9"/>
          <w:sz w:val="21"/>
        </w:rPr>
        <w:br/>
      </w:r>
      <w:r>
        <w:rPr>
          <w:rFonts w:ascii="楷体" w:eastAsia="楷体" w:hAnsi="楷体" w:cs="楷体" w:hint="eastAsia"/>
          <w:spacing w:val="9"/>
          <w:sz w:val="21"/>
        </w:rPr>
        <w:t xml:space="preserve">    未来将根据市场变化，控制组合久期处于合理稳健区间。资产配置上兼顾安全性、流动性和收益性，坚守风险合规底线，紧密跟踪市场变化，强化投资研究分析，致力于为广大投资者创造长期稳健的投资回报。信用风险方面，我司定期排查持仓债券，目前持仓债券信用情况良好。</w:t>
      </w:r>
    </w:p>
    <w:p>
      <w:pPr>
        <w:ind w:firstLine="420" w:firstLineChars="200"/>
        <w:rPr>
          <w:rFonts w:ascii="楷体" w:eastAsia="楷体" w:hAnsi="楷体" w:cs="楷体" w:hint="eastAsia"/>
          <w:bCs/>
          <w:kern w:val="0"/>
          <w:szCs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3、流动性风险分析</w:t>
      </w:r>
    </w:p>
    <w:p>
      <w:pPr>
        <w:pStyle w:val="BodyText"/>
        <w:spacing w:before="0" w:line="240" w:lineRule="auto"/>
        <w:ind w:left="0" w:right="0" w:firstLine="0" w:firstLineChars="0"/>
        <w:rPr>
          <w:rFonts w:ascii="楷体" w:eastAsia="楷体" w:hAnsi="楷体" w:cs="楷体" w:hint="eastAsia"/>
          <w:sz w:val="21"/>
        </w:rPr>
      </w:pPr>
      <w:r>
        <w:rPr>
          <w:rFonts w:ascii="楷体" w:eastAsia="楷体" w:hAnsi="楷体" w:cs="楷体" w:hint="eastAsia"/>
          <w:spacing w:val="9"/>
          <w:sz w:val="21"/>
        </w:rPr>
        <w:t xml:space="preserve">    本产品持仓优质非标资产与中高等级债券，抗市场波动能力较强，通过组合久期管理、流动性指标监测等多项措施持续加强久期与流动性管理，有效控制产品的流动性风险。</w:t>
      </w:r>
    </w:p>
    <w:p>
      <w:pPr>
        <w:ind w:firstLine="420" w:firstLineChars="200"/>
        <w:rPr>
          <w:rFonts w:ascii="楷体" w:eastAsia="楷体" w:hAnsi="楷体" w:cs="楷体" w:hint="eastAsia"/>
          <w:bCs/>
          <w:kern w:val="0"/>
          <w:szCs w:val="21"/>
        </w:rPr>
      </w:pPr>
    </w:p>
    <w:p>
      <w:pPr>
        <w:rPr>
          <w:rFonts w:ascii="楷体" w:eastAsia="楷体" w:hAnsi="楷体" w:cs="楷体" w:hint="eastAsia"/>
        </w:rPr>
      </w:pPr>
    </w:p>
    <w:p>
      <w:pPr>
        <w:ind w:firstLine="420" w:firstLineChars="200"/>
        <w:rPr>
          <w:rFonts w:ascii="楷体" w:eastAsia="楷体" w:hAnsi="楷体" w:cs="楷体" w:hint="eastAsia"/>
          <w:bCs/>
          <w:kern w:val="0"/>
          <w:szCs w:val="21"/>
        </w:rPr>
      </w:pP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2025年12月31日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3169"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3171"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3172"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3174"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6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宋体" w:hAnsi="Arial" w:eastAsiaTheme="minorEastAsia" w:cs="Arial"/>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nnotationreference">
    <w:name w:val="annotation reference"/>
    <w:uiPriority w:val="99"/>
    <w:unhideWhenUsed/>
    <w:qFormat/>
    <w:rPr>
      <w:sz w:val="21"/>
      <w:szCs w:val="21"/>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zhangguoxing</cp:lastModifiedBy>
  <dcterms:modified xsi:type="dcterms:W3CDTF">2025-10-13T11:54:56Z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18</TotalTime>
  <ScaleCrop>false</ScaleCrop>
  <LinksUpToDate>false</LinksUpToDate>
  <CharactersWithSpaces>2803</CharactersWithSpaces>
  <Application>WPS Office_10.8.2.7119_F1E327BC-269C-435d-A152-05C5408002CA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18</TotalTime>
  <Pages>4</Pages>
  <Words>419</Words>
  <Characters>2389</Characters>
  <Application>WPS Office_10.8.2.7119_F1E327BC-269C-435d-A152-05C5408002CA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zhangguoxing</cp:lastModifiedBy>
  <cp:revision>22</cp:revision>
  <dcterms:created xsi:type="dcterms:W3CDTF">2021-11-18T10:04:00Z</dcterms:created>
  <dcterms:modified xsi:type="dcterms:W3CDTF">2026-01-21T10:29:37Z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2052-10.8.2.7119</vt:lpstr>
  </property>
  <property fmtid="{D5CDD505-2E9C-101B-9397-08002B2CF9AE}" pid="3" name="ICV">
    <vt:lpstr>31802637FF8E4298AD1DCE61A946E12D</vt:lpstr>
  </property>
</Properties>
</file>