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【兴银理财稳利安盈封闭式2026年190期固收类理财产品】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【2026】年【5】月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【兴银理财稳利安盈封闭式2026年190期固收类理财产品】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【兴银理财稳利安盈封闭式2026年190期固收类理财产品】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【兴银理财稳利安盈封闭式2026年190期固收类理财产品】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【兴银理财稳利安盈封闭式2026年190期固收类理财产品】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【兴银理财稳利安盈封闭式2026年190期固收类理财产品】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【兴银理财稳利安盈封闭式2026年190期固收类理财产品】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【兴银理财稳利安盈封闭式2026年190期固收类理财产品】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【兴银理财稳利安盈封闭式2026年190期固收类理财产品】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【兴银理财稳利安盈封闭式2026年190期固收类理财产品】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兴银理财稳利安盈封闭式2026年190期固收类理财产品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eastAsia="宋体" w:cs="宋体"/>
                <w:sz w:val="18"/>
              </w:rPr>
              <w:t>【稳利安盈封闭式2026年190期A】 (适用【A】类份额)</w:t>
            </w:r>
            <w:r>
              <w:rPr>
                <w:rFonts w:ascii="宋体" w:hAnsi="宋体" w:eastAsia="宋体" w:cs="宋体"/>
                <w:sz w:val="18"/>
              </w:rPr>
              <w:br w:type="textWrapping"/>
            </w:r>
            <w:r>
              <w:rPr>
                <w:rFonts w:ascii="宋体" w:hAnsi="宋体" w:eastAsia="宋体" w:cs="宋体"/>
                <w:sz w:val="18"/>
              </w:rPr>
              <w:t>【稳利安盈封闭式2026年190期B】 (适用【B】类份额)</w:t>
            </w:r>
            <w:r>
              <w:rPr>
                <w:rFonts w:ascii="宋体" w:hAnsi="宋体" w:eastAsia="宋体" w:cs="宋体"/>
                <w:sz w:val="18"/>
              </w:rPr>
              <w:br w:type="textWrapping"/>
            </w:r>
            <w:r>
              <w:rPr>
                <w:rFonts w:ascii="宋体" w:hAnsi="宋体" w:eastAsia="宋体" w:cs="宋体"/>
                <w:sz w:val="18"/>
              </w:rPr>
              <w:t>【稳利安盈封闭式2026年190期C】 (适用【C】类份额)</w:t>
            </w:r>
            <w:r>
              <w:rPr>
                <w:rFonts w:ascii="宋体" w:hAnsi="宋体" w:eastAsia="宋体" w:cs="宋体"/>
                <w:sz w:val="18"/>
              </w:rPr>
              <w:br w:type="textWrapping"/>
            </w:r>
            <w:r>
              <w:rPr>
                <w:rFonts w:ascii="宋体" w:hAnsi="宋体" w:eastAsia="宋体" w:cs="宋体"/>
                <w:sz w:val="18"/>
              </w:rPr>
              <w:t>【稳利安盈封闭式2026年190期D】 (适用【D】类份额)</w:t>
            </w:r>
            <w:r>
              <w:rPr>
                <w:rFonts w:ascii="宋体" w:hAnsi="宋体" w:eastAsia="宋体" w:cs="宋体"/>
                <w:sz w:val="18"/>
              </w:rPr>
              <w:br w:type="textWrapping"/>
            </w:r>
            <w:r>
              <w:rPr>
                <w:rFonts w:ascii="宋体" w:hAnsi="宋体" w:eastAsia="宋体" w:cs="宋体"/>
                <w:sz w:val="18"/>
              </w:rPr>
              <w:t>【稳利安盈封闭式2026年190期E】 (适用【E】类份额)</w:t>
            </w:r>
            <w:r>
              <w:rPr>
                <w:rFonts w:ascii="宋体" w:hAnsi="宋体" w:eastAsia="宋体" w:cs="宋体"/>
                <w:sz w:val="18"/>
              </w:rPr>
              <w:br w:type="textWrapping"/>
            </w:r>
            <w:r>
              <w:rPr>
                <w:rFonts w:ascii="宋体" w:hAnsi="宋体" w:eastAsia="宋体" w:cs="宋体"/>
                <w:sz w:val="18"/>
              </w:rPr>
              <w:t>【稳利安盈封闭式2026年190期(私银)】 (适用【F】类份额)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【Z7002026000736】</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9A261900】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eastAsia="宋体" w:cs="宋体"/>
                <w:sz w:val="18"/>
              </w:rPr>
              <w:t>【9A26190A】 (适用【A】类份额)</w:t>
            </w:r>
            <w:r>
              <w:rPr>
                <w:rFonts w:ascii="宋体" w:hAnsi="宋体" w:eastAsia="宋体" w:cs="宋体"/>
                <w:sz w:val="18"/>
              </w:rPr>
              <w:br w:type="textWrapping"/>
            </w:r>
            <w:r>
              <w:rPr>
                <w:rFonts w:ascii="宋体" w:hAnsi="宋体" w:eastAsia="宋体" w:cs="宋体"/>
                <w:sz w:val="18"/>
              </w:rPr>
              <w:t>【9A26190B】 (适用【B】类份额)</w:t>
            </w:r>
            <w:r>
              <w:rPr>
                <w:rFonts w:ascii="宋体" w:hAnsi="宋体" w:eastAsia="宋体" w:cs="宋体"/>
                <w:sz w:val="18"/>
              </w:rPr>
              <w:br w:type="textWrapping"/>
            </w:r>
            <w:r>
              <w:rPr>
                <w:rFonts w:ascii="宋体" w:hAnsi="宋体" w:eastAsia="宋体" w:cs="宋体"/>
                <w:sz w:val="18"/>
              </w:rPr>
              <w:t>【9A26190C】 (适用【C】类份额)</w:t>
            </w:r>
            <w:r>
              <w:rPr>
                <w:rFonts w:ascii="宋体" w:hAnsi="宋体" w:eastAsia="宋体" w:cs="宋体"/>
                <w:sz w:val="18"/>
              </w:rPr>
              <w:br w:type="textWrapping"/>
            </w:r>
            <w:r>
              <w:rPr>
                <w:rFonts w:ascii="宋体" w:hAnsi="宋体" w:eastAsia="宋体" w:cs="宋体"/>
                <w:sz w:val="18"/>
              </w:rPr>
              <w:t>【9A26190D】 (适用【D】类份额)</w:t>
            </w:r>
            <w:r>
              <w:rPr>
                <w:rFonts w:ascii="宋体" w:hAnsi="宋体" w:eastAsia="宋体" w:cs="宋体"/>
                <w:sz w:val="18"/>
              </w:rPr>
              <w:br w:type="textWrapping"/>
            </w:r>
            <w:r>
              <w:rPr>
                <w:rFonts w:ascii="宋体" w:hAnsi="宋体" w:eastAsia="宋体" w:cs="宋体"/>
                <w:sz w:val="18"/>
              </w:rPr>
              <w:t>【9A26190E】 (适用【E】类份额)</w:t>
            </w:r>
            <w:r>
              <w:rPr>
                <w:rFonts w:ascii="宋体" w:hAnsi="宋体" w:eastAsia="宋体" w:cs="宋体"/>
                <w:sz w:val="18"/>
              </w:rPr>
              <w:br w:type="textWrapping"/>
            </w:r>
            <w:r>
              <w:rPr>
                <w:rFonts w:ascii="宋体" w:hAnsi="宋体" w:eastAsia="宋体" w:cs="宋体"/>
                <w:sz w:val="18"/>
              </w:rPr>
              <w:t>【9A26190F】 (适用【F】类份额)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规模为【10】亿元，最小成立规模为【/】亿元。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■有固定期限:【90天】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【2026年06月03日】【09:00】至【2026年06月10日】【17:00】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【2026年06月11日】（遇节假日顺延）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【2026年09月09日】（遇节假日顺延）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超出起点金额的部分以【0.01】元的整数倍递增。（适用【E】类份额)</w:t>
            </w:r>
            <w:r>
              <w:rPr>
                <w:rFonts w:ascii="宋体" w:hAnsi="宋体" w:eastAsia="宋体" w:cs="宋体"/>
                <w:sz w:val="18"/>
              </w:rPr>
              <w:br w:type="textWrapping"/>
            </w:r>
            <w:r>
              <w:rPr>
                <w:rFonts w:ascii="宋体" w:hAnsi="宋体" w:eastAsia="宋体" w:cs="宋体"/>
                <w:sz w:val="18"/>
              </w:rPr>
              <w:t>每笔购买起点金额为【1000000】元; 超出起点金额的部分以【0.01】元的整数倍递增。（适用【F】类份额)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 xml:space="preserve">     单一投资者认购上限为【/】元。（适用【E】类份额)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产品存续期间，单一投资者最高持有份额上限为【/】份，符合产品管理人流动性管理的稳定资金除外。（适用【E】类份额)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年化【1.8%-1.85%】。（适用【A】类份额)</w:t>
            </w:r>
            <w:r>
              <w:rPr>
                <w:rFonts w:ascii="宋体" w:hAnsi="宋体" w:eastAsia="宋体" w:cs="宋体"/>
                <w:sz w:val="18"/>
              </w:rPr>
              <w:br w:type="textWrapping"/>
            </w:r>
            <w:r>
              <w:rPr>
                <w:rFonts w:ascii="宋体" w:hAnsi="宋体" w:eastAsia="宋体" w:cs="宋体"/>
                <w:sz w:val="18"/>
              </w:rPr>
              <w:t>年化【1.75%-1.8%】。（适用【B】类份额)</w:t>
            </w:r>
            <w:r>
              <w:rPr>
                <w:rFonts w:ascii="宋体" w:hAnsi="宋体" w:eastAsia="宋体" w:cs="宋体"/>
                <w:sz w:val="18"/>
              </w:rPr>
              <w:br w:type="textWrapping"/>
            </w:r>
            <w:r>
              <w:rPr>
                <w:rFonts w:ascii="宋体" w:hAnsi="宋体" w:eastAsia="宋体" w:cs="宋体"/>
                <w:sz w:val="18"/>
              </w:rPr>
              <w:t>年化【1.65%-1.7%】。（适用【C】类份额)</w:t>
            </w:r>
            <w:r>
              <w:rPr>
                <w:rFonts w:ascii="宋体" w:hAnsi="宋体" w:eastAsia="宋体" w:cs="宋体"/>
                <w:sz w:val="18"/>
              </w:rPr>
              <w:br w:type="textWrapping"/>
            </w:r>
            <w:r>
              <w:rPr>
                <w:rFonts w:ascii="宋体" w:hAnsi="宋体" w:eastAsia="宋体" w:cs="宋体"/>
                <w:sz w:val="18"/>
              </w:rPr>
              <w:t>年化【1.55%-1.6%】。（适用【D】类份额)</w:t>
            </w:r>
            <w:r>
              <w:rPr>
                <w:rFonts w:ascii="宋体" w:hAnsi="宋体" w:eastAsia="宋体" w:cs="宋体"/>
                <w:sz w:val="18"/>
              </w:rPr>
              <w:br w:type="textWrapping"/>
            </w:r>
            <w:r>
              <w:rPr>
                <w:rFonts w:ascii="宋体" w:hAnsi="宋体" w:eastAsia="宋体" w:cs="宋体"/>
                <w:sz w:val="18"/>
              </w:rPr>
              <w:t>年化【1.7%-1.75%】。（适用【E】类份额)</w:t>
            </w:r>
            <w:r>
              <w:rPr>
                <w:rFonts w:ascii="宋体" w:hAnsi="宋体" w:eastAsia="宋体" w:cs="宋体"/>
                <w:sz w:val="18"/>
              </w:rPr>
              <w:br w:type="textWrapping"/>
            </w:r>
            <w:r>
              <w:rPr>
                <w:rFonts w:ascii="宋体" w:hAnsi="宋体" w:eastAsia="宋体" w:cs="宋体"/>
                <w:sz w:val="18"/>
              </w:rPr>
              <w:t>年化【1.7%-1.75%】。（适用【F】类份额)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年化【1.825%】。（适用【A】类份额)</w:t>
            </w:r>
            <w:r>
              <w:rPr>
                <w:rFonts w:ascii="宋体" w:hAnsi="宋体" w:eastAsia="宋体" w:cs="宋体"/>
                <w:sz w:val="18"/>
              </w:rPr>
              <w:br w:type="textWrapping"/>
            </w:r>
            <w:r>
              <w:rPr>
                <w:rFonts w:ascii="宋体" w:hAnsi="宋体" w:eastAsia="宋体" w:cs="宋体"/>
                <w:sz w:val="18"/>
              </w:rPr>
              <w:t>年化【1.775%】。（适用【B】类份额)</w:t>
            </w:r>
            <w:r>
              <w:rPr>
                <w:rFonts w:ascii="宋体" w:hAnsi="宋体" w:eastAsia="宋体" w:cs="宋体"/>
                <w:sz w:val="18"/>
              </w:rPr>
              <w:br w:type="textWrapping"/>
            </w:r>
            <w:r>
              <w:rPr>
                <w:rFonts w:ascii="宋体" w:hAnsi="宋体" w:eastAsia="宋体" w:cs="宋体"/>
                <w:sz w:val="18"/>
              </w:rPr>
              <w:t>年化【1.675%】。（适用【C】类份额)</w:t>
            </w:r>
            <w:r>
              <w:rPr>
                <w:rFonts w:ascii="宋体" w:hAnsi="宋体" w:eastAsia="宋体" w:cs="宋体"/>
                <w:sz w:val="18"/>
              </w:rPr>
              <w:br w:type="textWrapping"/>
            </w:r>
            <w:r>
              <w:rPr>
                <w:rFonts w:ascii="宋体" w:hAnsi="宋体" w:eastAsia="宋体" w:cs="宋体"/>
                <w:sz w:val="18"/>
              </w:rPr>
              <w:t>年化【1.575%】。（适用【D】类份额)</w:t>
            </w:r>
            <w:r>
              <w:rPr>
                <w:rFonts w:ascii="宋体" w:hAnsi="宋体" w:eastAsia="宋体" w:cs="宋体"/>
                <w:sz w:val="18"/>
              </w:rPr>
              <w:br w:type="textWrapping"/>
            </w:r>
            <w:r>
              <w:rPr>
                <w:rFonts w:ascii="宋体" w:hAnsi="宋体" w:eastAsia="宋体" w:cs="宋体"/>
                <w:sz w:val="18"/>
              </w:rPr>
              <w:t>年化【1.725%】。（适用【E】类份额)</w:t>
            </w:r>
            <w:r>
              <w:rPr>
                <w:rFonts w:ascii="宋体" w:hAnsi="宋体" w:eastAsia="宋体" w:cs="宋体"/>
                <w:sz w:val="18"/>
              </w:rPr>
              <w:br w:type="textWrapping"/>
            </w:r>
            <w:r>
              <w:rPr>
                <w:rFonts w:ascii="宋体" w:hAnsi="宋体" w:eastAsia="宋体" w:cs="宋体"/>
                <w:sz w:val="18"/>
              </w:rPr>
              <w:t>年化【1.725%】。（适用【F】类份额)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【/】。（适用【E】类份额）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年化费率【0.1%】。（适用【B】类份额）</w:t>
            </w:r>
            <w:r>
              <w:rPr>
                <w:rFonts w:ascii="黑体" w:hAnsi="黑体" w:eastAsia="黑体" w:cs="黑体"/>
                <w:sz w:val="18"/>
              </w:rPr>
              <w:br w:type="textWrapping"/>
            </w:r>
            <w:r>
              <w:rPr>
                <w:rFonts w:ascii="黑体" w:hAnsi="黑体" w:eastAsia="黑体" w:cs="黑体"/>
                <w:sz w:val="18"/>
              </w:rPr>
              <w:t>年化费率【0.2%】。（适用【C】类份额）</w:t>
            </w:r>
            <w:r>
              <w:rPr>
                <w:rFonts w:ascii="黑体" w:hAnsi="黑体" w:eastAsia="黑体" w:cs="黑体"/>
                <w:sz w:val="18"/>
              </w:rPr>
              <w:br w:type="textWrapping"/>
            </w:r>
            <w:r>
              <w:rPr>
                <w:rFonts w:ascii="黑体" w:hAnsi="黑体" w:eastAsia="黑体" w:cs="黑体"/>
                <w:sz w:val="18"/>
              </w:rPr>
              <w:t>年化费率【0.3%】。（适用【D】类份额）</w:t>
            </w:r>
            <w:r>
              <w:rPr>
                <w:rFonts w:ascii="黑体" w:hAnsi="黑体" w:eastAsia="黑体" w:cs="黑体"/>
                <w:sz w:val="18"/>
              </w:rPr>
              <w:br w:type="textWrapping"/>
            </w:r>
            <w:r>
              <w:rPr>
                <w:rFonts w:ascii="黑体" w:hAnsi="黑体" w:eastAsia="黑体" w:cs="黑体"/>
                <w:sz w:val="18"/>
              </w:rPr>
              <w:t>年化费率【0.15%】。（适用【E】类份额）</w:t>
            </w:r>
            <w:r>
              <w:rPr>
                <w:rFonts w:ascii="黑体" w:hAnsi="黑体" w:eastAsia="黑体" w:cs="黑体"/>
                <w:sz w:val="18"/>
              </w:rPr>
              <w:br w:type="textWrapping"/>
            </w:r>
            <w:r>
              <w:rPr>
                <w:rFonts w:ascii="黑体" w:hAnsi="黑体" w:eastAsia="黑体" w:cs="黑体"/>
                <w:sz w:val="18"/>
              </w:rPr>
              <w:t>年化费率【0.15%】。（适用【F】类份额）</w:t>
            </w:r>
            <w:r>
              <w:rPr>
                <w:rFonts w:ascii="黑体" w:hAnsi="黑体" w:eastAsia="黑体" w:cs="黑体"/>
                <w:sz w:val="18"/>
              </w:rPr>
              <w:br w:type="textWrapping"/>
            </w:r>
            <w:r>
              <w:rPr>
                <w:rFonts w:ascii="黑体" w:hAnsi="黑体" w:eastAsia="黑体" w:cs="黑体"/>
                <w:sz w:val="18"/>
              </w:rPr>
              <w:t>（3）投资管理费：年化费率【0.05%】</w:t>
            </w:r>
            <w:r>
              <w:rPr>
                <w:rFonts w:ascii="黑体" w:hAnsi="黑体" w:eastAsia="黑体" w:cs="黑体"/>
                <w:sz w:val="18"/>
              </w:rPr>
              <w:br w:type="textWrapping"/>
            </w:r>
            <w:r>
              <w:rPr>
                <w:rFonts w:ascii="黑体" w:hAnsi="黑体" w:eastAsia="黑体" w:cs="黑体"/>
                <w:sz w:val="18"/>
              </w:rPr>
              <w:t>（4）产品托管费：年化费率【0.01%】</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22074"/>
      <w:bookmarkStart w:id="12" w:name="_Toc90742321"/>
      <w:bookmarkStart w:id="13" w:name="_Toc7151"/>
      <w:bookmarkStart w:id="14" w:name="_Toc15203"/>
      <w:bookmarkStart w:id="15" w:name="_Toc16265"/>
      <w:bookmarkStart w:id="16" w:name="_Toc90742390"/>
      <w:bookmarkStart w:id="17" w:name="_Toc74065741"/>
      <w:bookmarkStart w:id="18" w:name="_Toc29948"/>
      <w:bookmarkStart w:id="19" w:name="_Toc27226"/>
      <w:bookmarkStart w:id="20" w:name="_Toc3266"/>
      <w:bookmarkStart w:id="21" w:name="_Toc29784"/>
      <w:bookmarkStart w:id="22" w:name="_Toc90742688"/>
      <w:bookmarkStart w:id="23" w:name="_Toc27189"/>
      <w:bookmarkStart w:id="24" w:name="_Toc6714"/>
      <w:bookmarkStart w:id="25" w:name="_Toc7915466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pStyle w:val="34"/>
        <w:spacing w:line="360" w:lineRule="auto"/>
        <w:ind w:firstLine="540" w:firstLineChars="3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540" w:firstLineChars="300"/>
        <w:rPr>
          <w:rFonts w:ascii="宋体" w:hAnsi="宋体" w:eastAsia="宋体" w:cs="宋体"/>
          <w:sz w:val="18"/>
        </w:rPr>
      </w:pPr>
      <w:r>
        <w:rPr>
          <w:rFonts w:ascii="宋体" w:hAnsi="宋体" w:eastAsia="宋体" w:cs="宋体"/>
          <w:sz w:val="18"/>
        </w:rPr>
        <w:t>（3）符合监管要求的债权类资产；</w:t>
      </w:r>
    </w:p>
    <w:p>
      <w:pPr>
        <w:pStyle w:val="34"/>
        <w:spacing w:line="360" w:lineRule="auto"/>
        <w:ind w:firstLine="540" w:firstLineChars="300"/>
        <w:rPr>
          <w:rFonts w:ascii="宋体" w:hAnsi="宋体" w:eastAsia="宋体" w:cs="宋体"/>
          <w:sz w:val="18"/>
        </w:rPr>
      </w:pP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540" w:firstLineChars="300"/>
        <w:rPr>
          <w:rFonts w:hint="eastAsia" w:asciiTheme="majorEastAsia" w:hAnsiTheme="majorEastAsia" w:eastAsiaTheme="majorEastAsia"/>
          <w:bCs/>
          <w:color w:val="auto"/>
          <w:sz w:val="18"/>
          <w:szCs w:val="18"/>
          <w:lang w:eastAsia="zh-CN"/>
        </w:rPr>
      </w:pPr>
      <w:r>
        <w:rPr>
          <w:rFonts w:ascii="宋体" w:hAnsi="宋体" w:eastAsia="宋体" w:cs="宋体"/>
          <w:sz w:val="18"/>
        </w:rPr>
        <w:t>（5）其他风险不高于前述资产的资产。】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left="537" w:leftChars="170" w:hanging="180" w:hangingChars="100"/>
        <w:jc w:val="both"/>
        <w:rPr>
          <w:rFonts w:hint="eastAsia" w:asciiTheme="majorEastAsia" w:hAnsiTheme="majorEastAsia" w:eastAsiaTheme="majorEastAsia"/>
          <w:bCs/>
          <w:sz w:val="18"/>
          <w:szCs w:val="18"/>
          <w:lang w:eastAsia="zh-CN"/>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（2）符合监管要求的非标准化债权类资产低于产品净资产的50%。</w:t>
      </w:r>
      <w:r>
        <w:rPr>
          <w:rFonts w:ascii="宋体" w:hAnsi="宋体" w:eastAsia="宋体" w:cs="宋体"/>
          <w:sz w:val="18"/>
        </w:rPr>
        <w:br w:type="textWrapping"/>
      </w:r>
      <w:r>
        <w:rPr>
          <w:rFonts w:ascii="宋体" w:hAnsi="宋体" w:eastAsia="宋体" w:cs="宋体"/>
          <w:sz w:val="18"/>
        </w:rPr>
        <w:t>（3）投资于同业存单及存款类资产的比例不低于产品净资产的50%。】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sz w:val="18"/>
        </w:rPr>
      </w:pPr>
      <w:r>
        <w:rPr>
          <w:rFonts w:ascii="宋体" w:hAnsi="宋体" w:eastAsia="宋体" w:cs="宋体"/>
          <w:sz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rPr>
      </w:pPr>
      <w:r>
        <w:rPr>
          <w:rFonts w:ascii="宋体" w:hAnsi="宋体" w:eastAsia="宋体" w:cs="宋体"/>
          <w:sz w:val="18"/>
        </w:rPr>
        <w:t>（3）全部理财产品持有单一上市公司发行的股票，不得超过该上市公司可流通股票的30%。</w:t>
      </w:r>
    </w:p>
    <w:p>
      <w:pPr>
        <w:spacing w:line="360" w:lineRule="auto"/>
        <w:ind w:firstLine="360" w:firstLineChars="200"/>
        <w:rPr>
          <w:rFonts w:ascii="宋体" w:hAnsi="宋体" w:eastAsia="宋体" w:cs="宋体"/>
          <w:sz w:val="18"/>
        </w:rPr>
      </w:pPr>
      <w:r>
        <w:rPr>
          <w:rFonts w:ascii="宋体" w:hAnsi="宋体" w:eastAsia="宋体" w:cs="宋体"/>
          <w:sz w:val="18"/>
        </w:rPr>
        <w:t xml:space="preserve">（4）全部开放式公募理财产品投资单一上市公司发行的股票不得超过该上市公司可流通股票的15%。 </w:t>
      </w:r>
    </w:p>
    <w:p>
      <w:pPr>
        <w:spacing w:line="360" w:lineRule="auto"/>
        <w:ind w:firstLine="360" w:firstLineChars="200"/>
        <w:rPr>
          <w:rFonts w:ascii="宋体" w:hAnsi="宋体" w:eastAsia="宋体" w:cs="宋体"/>
          <w:sz w:val="18"/>
        </w:rPr>
      </w:pPr>
      <w:r>
        <w:rPr>
          <w:rFonts w:ascii="宋体" w:hAnsi="宋体" w:eastAsia="宋体" w:cs="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ascii="宋体" w:hAnsi="宋体" w:eastAsia="宋体" w:cs="宋体"/>
          <w:sz w:val="18"/>
        </w:rPr>
        <w:t>（6）本产品投资于信用债券、银行存款、非标准化债权类资产融资人的信用评级均不得低于AA+。</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产品采取绝对收益策略，追求资产长期稳定增值。</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848"/>
      <w:bookmarkStart w:id="28" w:name="_Toc79154669"/>
      <w:bookmarkStart w:id="29" w:name="_Toc176189758"/>
      <w:bookmarkStart w:id="30" w:name="_Toc18797"/>
      <w:bookmarkStart w:id="31" w:name="_Toc139991735"/>
      <w:bookmarkStart w:id="32" w:name="_Toc21988"/>
      <w:bookmarkStart w:id="33" w:name="_Toc18526"/>
      <w:bookmarkStart w:id="34" w:name="_Toc17912"/>
      <w:bookmarkStart w:id="35" w:name="_Toc26986"/>
      <w:bookmarkStart w:id="36" w:name="_Toc4741"/>
      <w:bookmarkStart w:id="37" w:name="_Toc14893"/>
      <w:bookmarkStart w:id="38" w:name="_Toc74065742"/>
      <w:bookmarkStart w:id="39" w:name="_Toc18329"/>
      <w:bookmarkStart w:id="40" w:name="_Toc141703885"/>
      <w:bookmarkStart w:id="41" w:name="_Toc182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9154670"/>
      <w:bookmarkStart w:id="44" w:name="_Toc1270"/>
      <w:bookmarkStart w:id="45" w:name="_Toc20733"/>
      <w:bookmarkStart w:id="46" w:name="_Toc123051452"/>
      <w:bookmarkStart w:id="47" w:name="_Toc98560352"/>
      <w:bookmarkStart w:id="48" w:name="_Toc139991736"/>
      <w:bookmarkStart w:id="49" w:name="_Toc48649707"/>
      <w:bookmarkStart w:id="50" w:name="_Toc176189759"/>
      <w:bookmarkStart w:id="51" w:name="_Toc74065743"/>
      <w:bookmarkStart w:id="52" w:name="_Toc23822"/>
      <w:bookmarkStart w:id="53" w:name="_Toc79392606"/>
      <w:bookmarkStart w:id="54" w:name="_Toc23261"/>
      <w:bookmarkStart w:id="55" w:name="_Toc4003"/>
      <w:bookmarkStart w:id="56" w:name="_Toc1427"/>
      <w:bookmarkStart w:id="57" w:name="_Toc17244"/>
      <w:bookmarkStart w:id="58" w:name="_Toc141703886"/>
      <w:bookmarkStart w:id="59" w:name="_Toc123112234"/>
      <w:bookmarkStart w:id="60" w:name="_Toc123102453"/>
      <w:bookmarkStart w:id="61" w:name="_Toc7920"/>
      <w:bookmarkStart w:id="62" w:name="_Toc10463"/>
      <w:bookmarkStart w:id="63" w:name="_Toc61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3601"/>
      <w:bookmarkStart w:id="66" w:name="_Toc98560353"/>
      <w:bookmarkStart w:id="67" w:name="_Toc79154671"/>
      <w:bookmarkStart w:id="68" w:name="_Toc123112235"/>
      <w:bookmarkStart w:id="69" w:name="_Toc139991737"/>
      <w:bookmarkStart w:id="70" w:name="_Toc6405"/>
      <w:bookmarkStart w:id="71" w:name="_Toc74065744"/>
      <w:bookmarkStart w:id="72" w:name="_Toc26207"/>
      <w:bookmarkStart w:id="73" w:name="_Toc15143"/>
      <w:bookmarkStart w:id="74" w:name="_Toc14835"/>
      <w:bookmarkStart w:id="75" w:name="_Toc31653"/>
      <w:bookmarkStart w:id="76" w:name="_Toc141703887"/>
      <w:bookmarkStart w:id="77" w:name="_Toc123051453"/>
      <w:bookmarkStart w:id="78" w:name="_Toc31235"/>
      <w:bookmarkStart w:id="79" w:name="_Toc176189760"/>
      <w:bookmarkStart w:id="80" w:name="_Toc31644"/>
      <w:bookmarkStart w:id="81" w:name="_Toc123102454"/>
      <w:bookmarkStart w:id="82" w:name="_Toc12245"/>
      <w:bookmarkStart w:id="83" w:name="_Toc2925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7530239"/>
      <w:bookmarkStart w:id="87" w:name="_Toc523711668"/>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4559"/>
      <w:bookmarkStart w:id="92" w:name="_Toc7058"/>
      <w:bookmarkStart w:id="93" w:name="_Toc6447"/>
      <w:bookmarkStart w:id="94" w:name="_Toc18567"/>
      <w:bookmarkStart w:id="95" w:name="_Toc141703888"/>
      <w:bookmarkStart w:id="96" w:name="_Toc3771"/>
      <w:bookmarkStart w:id="97" w:name="_Toc176189761"/>
      <w:bookmarkStart w:id="98" w:name="_Toc139991738"/>
      <w:bookmarkStart w:id="99" w:name="_Toc79154672"/>
      <w:bookmarkStart w:id="100" w:name="_Toc9706"/>
      <w:bookmarkStart w:id="101" w:name="_Toc11030"/>
      <w:bookmarkStart w:id="102" w:name="_Toc25783"/>
      <w:bookmarkStart w:id="103" w:name="_Toc123112236"/>
      <w:bookmarkStart w:id="104" w:name="_Toc123102455"/>
      <w:bookmarkStart w:id="105" w:name="_Toc3321"/>
      <w:bookmarkStart w:id="106" w:name="_Toc10650"/>
      <w:bookmarkStart w:id="107" w:name="_Toc74065745"/>
      <w:bookmarkStart w:id="108" w:name="_Toc98560354"/>
      <w:bookmarkStart w:id="109" w:name="_Toc123051454"/>
      <w:bookmarkStart w:id="110" w:name="_Toc79392583"/>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8206"/>
      <w:bookmarkStart w:id="114" w:name="_Toc139991739"/>
      <w:bookmarkStart w:id="115" w:name="_Toc176189762"/>
      <w:bookmarkStart w:id="116" w:name="_Toc21735"/>
      <w:bookmarkStart w:id="117" w:name="_Toc123102456"/>
      <w:bookmarkStart w:id="118" w:name="_Toc123051455"/>
      <w:bookmarkStart w:id="119" w:name="_Toc725"/>
      <w:bookmarkStart w:id="120" w:name="_Toc16164"/>
      <w:bookmarkStart w:id="121" w:name="_Toc79154673"/>
      <w:bookmarkStart w:id="122" w:name="_Toc123112237"/>
      <w:bookmarkStart w:id="123" w:name="_Toc98560355"/>
      <w:bookmarkStart w:id="124" w:name="_Toc141703889"/>
      <w:bookmarkStart w:id="125" w:name="_Toc74065746"/>
      <w:bookmarkStart w:id="126" w:name="_Toc31821"/>
      <w:bookmarkStart w:id="127" w:name="_Toc10398"/>
      <w:bookmarkStart w:id="128" w:name="_Toc3080"/>
      <w:bookmarkStart w:id="129" w:name="_Toc3572"/>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48649708"/>
      <w:bookmarkStart w:id="134" w:name="_Toc176189763"/>
      <w:bookmarkStart w:id="135" w:name="_Toc739"/>
      <w:bookmarkStart w:id="136" w:name="_Toc8791"/>
      <w:bookmarkStart w:id="137" w:name="_Toc29408"/>
      <w:bookmarkStart w:id="138" w:name="_Toc17920"/>
      <w:bookmarkStart w:id="139" w:name="_Toc17198"/>
      <w:bookmarkStart w:id="140" w:name="_Toc74065747"/>
      <w:bookmarkStart w:id="141" w:name="_Toc21237"/>
      <w:bookmarkStart w:id="142" w:name="_Toc141703890"/>
      <w:bookmarkStart w:id="143" w:name="_Toc79154674"/>
      <w:bookmarkStart w:id="144" w:name="_Toc123051456"/>
      <w:bookmarkStart w:id="145" w:name="_Toc139991740"/>
      <w:bookmarkStart w:id="146" w:name="_Toc123112238"/>
      <w:bookmarkStart w:id="147" w:name="_Toc98560356"/>
      <w:bookmarkStart w:id="148" w:name="_Toc32092"/>
      <w:bookmarkStart w:id="149" w:name="_Toc32584"/>
      <w:bookmarkStart w:id="150" w:name="_Toc3329"/>
      <w:bookmarkStart w:id="151" w:name="_Toc79392622"/>
      <w:bookmarkStart w:id="152" w:name="_Toc123102457"/>
      <w:bookmarkStart w:id="153" w:name="_Toc517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bookmarkStart w:id="156" w:name="_GoBack"/>
      <w:bookmarkEnd w:id="156"/>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063B77"/>
    <w:rsid w:val="1BD70953"/>
    <w:rsid w:val="1BF87698"/>
    <w:rsid w:val="1C78144D"/>
    <w:rsid w:val="1E585AB7"/>
    <w:rsid w:val="1EB160C2"/>
    <w:rsid w:val="1FF145B9"/>
    <w:rsid w:val="2193546F"/>
    <w:rsid w:val="23083986"/>
    <w:rsid w:val="23AF29A3"/>
    <w:rsid w:val="243F6084"/>
    <w:rsid w:val="24924C8F"/>
    <w:rsid w:val="25675458"/>
    <w:rsid w:val="26123FD6"/>
    <w:rsid w:val="26F50BA9"/>
    <w:rsid w:val="28D27075"/>
    <w:rsid w:val="29026D00"/>
    <w:rsid w:val="2A0E468C"/>
    <w:rsid w:val="2A642791"/>
    <w:rsid w:val="2AF97B0C"/>
    <w:rsid w:val="2B590E2A"/>
    <w:rsid w:val="2EA644DF"/>
    <w:rsid w:val="2FB532A0"/>
    <w:rsid w:val="2FE14D58"/>
    <w:rsid w:val="30E06C05"/>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00D0670"/>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98B567E"/>
    <w:rsid w:val="5BA577EB"/>
    <w:rsid w:val="5C624734"/>
    <w:rsid w:val="5FE91ABC"/>
    <w:rsid w:val="60D42826"/>
    <w:rsid w:val="628E734C"/>
    <w:rsid w:val="656B1A72"/>
    <w:rsid w:val="6580603B"/>
    <w:rsid w:val="665A1238"/>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9114D43D-ED98-4C7B-A3AE-26D78B80CA82}">
  <ds:schemaRefs/>
</ds:datastoreItem>
</file>

<file path=customXml/itemProps12.xml><?xml version="1.0" encoding="utf-8"?>
<ds:datastoreItem xmlns:ds="http://schemas.openxmlformats.org/officeDocument/2006/customXml" ds:itemID="{1990A2D8-324F-45D5-B9CD-07245ED2860B}">
  <ds:schemaRefs/>
</ds:datastoreItem>
</file>

<file path=customXml/itemProps13.xml><?xml version="1.0" encoding="utf-8"?>
<ds:datastoreItem xmlns:ds="http://schemas.openxmlformats.org/officeDocument/2006/customXml" ds:itemID="{A06CD169-7F5C-4082-81B2-6ECAA9AF6149}">
  <ds:schemaRefs/>
</ds:datastoreItem>
</file>

<file path=customXml/itemProps14.xml><?xml version="1.0" encoding="utf-8"?>
<ds:datastoreItem xmlns:ds="http://schemas.openxmlformats.org/officeDocument/2006/customXml" ds:itemID="{3A3C3A8D-C5E4-45AF-8B48-C3BF528808AD}">
  <ds:schemaRefs/>
</ds:datastoreItem>
</file>

<file path=customXml/itemProps15.xml><?xml version="1.0" encoding="utf-8"?>
<ds:datastoreItem xmlns:ds="http://schemas.openxmlformats.org/officeDocument/2006/customXml" ds:itemID="{0A7AA9EF-3B8C-4BAA-9155-A6E3E5337D3C}">
  <ds:schemaRefs/>
</ds:datastoreItem>
</file>

<file path=customXml/itemProps16.xml><?xml version="1.0" encoding="utf-8"?>
<ds:datastoreItem xmlns:ds="http://schemas.openxmlformats.org/officeDocument/2006/customXml" ds:itemID="{D902962D-C8CC-43BF-804A-CD60AE6D7475}">
  <ds:schemaRefs/>
</ds:datastoreItem>
</file>

<file path=customXml/itemProps17.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1A3BDF38-4832-4575-A8AB-7A1679738229}">
  <ds:schemaRefs/>
</ds:datastoreItem>
</file>

<file path=customXml/itemProps4.xml><?xml version="1.0" encoding="utf-8"?>
<ds:datastoreItem xmlns:ds="http://schemas.openxmlformats.org/officeDocument/2006/customXml" ds:itemID="{BEEE0313-55EB-45FA-BBBD-C0232D367255}">
  <ds:schemaRefs/>
</ds:datastoreItem>
</file>

<file path=customXml/itemProps5.xml><?xml version="1.0" encoding="utf-8"?>
<ds:datastoreItem xmlns:ds="http://schemas.openxmlformats.org/officeDocument/2006/customXml" ds:itemID="{EC45DDBE-A426-47CA-BC62-D025DE29F1BC}">
  <ds:schemaRefs/>
</ds:datastoreItem>
</file>

<file path=customXml/itemProps6.xml><?xml version="1.0" encoding="utf-8"?>
<ds:datastoreItem xmlns:ds="http://schemas.openxmlformats.org/officeDocument/2006/customXml" ds:itemID="{E6D3D55C-3DD8-4C31-8069-E5508DD844FB}">
  <ds:schemaRefs/>
</ds:datastoreItem>
</file>

<file path=customXml/itemProps7.xml><?xml version="1.0" encoding="utf-8"?>
<ds:datastoreItem xmlns:ds="http://schemas.openxmlformats.org/officeDocument/2006/customXml" ds:itemID="{2108FF18-8EC8-4170-A536-1AA8E39CC797}">
  <ds:schemaRefs/>
</ds:datastoreItem>
</file>

<file path=customXml/itemProps8.xml><?xml version="1.0" encoding="utf-8"?>
<ds:datastoreItem xmlns:ds="http://schemas.openxmlformats.org/officeDocument/2006/customXml" ds:itemID="{7E5C9D84-6DB6-48FB-8632-D5279FC233C8}">
  <ds:schemaRefs/>
</ds:datastoreItem>
</file>

<file path=customXml/itemProps9.xml><?xml version="1.0" encoding="utf-8"?>
<ds:datastoreItem xmlns:ds="http://schemas.openxmlformats.org/officeDocument/2006/customXml" ds:itemID="{79B37214-9E52-4241-8DD2-9E9CD944200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2</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2026-05-25T06:40:25Z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E7753498575549C58E5916A0AC4FD49A_13</vt:lpwstr>
  </property>
</Properties>
</file>